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BF244">
      <w:pPr>
        <w:pStyle w:val="11"/>
        <w:widowControl/>
        <w:spacing w:line="560" w:lineRule="exact"/>
        <w:ind w:left="0" w:firstLine="880" w:firstLineChars="200"/>
        <w:jc w:val="center"/>
        <w:rPr>
          <w:rFonts w:hint="eastAsia" w:ascii="黑体" w:hAnsi="宋体" w:eastAsia="黑体" w:cs="仿宋"/>
          <w:sz w:val="44"/>
          <w:szCs w:val="44"/>
          <w:lang w:eastAsia="zh-CN"/>
        </w:rPr>
      </w:pPr>
    </w:p>
    <w:p w14:paraId="31B462B7">
      <w:pPr>
        <w:keepNext w:val="0"/>
        <w:keepLines w:val="0"/>
        <w:widowControl/>
        <w:suppressLineNumbers w:val="0"/>
        <w:suppressAutoHyphens/>
        <w:autoSpaceDE w:val="0"/>
        <w:autoSpaceDN/>
        <w:spacing w:before="0" w:beforeAutospacing="0" w:after="0" w:afterAutospacing="0" w:line="578" w:lineRule="exact"/>
        <w:ind w:left="0" w:right="0"/>
        <w:contextualSpacing/>
        <w:jc w:val="center"/>
        <w:rPr>
          <w:rFonts w:hint="eastAsia" w:ascii="微软雅黑" w:hAnsi="微软雅黑" w:eastAsia="微软雅黑" w:cs="微软雅黑"/>
          <w:kern w:val="0"/>
          <w:sz w:val="44"/>
          <w:szCs w:val="44"/>
          <w:lang w:val="en-US" w:eastAsia="zh-CN" w:bidi="ar"/>
        </w:rPr>
      </w:pPr>
      <w:r>
        <w:rPr>
          <w:rFonts w:hint="eastAsia" w:ascii="微软雅黑" w:hAnsi="微软雅黑" w:eastAsia="微软雅黑" w:cs="微软雅黑"/>
          <w:kern w:val="0"/>
          <w:sz w:val="44"/>
          <w:szCs w:val="44"/>
          <w:lang w:val="en-US" w:eastAsia="zh-CN" w:bidi="ar"/>
        </w:rPr>
        <w:t>渠县鲜渡镇人民政府2024年部门预算绩效评价报告</w:t>
      </w:r>
    </w:p>
    <w:p w14:paraId="215780D2">
      <w:pPr>
        <w:keepNext w:val="0"/>
        <w:keepLines w:val="0"/>
        <w:widowControl/>
        <w:suppressLineNumbers w:val="0"/>
        <w:suppressAutoHyphens/>
        <w:autoSpaceDE w:val="0"/>
        <w:autoSpaceDN/>
        <w:spacing w:before="0" w:beforeAutospacing="0" w:after="0" w:afterAutospacing="0" w:line="578" w:lineRule="exact"/>
        <w:ind w:left="0" w:right="0"/>
        <w:contextualSpacing/>
        <w:jc w:val="center"/>
        <w:rPr>
          <w:rFonts w:hint="eastAsia" w:ascii="微软雅黑" w:hAnsi="微软雅黑" w:eastAsia="微软雅黑" w:cs="微软雅黑"/>
          <w:kern w:val="0"/>
          <w:sz w:val="44"/>
          <w:szCs w:val="44"/>
          <w:lang w:val="en-US" w:eastAsia="zh-CN" w:bidi="ar"/>
        </w:rPr>
      </w:pPr>
    </w:p>
    <w:p w14:paraId="15AAF226">
      <w:pPr>
        <w:keepNext w:val="0"/>
        <w:keepLines w:val="0"/>
        <w:widowControl/>
        <w:suppressLineNumbers w:val="0"/>
        <w:suppressAutoHyphens/>
        <w:autoSpaceDE w:val="0"/>
        <w:autoSpaceDN/>
        <w:spacing w:before="0" w:beforeAutospacing="0" w:after="0" w:afterAutospacing="0" w:line="578" w:lineRule="exact"/>
        <w:ind w:left="0" w:right="0"/>
        <w:contextualSpacing/>
        <w:jc w:val="both"/>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
        </w:rPr>
        <w:t>一、部门(单位)基本情况</w:t>
      </w:r>
    </w:p>
    <w:p w14:paraId="1393F41D">
      <w:pPr>
        <w:keepNext w:val="0"/>
        <w:keepLines w:val="0"/>
        <w:widowControl/>
        <w:suppressLineNumbers w:val="0"/>
        <w:suppressAutoHyphens/>
        <w:autoSpaceDE w:val="0"/>
        <w:autoSpaceDN/>
        <w:spacing w:before="0" w:beforeAutospacing="0" w:after="0" w:afterAutospacing="0" w:line="578" w:lineRule="exact"/>
        <w:ind w:left="0" w:right="0"/>
        <w:contextualSpacing/>
        <w:jc w:val="both"/>
        <w:rPr>
          <w:rFonts w:hint="default" w:ascii="仿宋_GB2312" w:hAnsi="Calibri" w:eastAsia="仿宋_GB2312" w:cs="仿宋"/>
          <w:kern w:val="0"/>
          <w:sz w:val="32"/>
          <w:szCs w:val="32"/>
        </w:rPr>
      </w:pPr>
      <w:r>
        <w:rPr>
          <w:rFonts w:hint="default" w:ascii="仿宋_GB2312" w:hAnsi="Calibri" w:eastAsia="仿宋_GB2312" w:cs="仿宋_GB2312"/>
          <w:kern w:val="0"/>
          <w:sz w:val="32"/>
          <w:szCs w:val="32"/>
          <w:lang w:val="en-US" w:eastAsia="zh-CN" w:bidi="ar"/>
        </w:rPr>
        <w:t>(一)机构组成。</w:t>
      </w:r>
    </w:p>
    <w:p w14:paraId="10994779">
      <w:pPr>
        <w:keepNext w:val="0"/>
        <w:keepLines w:val="0"/>
        <w:widowControl w:val="0"/>
        <w:suppressLineNumbers w:val="0"/>
        <w:suppressAutoHyphens/>
        <w:spacing w:before="0" w:beforeAutospacing="0" w:after="0" w:afterAutospacing="0"/>
        <w:ind w:left="0" w:right="0" w:firstLine="800" w:firstLineChars="25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渠县鲜渡镇人民政府下属二级预算单位三个，按照“渠委办发</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w:t>
      </w:r>
      <w:r>
        <w:rPr>
          <w:rFonts w:hint="eastAsia" w:ascii="仿宋_GB2312" w:hAnsi="仿宋_GB2312" w:eastAsia="仿宋_GB2312" w:cs="仿宋_GB2312"/>
          <w:kern w:val="2"/>
          <w:sz w:val="32"/>
          <w:szCs w:val="32"/>
          <w:lang w:val="en-US" w:eastAsia="zh-CN" w:bidi="ar"/>
        </w:rPr>
        <w:t>53号文件”规定，鲜渡镇人民政府设7个党政综合办事机构，即办公室、党建工作办公室、经济发展办公室、社会事务办公室、社会治理与综合执法办公室、应急管理办公室、财政所。</w:t>
      </w:r>
    </w:p>
    <w:p w14:paraId="018C0A03">
      <w:pPr>
        <w:keepNext w:val="0"/>
        <w:keepLines w:val="0"/>
        <w:widowControl w:val="0"/>
        <w:suppressLineNumbers w:val="0"/>
        <w:suppressAutoHyphens/>
        <w:snapToGrid w:val="0"/>
        <w:spacing w:before="0" w:beforeAutospacing="0" w:after="0" w:afterAutospacing="0" w:line="520" w:lineRule="exact"/>
        <w:ind w:left="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纳入渠县鲜渡镇人民政府2024年度部门决算编制范围的二级预算单位包括：</w:t>
      </w:r>
    </w:p>
    <w:p w14:paraId="45B6ADFF">
      <w:pPr>
        <w:keepNext w:val="0"/>
        <w:keepLines w:val="0"/>
        <w:widowControl w:val="0"/>
        <w:suppressLineNumbers w:val="0"/>
        <w:suppressAutoHyphens/>
        <w:snapToGrid w:val="0"/>
        <w:spacing w:before="0" w:beforeAutospacing="0" w:after="0" w:afterAutospacing="0" w:line="520" w:lineRule="exact"/>
        <w:ind w:left="0" w:right="0" w:firstLine="640" w:firstLineChars="200"/>
        <w:jc w:val="both"/>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1.鲜渡镇人民政府便民服务中心。</w:t>
      </w:r>
    </w:p>
    <w:p w14:paraId="1454D800">
      <w:pPr>
        <w:keepNext w:val="0"/>
        <w:keepLines w:val="0"/>
        <w:widowControl w:val="0"/>
        <w:suppressLineNumbers w:val="0"/>
        <w:suppressAutoHyphens/>
        <w:snapToGrid w:val="0"/>
        <w:spacing w:before="0" w:beforeAutospacing="0" w:after="0" w:afterAutospacing="0" w:line="520" w:lineRule="exact"/>
        <w:ind w:left="0" w:right="0" w:firstLine="640" w:firstLineChars="200"/>
        <w:jc w:val="both"/>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2.鲜渡镇人民政府农业综合服务中心。</w:t>
      </w:r>
    </w:p>
    <w:p w14:paraId="0E40B663">
      <w:pPr>
        <w:keepNext w:val="0"/>
        <w:keepLines w:val="0"/>
        <w:widowControl w:val="0"/>
        <w:suppressLineNumbers w:val="0"/>
        <w:suppressAutoHyphens/>
        <w:snapToGrid w:val="0"/>
        <w:spacing w:before="0" w:beforeAutospacing="0" w:after="0" w:afterAutospacing="0" w:line="520" w:lineRule="exact"/>
        <w:ind w:left="0" w:right="0" w:firstLine="640" w:firstLineChars="200"/>
        <w:jc w:val="both"/>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3.鲜渡镇人民政府村镇建设服务中心。</w:t>
      </w:r>
    </w:p>
    <w:p w14:paraId="4B007991">
      <w:pPr>
        <w:keepNext w:val="0"/>
        <w:keepLines w:val="0"/>
        <w:widowControl w:val="0"/>
        <w:suppressLineNumbers w:val="0"/>
        <w:suppressAutoHyphens/>
        <w:snapToGrid w:val="0"/>
        <w:spacing w:before="0" w:beforeAutospacing="0" w:after="0" w:afterAutospacing="0" w:line="520" w:lineRule="exact"/>
        <w:ind w:left="0" w:right="0" w:firstLine="640" w:firstLineChars="200"/>
        <w:jc w:val="both"/>
        <w:rPr>
          <w:rFonts w:hint="default" w:ascii="仿宋_GB2312" w:hAnsi="Calibri" w:eastAsia="仿宋_GB2312" w:cs="仿宋"/>
          <w:kern w:val="0"/>
          <w:sz w:val="32"/>
          <w:szCs w:val="32"/>
        </w:rPr>
      </w:pPr>
      <w:r>
        <w:rPr>
          <w:rFonts w:hint="eastAsia" w:ascii="仿宋_GB2312" w:hAnsi="仿宋" w:eastAsia="仿宋_GB2312" w:cs="仿宋_GB2312"/>
          <w:kern w:val="2"/>
          <w:sz w:val="32"/>
          <w:szCs w:val="32"/>
          <w:lang w:val="en-US" w:eastAsia="zh-CN" w:bidi="ar"/>
        </w:rPr>
        <w:t>鲜渡镇人民政府</w:t>
      </w:r>
      <w:r>
        <w:rPr>
          <w:rFonts w:hint="default" w:ascii="仿宋_GB2312" w:hAnsi="仿宋" w:eastAsia="仿宋_GB2312" w:cs="仿宋_GB2312"/>
          <w:kern w:val="2"/>
          <w:sz w:val="32"/>
          <w:szCs w:val="32"/>
          <w:lang w:val="en-US" w:eastAsia="zh-CN" w:bidi="ar"/>
        </w:rPr>
        <w:t>编制情况：</w:t>
      </w:r>
      <w:r>
        <w:rPr>
          <w:rFonts w:hint="eastAsia" w:ascii="仿宋_GB2312" w:hAnsi="仿宋" w:eastAsia="仿宋_GB2312" w:cs="仿宋_GB2312"/>
          <w:kern w:val="2"/>
          <w:sz w:val="32"/>
          <w:szCs w:val="32"/>
          <w:lang w:val="en-US" w:eastAsia="zh-CN" w:bidi="ar"/>
        </w:rPr>
        <w:t>鲜渡镇人民政府</w:t>
      </w:r>
      <w:r>
        <w:rPr>
          <w:rFonts w:hint="default" w:ascii="仿宋_GB2312" w:hAnsi="仿宋" w:eastAsia="仿宋_GB2312" w:cs="仿宋_GB2312"/>
          <w:kern w:val="2"/>
          <w:sz w:val="32"/>
          <w:szCs w:val="32"/>
          <w:lang w:val="en-US" w:eastAsia="zh-CN" w:bidi="ar"/>
        </w:rPr>
        <w:t>编制</w:t>
      </w:r>
      <w:r>
        <w:rPr>
          <w:rFonts w:hint="eastAsia" w:ascii="仿宋_GB2312" w:hAnsi="仿宋" w:eastAsia="仿宋_GB2312" w:cs="仿宋_GB2312"/>
          <w:kern w:val="2"/>
          <w:sz w:val="32"/>
          <w:szCs w:val="32"/>
          <w:lang w:val="en-US" w:eastAsia="zh-CN" w:bidi="ar"/>
        </w:rPr>
        <w:t>46</w:t>
      </w:r>
      <w:r>
        <w:rPr>
          <w:rFonts w:hint="default" w:ascii="仿宋_GB2312" w:hAnsi="仿宋" w:eastAsia="仿宋_GB2312" w:cs="仿宋_GB2312"/>
          <w:kern w:val="2"/>
          <w:sz w:val="32"/>
          <w:szCs w:val="32"/>
          <w:lang w:val="en-US" w:eastAsia="zh-CN" w:bidi="ar"/>
        </w:rPr>
        <w:t>人。其中：镇政府机关</w:t>
      </w:r>
      <w:r>
        <w:rPr>
          <w:rFonts w:hint="eastAsia" w:ascii="仿宋_GB2312" w:hAnsi="仿宋" w:eastAsia="仿宋_GB2312" w:cs="仿宋_GB2312"/>
          <w:kern w:val="2"/>
          <w:sz w:val="32"/>
          <w:szCs w:val="32"/>
          <w:lang w:val="en-US" w:eastAsia="zh-CN" w:bidi="ar"/>
        </w:rPr>
        <w:t>，</w:t>
      </w:r>
      <w:r>
        <w:rPr>
          <w:rFonts w:hint="default" w:ascii="仿宋_GB2312" w:hAnsi="仿宋" w:eastAsia="仿宋_GB2312" w:cs="仿宋_GB2312"/>
          <w:kern w:val="2"/>
          <w:sz w:val="32"/>
          <w:szCs w:val="32"/>
          <w:lang w:val="en-US" w:eastAsia="zh-CN" w:bidi="ar"/>
        </w:rPr>
        <w:t>行政编制2</w:t>
      </w:r>
      <w:r>
        <w:rPr>
          <w:rFonts w:hint="eastAsia" w:ascii="仿宋_GB2312" w:hAnsi="仿宋" w:eastAsia="仿宋_GB2312" w:cs="仿宋_GB2312"/>
          <w:kern w:val="2"/>
          <w:sz w:val="32"/>
          <w:szCs w:val="32"/>
          <w:lang w:val="en-US" w:eastAsia="zh-CN" w:bidi="ar"/>
        </w:rPr>
        <w:t>5</w:t>
      </w:r>
      <w:r>
        <w:rPr>
          <w:rFonts w:hint="default" w:ascii="仿宋_GB2312" w:hAnsi="仿宋" w:eastAsia="仿宋_GB2312" w:cs="仿宋_GB2312"/>
          <w:kern w:val="2"/>
          <w:sz w:val="32"/>
          <w:szCs w:val="32"/>
          <w:lang w:val="en-US" w:eastAsia="zh-CN" w:bidi="ar"/>
        </w:rPr>
        <w:t>人（机关人员2</w:t>
      </w:r>
      <w:r>
        <w:rPr>
          <w:rFonts w:hint="eastAsia" w:ascii="仿宋_GB2312" w:hAnsi="仿宋" w:eastAsia="仿宋_GB2312" w:cs="仿宋_GB2312"/>
          <w:kern w:val="2"/>
          <w:sz w:val="32"/>
          <w:szCs w:val="32"/>
          <w:lang w:val="en-US" w:eastAsia="zh-CN" w:bidi="ar"/>
        </w:rPr>
        <w:t>5</w:t>
      </w:r>
      <w:r>
        <w:rPr>
          <w:rFonts w:hint="default" w:ascii="仿宋_GB2312" w:hAnsi="仿宋" w:eastAsia="仿宋_GB2312" w:cs="仿宋_GB2312"/>
          <w:kern w:val="2"/>
          <w:sz w:val="32"/>
          <w:szCs w:val="32"/>
          <w:lang w:val="en-US" w:eastAsia="zh-CN" w:bidi="ar"/>
        </w:rPr>
        <w:t>人）；事业编制21人。</w:t>
      </w:r>
    </w:p>
    <w:p w14:paraId="2805F459">
      <w:pPr>
        <w:keepNext w:val="0"/>
        <w:keepLines w:val="0"/>
        <w:widowControl/>
        <w:suppressLineNumbers w:val="0"/>
        <w:suppressAutoHyphens/>
        <w:autoSpaceDE w:val="0"/>
        <w:autoSpaceDN/>
        <w:spacing w:before="0" w:beforeAutospacing="0" w:after="0" w:afterAutospacing="0" w:line="578" w:lineRule="exact"/>
        <w:ind w:left="0" w:right="0"/>
        <w:contextualSpacing/>
        <w:jc w:val="both"/>
        <w:rPr>
          <w:rFonts w:hint="default" w:ascii="仿宋_GB2312" w:hAnsi="Calibri" w:eastAsia="仿宋_GB2312" w:cs="仿宋"/>
          <w:kern w:val="0"/>
          <w:sz w:val="32"/>
          <w:szCs w:val="32"/>
        </w:rPr>
      </w:pPr>
      <w:r>
        <w:rPr>
          <w:rFonts w:hint="default" w:ascii="仿宋_GB2312" w:hAnsi="Calibri" w:eastAsia="仿宋_GB2312" w:cs="仿宋_GB2312"/>
          <w:kern w:val="0"/>
          <w:sz w:val="32"/>
          <w:szCs w:val="32"/>
          <w:lang w:val="en-US" w:eastAsia="zh-CN" w:bidi="ar"/>
        </w:rPr>
        <w:t>(二)机构职能。</w:t>
      </w:r>
    </w:p>
    <w:p w14:paraId="0462DAC5">
      <w:pPr>
        <w:keepNext w:val="0"/>
        <w:keepLines w:val="0"/>
        <w:widowControl w:val="0"/>
        <w:suppressLineNumbers w:val="0"/>
        <w:suppressAutoHyphens/>
        <w:snapToGrid w:val="0"/>
        <w:spacing w:before="0" w:beforeAutospacing="0" w:after="0" w:afterAutospacing="0" w:line="520" w:lineRule="exact"/>
        <w:ind w:left="0" w:right="0" w:firstLine="640" w:firstLineChars="200"/>
        <w:jc w:val="both"/>
        <w:rPr>
          <w:rFonts w:hint="default"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渠县鲜渡镇人民政府基本职能：公共管理、公共服务、公共安全</w:t>
      </w:r>
      <w:r>
        <w:rPr>
          <w:rFonts w:hint="eastAsia" w:ascii="仿宋_GB2312" w:hAnsi="仿宋" w:eastAsia="仿宋_GB2312" w:cs="仿宋_GB2312"/>
          <w:kern w:val="2"/>
          <w:sz w:val="30"/>
          <w:szCs w:val="30"/>
          <w:lang w:val="en-US" w:eastAsia="zh-CN" w:bidi="ar"/>
        </w:rPr>
        <w:t>、民生保障。乡镇工作重心是实施乡村振兴战略、营造良好振兴环境</w:t>
      </w:r>
      <w:r>
        <w:rPr>
          <w:rFonts w:hint="eastAsia" w:ascii="仿宋_GB2312" w:hAnsi="仿宋" w:eastAsia="仿宋_GB2312" w:cs="仿宋_GB2312"/>
          <w:kern w:val="2"/>
          <w:sz w:val="32"/>
          <w:szCs w:val="32"/>
          <w:lang w:val="en-US" w:eastAsia="zh-CN" w:bidi="ar"/>
        </w:rPr>
        <w:t>、促进农民持续增收，推动乡镇职能由“管理型”向“公共服务型”转变。切实贯彻落实党和国家在农村的各项方针政策和法律法规，围绕农业、农村、农民搞好服务。组织群众发展生产、带动群众建设美好家园、教育群众共建和谐社会、服务群众让改革红利惠及鲜渡镇人民政府人民。</w:t>
      </w:r>
    </w:p>
    <w:p w14:paraId="122A156E">
      <w:pPr>
        <w:keepNext w:val="0"/>
        <w:keepLines w:val="0"/>
        <w:widowControl/>
        <w:numPr>
          <w:ilvl w:val="0"/>
          <w:numId w:val="1"/>
        </w:numPr>
        <w:suppressLineNumbers w:val="0"/>
        <w:suppressAutoHyphens/>
        <w:autoSpaceDE w:val="0"/>
        <w:autoSpaceDN/>
        <w:spacing w:before="0" w:beforeAutospacing="0" w:after="0" w:afterAutospacing="0" w:line="578" w:lineRule="exact"/>
        <w:ind w:leftChars="0" w:right="0" w:rightChars="0"/>
        <w:contextualSpacing/>
        <w:jc w:val="both"/>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人员概况。</w:t>
      </w:r>
    </w:p>
    <w:p w14:paraId="4BACFA26">
      <w:pPr>
        <w:keepNext w:val="0"/>
        <w:keepLines w:val="0"/>
        <w:widowControl/>
        <w:numPr>
          <w:ilvl w:val="0"/>
          <w:numId w:val="0"/>
        </w:numPr>
        <w:suppressLineNumbers w:val="0"/>
        <w:suppressAutoHyphens/>
        <w:autoSpaceDE w:val="0"/>
        <w:autoSpaceDN/>
        <w:spacing w:before="0" w:beforeAutospacing="0" w:after="0" w:afterAutospacing="0" w:line="578" w:lineRule="exact"/>
        <w:ind w:right="0" w:rightChars="0" w:firstLine="640" w:firstLineChars="200"/>
        <w:contextualSpacing/>
        <w:jc w:val="both"/>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截至2024年末，鲜渡镇人民政府机关编制数46名，其中行政编制25名，工勤人员控制数3人，事业编制21名。2024年实有人员47人，其中行政人员29人，非参公事业人员18人，村、社区补助人员30人，退休人员37人。学校、卫生院等部门的预算未纳入鲜渡镇人民政府预算，其人员也未包含在以上人员统计中。</w:t>
      </w:r>
    </w:p>
    <w:p w14:paraId="2383B683">
      <w:pPr>
        <w:keepNext w:val="0"/>
        <w:keepLines w:val="0"/>
        <w:widowControl/>
        <w:suppressLineNumbers w:val="0"/>
        <w:suppressAutoHyphens/>
        <w:autoSpaceDE w:val="0"/>
        <w:autoSpaceDN/>
        <w:spacing w:before="0" w:beforeAutospacing="0" w:after="0" w:afterAutospacing="0" w:line="578" w:lineRule="exact"/>
        <w:ind w:left="0" w:right="0"/>
        <w:contextualSpacing/>
        <w:jc w:val="both"/>
        <w:rPr>
          <w:rFonts w:hint="eastAsia" w:ascii="黑体" w:hAnsi="黑体" w:eastAsia="黑体" w:cs="黑体"/>
          <w:kern w:val="0"/>
          <w:sz w:val="32"/>
          <w:szCs w:val="32"/>
        </w:rPr>
      </w:pPr>
      <w:r>
        <w:rPr>
          <w:rFonts w:hint="eastAsia" w:ascii="黑体" w:hAnsi="黑体" w:eastAsia="黑体" w:cs="黑体"/>
          <w:kern w:val="0"/>
          <w:sz w:val="32"/>
          <w:szCs w:val="32"/>
          <w:lang w:val="en-US" w:eastAsia="zh-CN" w:bidi="ar"/>
        </w:rPr>
        <w:t>二、部门资金收支情况</w:t>
      </w:r>
    </w:p>
    <w:p w14:paraId="6556EA67">
      <w:pPr>
        <w:pStyle w:val="7"/>
        <w:spacing w:before="73" w:line="289" w:lineRule="auto"/>
        <w:ind w:right="144" w:firstLine="960" w:firstLineChars="300"/>
        <w:jc w:val="both"/>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(一)收入情况。渠县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财政拨款预算安排1150.88万元，中期调整预算407.63万元，全年</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财政拨款收入1558.51</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万</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元，年初政府性基金预算财政拨款收入53万元，中期调整政府性基金预算财政拨款收入24.2万元，全年政府性基金财政拨款收入77.2万元，2024年度实际预算收入1635.90万元。预算收入执行率达100%。</w:t>
      </w:r>
    </w:p>
    <w:p w14:paraId="77A4DA87">
      <w:pPr>
        <w:pStyle w:val="7"/>
        <w:spacing w:before="73" w:line="289" w:lineRule="auto"/>
        <w:ind w:right="144" w:firstLine="960" w:firstLineChars="300"/>
        <w:jc w:val="both"/>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决算报表</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财政拨款预算安排1558.51万，政府性基金预算财政拨款收入77.2万元，2024年度决算收入1635.90万元,</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预算收入执行率达100%</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7E9753BD">
      <w:pPr>
        <w:pStyle w:val="7"/>
        <w:spacing w:before="73" w:line="289" w:lineRule="auto"/>
        <w:ind w:right="144" w:firstLine="960" w:firstLineChars="300"/>
        <w:jc w:val="both"/>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支出情况。渠县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2024年年初预算支出1203.88万元。其中：基本支出969.13万元，占80.50%;项目支出234.75万元，占19.50%;上缴上级支出、经营支出、对附属单位补助支出没有,</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预算支出执行率达100%</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2024年决算报表支出1635.90万元,其中：基本支出984.72万元，占60.19%;项目支出651.19万元，占39.81%;上缴上级支出、经营支出、对附属单位补助支出没有,</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预算支出执行率达100%</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26B45AA0">
      <w:pPr>
        <w:pStyle w:val="7"/>
        <w:spacing w:before="73" w:line="289" w:lineRule="auto"/>
        <w:ind w:right="144" w:firstLine="960" w:firstLineChars="300"/>
        <w:jc w:val="both"/>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(三)结余分配和结转结余情况。渠县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2024年，决算收入金额为1635.90万元，决算支出金额为1635.90万元，年末无结转和结余</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369AA5FA">
      <w:pPr>
        <w:keepNext w:val="0"/>
        <w:keepLines w:val="0"/>
        <w:widowControl/>
        <w:suppressLineNumbers w:val="0"/>
        <w:suppressAutoHyphens/>
        <w:autoSpaceDE w:val="0"/>
        <w:autoSpaceDN/>
        <w:spacing w:before="0" w:beforeAutospacing="0" w:after="0" w:afterAutospacing="0" w:line="578" w:lineRule="exact"/>
        <w:ind w:left="0" w:right="0"/>
        <w:contextualSpacing/>
        <w:jc w:val="both"/>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三、部门预算绩效分析</w:t>
      </w:r>
    </w:p>
    <w:p w14:paraId="5D60728A">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部门预算绩效自评满分100分，自评得分98分</w:t>
      </w:r>
    </w:p>
    <w:p w14:paraId="0CD44FA5">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(一)部门预算总体绩效分析</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渠县鲜渡镇人民政府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预算绩效评价，按照指标体系“总体绩效”涉及二、三级指标进行逐项绩效分析并评分，依次包括履职效能、预算管理、财务管理、资产管理、采购管理等。</w:t>
      </w:r>
    </w:p>
    <w:p w14:paraId="09786C75">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1.履职效能</w:t>
      </w:r>
    </w:p>
    <w:p w14:paraId="4F981BB6">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履职效能满分15分，自评得分15分</w:t>
      </w:r>
    </w:p>
    <w:p w14:paraId="7A657F3D">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(1)预算编审履职效果</w:t>
      </w:r>
    </w:p>
    <w:p w14:paraId="4B4B8251">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一是单位预算编制完整，齐全，收入来源编报齐全，编报数据准确。二是项目绩效目标编制完整合理；明确量化，覆盖率达到年度要求。“预算编审履职效果”满分5分，自评得分5分。</w:t>
      </w:r>
    </w:p>
    <w:p w14:paraId="19C3F0AC">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(2)预算执行履职效果</w:t>
      </w:r>
    </w:p>
    <w:p w14:paraId="493A2619">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2024年年初预算资金</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1203.88万元</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年初</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预算完成率100%，</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年终调整预算1635.90万元，</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2024年实际执行</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1635.90万元</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，执行调整预算完成率100%，</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由于</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年初预算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只是按年初的人员数、工资标准以及常年性运转项目编报的预算，因此年初预算未能全面覆盖</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在预算执行</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年</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度期间，根据人员调动、退休、工资调整、当年特定工作开展的情况，进行调整预算</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并及时支付</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是必然的</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“三公”经费</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预算金额为</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6.00万元</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，实际支出</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5.94万元</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“三公”经费</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支出控制在预算内。</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满分5分，自评得分5分。</w:t>
      </w:r>
    </w:p>
    <w:p w14:paraId="7A58DE59">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（3）预决算信息公开履职效果</w:t>
      </w:r>
    </w:p>
    <w:p w14:paraId="08CFC983">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已按规定内容和时限公开预决算信息；预决算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公开</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基础数据信息和会计信息资料真实、完整、准确。满分5分，自评得分5分。</w:t>
      </w:r>
    </w:p>
    <w:p w14:paraId="08924C40">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en-US" w:bidi="ar"/>
          <w14:textFill>
            <w14:solidFill>
              <w14:schemeClr w14:val="tx1"/>
            </w14:solidFill>
          </w14:textFill>
        </w:rPr>
        <w:t>2.</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预算管理</w:t>
      </w:r>
    </w:p>
    <w:p w14:paraId="20A25EF7">
      <w:pPr>
        <w:pStyle w:val="7"/>
        <w:spacing w:before="145" w:line="300" w:lineRule="auto"/>
        <w:ind w:left="285" w:right="57" w:firstLine="770"/>
        <w:rPr>
          <w:rFonts w:hint="eastAsia" w:ascii="仿宋" w:hAnsi="仿宋" w:eastAsia="仿宋" w:cs="仿宋"/>
          <w:sz w:val="30"/>
          <w:szCs w:val="30"/>
          <w:lang w:val="zh-CN"/>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预算管理</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满分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5分，自评得分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24</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p>
    <w:p w14:paraId="57453AB7">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(1)预算编制质量。2024年，渠县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预算项目共有53个，根据渠县财政局2024年部门预算编制口径，按照《中共四川省委四川省人民政府关于全面实施预算绩效管理的实施意见》、《全县预算绩效管理工作推进方案》（渠财绩〔2019〕8号）、《渠县财政局关于加强2022年预算编制阶段绩效目标管理工作的通知》（渠财绩〔2021〕19号）规定要求，每个项目分别设置了整体目标和绩效目标，绩效目标要素完整，指标细化量化。单位预算的编制采用零基预算方法，在预算编制时，成立预算编审班子，根据上年度的预算执行情况和本年度经济发展情况，综合考虑各方面因素，编制本部门预算，编制预算准确。</w:t>
      </w:r>
    </w:p>
    <w:p w14:paraId="2633BC9F">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2024年预算收入统一编制，全年</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拨款收入1558.51万元，基金预算收入77.20万元。其中一般公共服务支出447.81万元，占总支出的27.37%;文化旅游体育与传媒支出4.50万元，占总支出的0.28%;社会保障和就业支出88.87万元，占总支出的5.43%;卫生健康支出30.05万元，占总支出的1.84%;节能环保支出30.57万元，占总支出的1.87%;城乡社区支出77.20万元，占总支出的4.72%;农林水支出888.45万元，占总支出的54.31%;交通运输支出20万元，占总支出的1.22%;住房保障支出47.25万元，占总支出的2.89%；国有资本经营预算支出0.20万元，占总支出的0.01%；灾害防治及应急管理支出1.00万元，占总支出的0.06%。</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满分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8</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分，自评得分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8</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p>
    <w:p w14:paraId="56F1151D">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（2）单位收入统筹</w:t>
      </w:r>
    </w:p>
    <w:p w14:paraId="7D079C42">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2024年本单位无自有收入情况。满分4分，自评得分4分</w:t>
      </w:r>
    </w:p>
    <w:p w14:paraId="340C669D">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(3)支出执行进度，渠县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，6月预算执行757.42万元，执行率46.30%;9月预算执行970.09万元，执行率59.30%;10月预算执行1169.67万元，执行率71.50%；12月预算执行1635.90万元，执行率100%。因年中预算执行进度缓慢，此项被扣1分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，满分6分，自评得分5分。</w:t>
      </w:r>
    </w:p>
    <w:p w14:paraId="0246E3D0">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(4)渠县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2024年，决算收入金额1635.90万元，决算支出金额为1635.90万元，年末结转结余没有。满分2分，自评得分2分。</w:t>
      </w:r>
    </w:p>
    <w:p w14:paraId="03ED4640">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，严控一般性支出，“三公”经费、会议、培训、差旅、办公设备购置、信息网络及软件购置更新、课题经费等8项一般性支出，2024年决算数77.24万元，比2023年增加8.98万元，增长13.16%。满分5分，自评得分5分。</w:t>
      </w:r>
    </w:p>
    <w:p w14:paraId="7C99F571">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3.财务管理</w:t>
      </w:r>
    </w:p>
    <w:p w14:paraId="366A5620">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财务管理满分10分，自评得分10分。</w:t>
      </w:r>
    </w:p>
    <w:p w14:paraId="3CA5D81A">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(1)财务管理制度</w:t>
      </w:r>
    </w:p>
    <w:p w14:paraId="3D4F3D94">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制度建设。</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建立了涵盖“预算业务”、“收支业务”、“政府采购业务”、“资产管理”、“建设项目”、“合同”六大经济业务领域的内控制度，并结合实际或中央、省、市有关管理规定及时更新。</w:t>
      </w:r>
    </w:p>
    <w:p w14:paraId="463F5ACC">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制度执行。</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按照“分事分权、分岗设权、分级授权”等要求，落实不相容岗位分离和定期轮岗等内部权力制衡基本举措，建立了重大事项议事决策机制，并建立了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决策权、管理权、执行权和监督权“四权分离”的制度。满分4分，自评得分4分。</w:t>
      </w:r>
    </w:p>
    <w:p w14:paraId="49297F4E">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(2)部门财务岗位设置</w:t>
      </w:r>
    </w:p>
    <w:p w14:paraId="0DC8D940">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设置了支出审核岗位，由</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法人为审批人，</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党委书记为审核人；财政所设置了出纳、会计、所长等职责分离岗位。满分2分，自评得分2分。</w:t>
      </w:r>
    </w:p>
    <w:p w14:paraId="72F74DB6">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(3)资金使用规范</w:t>
      </w:r>
    </w:p>
    <w:p w14:paraId="5A7320FF">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财政所经办人员按照</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各项工作开展的资金需求情况，根据集体领导的意见，在不突破调整预算的前提下，通过预算一体化平台用款计划栏目申报资金，财政所长复核报送财政局预算股，由财政局预算股、国库股以及相关领导负责资金使用的全程监督、审核，资金全额在预算一体化平台支付到相关人员的账户上，资金运用良好，没有挤占挪用情况。满分4分，自评得分4分。</w:t>
      </w:r>
    </w:p>
    <w:p w14:paraId="7580F7C1">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4.资产管理</w:t>
      </w:r>
    </w:p>
    <w:p w14:paraId="009CCD64">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资产管理满分9分，自评得分9分。</w:t>
      </w:r>
    </w:p>
    <w:p w14:paraId="5A4BA6A7">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zh-CN" w:eastAsia="zh-CN" w:bidi="ar"/>
          <w14:textFill>
            <w14:solidFill>
              <w14:schemeClr w14:val="tx1"/>
            </w14:solidFill>
          </w14:textFill>
        </w:rPr>
        <w:t>人均资产变化率</w:t>
      </w:r>
    </w:p>
    <w:p w14:paraId="6711972B">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年末固定资产原值148.73万元，比2023年增加2.05万元，政府机关在职干部2024年47人，2024年人均占有固定资产3.16万元，比2023年人均占有固定资产减少0.60万元，下降15.98%。所有资产都在用，没有闲置资产，不存在资产盘活。满分3分，自评得分3分。</w:t>
      </w:r>
    </w:p>
    <w:p w14:paraId="16F69DC2">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（2）固定资产利用率</w:t>
      </w:r>
    </w:p>
    <w:p w14:paraId="42ED63D4">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截至2024年12月底，土地、房屋及构筑物、通用设备、家具、用具、装具及动植物账面原值148.73万元，所有资产都在用，资产利用率100%。满分3分，自评得分3分。</w:t>
      </w:r>
    </w:p>
    <w:p w14:paraId="5FFAD2EC">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（3）资产盘活率</w:t>
      </w:r>
    </w:p>
    <w:p w14:paraId="3B6F9D78">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截至2024年12月底，所有资产都在用，没有闲置资产，盘活率100%。满分3分，自评得分3分。</w:t>
      </w:r>
    </w:p>
    <w:p w14:paraId="64EBA522">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5.采购管理</w:t>
      </w:r>
    </w:p>
    <w:p w14:paraId="441EFC2C">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采购管理满分6分，自评得分6分</w:t>
      </w:r>
    </w:p>
    <w:p w14:paraId="1BEE4C3C">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(1)支持中小企业发展</w:t>
      </w:r>
    </w:p>
    <w:p w14:paraId="2DA0FFA3">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2024年严格执行政府采购支持中小企业发展管理办法，完成了中小企业扶贫产品采购任务。满分3分，自评得3分。</w:t>
      </w:r>
    </w:p>
    <w:p w14:paraId="4EC95677">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（2）采购执行率</w:t>
      </w:r>
    </w:p>
    <w:p w14:paraId="423F4815">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2024年政府无采购预算。满分3分，自评得分3分。</w:t>
      </w:r>
    </w:p>
    <w:p w14:paraId="70F3DE33">
      <w:pPr>
        <w:pStyle w:val="7"/>
        <w:spacing w:before="145" w:line="300" w:lineRule="auto"/>
        <w:ind w:left="285" w:right="57" w:firstLine="770"/>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en-US" w:bidi="ar"/>
          <w14:textFill>
            <w14:solidFill>
              <w14:schemeClr w14:val="tx1"/>
            </w14:solidFill>
          </w14:textFill>
        </w:rPr>
        <w:t>(二)</w:t>
      </w:r>
      <w:r>
        <w:rPr>
          <w:rFonts w:hint="eastAsia" w:ascii="黑体" w:hAnsi="黑体" w:eastAsia="黑体" w:cs="黑体"/>
          <w:color w:val="000000" w:themeColor="text1"/>
          <w:kern w:val="0"/>
          <w:sz w:val="32"/>
          <w:szCs w:val="32"/>
          <w:lang w:val="en-US" w:eastAsia="zh-CN" w:bidi="ar"/>
          <w14:textFill>
            <w14:solidFill>
              <w14:schemeClr w14:val="tx1"/>
            </w14:solidFill>
          </w14:textFill>
        </w:rPr>
        <w:t>部门预算项目绩效分析</w:t>
      </w:r>
    </w:p>
    <w:p w14:paraId="4EA88F77">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部门预算项目绩效分析满分35分，自评得分35分。</w:t>
      </w:r>
    </w:p>
    <w:p w14:paraId="209A9E3F">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常年项目绩效分析。该类项目总数48个，涉及预算总金额1241.66万元，1-12月预算执行总体进度为100%,其中：预算结余率大于10%的项目共计0个。</w:t>
      </w:r>
    </w:p>
    <w:p w14:paraId="458435DC">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阶段(一次性)项目绩效分析。该类项目总数14个，涉及预算总金额394.24万元，1-12月预算执行总体进度为100%,其中：预算结余率大于10%的项目共计0个。</w:t>
      </w:r>
    </w:p>
    <w:p w14:paraId="01B13BC5">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en-US" w:bidi="ar"/>
          <w14:textFill>
            <w14:solidFill>
              <w14:schemeClr w14:val="tx1"/>
            </w14:solidFill>
          </w14:textFill>
        </w:rPr>
        <w:t>1.</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项目决策</w:t>
      </w:r>
    </w:p>
    <w:p w14:paraId="593A7174">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项目决策满分12分，自评得分12分。</w:t>
      </w:r>
    </w:p>
    <w:p w14:paraId="053FDDE3">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（1）决策程序。部门预算项目的设立履行了项目申报论证程序，与部门的职能职责相符，项目申报经过集体决策。满分4分，自评得分4分。</w:t>
      </w:r>
    </w:p>
    <w:p w14:paraId="58AFA2D9">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（2）目标设置。绩效目标制定科学合理，规范完整，量化细化，并与预算安排项目匹配。满分4分，自评得分4分。</w:t>
      </w:r>
    </w:p>
    <w:p w14:paraId="1B95CAD0">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（3）项目入库。所有项目均在规定时间内完成入库满分4分，自评得分4分。满分12分，自评得分12分。</w:t>
      </w:r>
    </w:p>
    <w:p w14:paraId="251F585E">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2.项目执行</w:t>
      </w:r>
    </w:p>
    <w:p w14:paraId="01FD8B09">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zh-CN"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（1）执行同向</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根据现场评价，抽查项目实际列支内容与项目绩效目标设置方向基本相符</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满分4分，自评得分4分。</w:t>
      </w:r>
    </w:p>
    <w:p w14:paraId="40D5D90C">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（2）项目调整</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根据现场评价情况，抽查项目中涉及预算调整的项目15个，能</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按照相关规定履行</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调整报批手续，调整程序规范，依据较充分。指标满分4分，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自评得分</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4分。</w:t>
      </w:r>
    </w:p>
    <w:p w14:paraId="7F82E1D0">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（3）执行结果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根据</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提供资料，</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部门预算项目</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53</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个，预算结余率小于10%项目</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53</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个占项目总数100%。指标满分4分，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自评得分</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4分。</w:t>
      </w:r>
    </w:p>
    <w:p w14:paraId="35057AF9">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3.目标实现。</w:t>
      </w:r>
    </w:p>
    <w:p w14:paraId="26F21EE1">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目标实现</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指标满分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11</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自评得分11</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p>
    <w:p w14:paraId="5A70DD49">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（1）目标完成</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，2024年预算收入目标1635.90万元，其中：</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财政拨款1558.51万元，政府性基金预算财政拨款收入77.2万元，2024年度实际完成预算收入目标1635.90万元，完成收入目标数占调整目标数的100%,目标没有出现偏离的现象。2024年预算支出目标1635.90万元，其中：</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财政拨款支出1558.51万元，政府性基金预算财政拨款支出77.20万元，2024年度实际完成预算支出目标1635.90万元，完成支出目标数占调整目标数的100%,目标没有出现偏离的现象。</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指标满分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4</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自评得分4</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3BB82EFB">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（2）项目偏离</w:t>
      </w:r>
    </w:p>
    <w:p w14:paraId="7A37C674">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已完成预期指标值的数量指标中偏离度在30%内的指标</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0</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个，已完成预期指标值的数量指标</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53个</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，部门项目中已完成的数量指标偏离度在30%内的</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没有</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。指标满分4分，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自评得分4分</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2B895248">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（3）实现效果</w:t>
      </w:r>
    </w:p>
    <w:p w14:paraId="1096B318">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部门预算项目绩效目标效益指标49个，已完成预期指标值的48个，占比97.96%</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满意度指标没有达到100%扣1分，</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满分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分，</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自评得分2分</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6E866ECF">
      <w:pPr>
        <w:pStyle w:val="7"/>
        <w:spacing w:before="145" w:line="300" w:lineRule="auto"/>
        <w:ind w:left="285" w:right="57" w:firstLine="770"/>
        <w:rPr>
          <w:rFonts w:hint="eastAsia" w:ascii="黑体" w:hAnsi="黑体" w:eastAsia="黑体" w:cs="黑体"/>
          <w:color w:val="000000" w:themeColor="text1"/>
          <w:kern w:val="0"/>
          <w:sz w:val="32"/>
          <w:szCs w:val="32"/>
          <w:lang w:val="zh-CN"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(三)</w:t>
      </w:r>
      <w:r>
        <w:rPr>
          <w:rFonts w:hint="eastAsia" w:ascii="黑体" w:hAnsi="黑体" w:eastAsia="黑体" w:cs="黑体"/>
          <w:color w:val="000000" w:themeColor="text1"/>
          <w:kern w:val="0"/>
          <w:sz w:val="32"/>
          <w:szCs w:val="32"/>
          <w:lang w:val="zh-CN" w:eastAsia="zh-CN" w:bidi="ar"/>
          <w14:textFill>
            <w14:solidFill>
              <w14:schemeClr w14:val="tx1"/>
            </w14:solidFill>
          </w14:textFill>
        </w:rPr>
        <w:t>其他“两本”预算和重点领域项目情况。</w:t>
      </w:r>
    </w:p>
    <w:p w14:paraId="7AE39FA5">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2024年，</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共有</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53个</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部门预算项目，其中</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一般公共预算</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项目</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51</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个，政府性基金预算项目</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个，国有资本经营预算项目</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没有</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w:t>
      </w:r>
    </w:p>
    <w:p w14:paraId="534C50EF">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1.政府性基金预算情况。</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2024年基金预算项目包括渠江港湾式停泊区（大坵村）建设占地及青苗补偿24.20万元，2024年城乡环境综合治理53万元，2个项目年初预算53万元，中期调整预算77.20万元，年终执行预算77.20万元，执行率100%。</w:t>
      </w:r>
    </w:p>
    <w:p w14:paraId="3CD3A9A7">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2.国有资本经营预算情况。</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国有资本经营预算没有。</w:t>
      </w:r>
    </w:p>
    <w:p w14:paraId="09E98394">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3.债券资金、政府购买服务等重点领域情况。</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没有。</w:t>
      </w:r>
    </w:p>
    <w:p w14:paraId="10AD55BF">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(四)绩效结果应用情况</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。围绕内部应用情况、信息公开情况、整改反馈情况进行分析。</w:t>
      </w:r>
    </w:p>
    <w:p w14:paraId="219BA49B">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1</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建立绩效评价激励与约束机制。根据单位绩效评价结果，在安排项目资金进行综合考虑。一对于绩效评价结果优秀且绩效突出的，在安排该项目后续资金时给予优先保障：二绩效评价结果为良好的，在安排该项目后续</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资金</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时给予保障，力求延续项目能够持续有效开展。三绩效评价结果为合格的，提出整改意见，并对整改意见落实情况进行跟踪观察，在此过程中，拨款及支付暂缓进行。四绩效评价结果为不合格的，及时提出整改意见，整改期间停止安排资金的拨款和支付，对于完成绩效评价的项目，加强项目前期论证和综合分析，以确保项目资金使用的安全有效。</w:t>
      </w:r>
    </w:p>
    <w:p w14:paraId="3C769A1B">
      <w:pPr>
        <w:pStyle w:val="7"/>
        <w:spacing w:before="145" w:line="300" w:lineRule="auto"/>
        <w:ind w:left="285" w:right="57" w:firstLine="770"/>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2</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.对项目单位绩效自评完成进度</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14:paraId="25D101B5">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3.预算公开。按照预算公开的相关要求，渠县鲜渡镇人民政府于2024年7月9日在渠县门户网站公开了2024年预算，并将部门项目支出绩效目标、部门整体绩效目标和预算绩效管理情况随同预算公开。</w:t>
      </w:r>
    </w:p>
    <w:p w14:paraId="4AEFCC3B">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4.决算公开。按照决算公开的相关要求，渠县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2024年9月30日在渠县门户网站公开了2023年决算，并将部门整体绩效目标自评、项目支出绩效目标自评、部门整体绩效自评报告和项目绩效自评报告情况随同决算公开。</w:t>
      </w:r>
    </w:p>
    <w:p w14:paraId="0F33C687">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5.整改反馈情况</w:t>
      </w:r>
    </w:p>
    <w:p w14:paraId="749FFA61">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(1)结果整改。2024年，渠县财政局在2024年部门预算绩效目标审查、绩效监控和2023年重点绩效评价中，未对我单位提出整改意见。</w:t>
      </w:r>
    </w:p>
    <w:p w14:paraId="7AF99AAD">
      <w:pPr>
        <w:pStyle w:val="7"/>
        <w:spacing w:before="145" w:line="300" w:lineRule="auto"/>
        <w:ind w:left="285" w:right="57" w:firstLine="770"/>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(2)应用反馈。我单位未收到整改意见，因此也不涉及反馈结果应用报告。</w:t>
      </w:r>
    </w:p>
    <w:p w14:paraId="0F963B2F">
      <w:pPr>
        <w:spacing w:before="137" w:line="222" w:lineRule="auto"/>
        <w:ind w:left="839"/>
        <w:outlineLvl w:val="0"/>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四、评价结论及建议</w:t>
      </w:r>
    </w:p>
    <w:p w14:paraId="60DEAD3C">
      <w:pPr>
        <w:spacing w:before="160" w:line="223" w:lineRule="auto"/>
        <w:ind w:left="904"/>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(一)评价结论</w:t>
      </w:r>
    </w:p>
    <w:p w14:paraId="531E908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Calibri"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zh-CN" w:eastAsia="zh-CN" w:bidi="ar"/>
          <w14:textFill>
            <w14:solidFill>
              <w14:schemeClr w14:val="tx1"/>
            </w14:solidFill>
          </w14:textFill>
        </w:rPr>
        <w:t>鲜渡镇人民政府</w:t>
      </w:r>
      <w:r>
        <w:rPr>
          <w:rFonts w:hint="default" w:ascii="仿宋_GB2312" w:hAnsi="Calibri" w:eastAsia="仿宋_GB2312" w:cs="仿宋_GB2312"/>
          <w:color w:val="000000" w:themeColor="text1"/>
          <w:kern w:val="0"/>
          <w:sz w:val="32"/>
          <w:szCs w:val="32"/>
          <w:lang w:val="zh-CN" w:eastAsia="zh-CN" w:bidi="ar"/>
          <w14:textFill>
            <w14:solidFill>
              <w14:schemeClr w14:val="tx1"/>
            </w14:solidFill>
          </w14:textFill>
        </w:rPr>
        <w:t>202</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4</w:t>
      </w:r>
      <w:r>
        <w:rPr>
          <w:rFonts w:hint="default" w:ascii="仿宋_GB2312" w:hAnsi="Calibri" w:eastAsia="仿宋_GB2312" w:cs="仿宋_GB2312"/>
          <w:color w:val="000000" w:themeColor="text1"/>
          <w:kern w:val="0"/>
          <w:sz w:val="32"/>
          <w:szCs w:val="32"/>
          <w:lang w:val="zh-CN" w:eastAsia="zh-CN" w:bidi="ar"/>
          <w14:textFill>
            <w14:solidFill>
              <w14:schemeClr w14:val="tx1"/>
            </w14:solidFill>
          </w14:textFill>
        </w:rPr>
        <w:t>年部门整体支出绩效情况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w:t>
      </w:r>
      <w:r>
        <w:rPr>
          <w:rFonts w:hint="default" w:ascii="仿宋_GB2312" w:hAnsi="Calibri" w:eastAsia="仿宋_GB2312" w:cs="仿宋_GB2312"/>
          <w:color w:val="000000" w:themeColor="text1"/>
          <w:kern w:val="0"/>
          <w:sz w:val="32"/>
          <w:szCs w:val="32"/>
          <w:lang w:val="en-US" w:eastAsia="zh-CN" w:bidi="ar"/>
          <w14:textFill>
            <w14:solidFill>
              <w14:schemeClr w14:val="tx1"/>
            </w14:solidFill>
          </w14:textFill>
        </w:rPr>
        <w:t>4</w:t>
      </w:r>
      <w:r>
        <w:rPr>
          <w:rFonts w:hint="default" w:ascii="仿宋_GB2312" w:hAnsi="Calibri" w:eastAsia="仿宋_GB2312" w:cs="仿宋_GB2312"/>
          <w:color w:val="000000" w:themeColor="text1"/>
          <w:kern w:val="0"/>
          <w:sz w:val="32"/>
          <w:szCs w:val="32"/>
          <w:lang w:val="zh-CN" w:eastAsia="zh-CN" w:bidi="ar"/>
          <w14:textFill>
            <w14:solidFill>
              <w14:schemeClr w14:val="tx1"/>
            </w14:solidFill>
          </w14:textFill>
        </w:rPr>
        <w:t>年部门整体支出绩效评价得分98分。</w:t>
      </w:r>
    </w:p>
    <w:p w14:paraId="5DDF068D">
      <w:pPr>
        <w:spacing w:before="72" w:line="227" w:lineRule="auto"/>
        <w:ind w:left="909"/>
        <w:outlineLvl w:val="0"/>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(二)存在的问题</w:t>
      </w:r>
    </w:p>
    <w:p w14:paraId="465C1B3C">
      <w:pPr>
        <w:pStyle w:val="7"/>
        <w:spacing w:before="155" w:line="305" w:lineRule="auto"/>
        <w:ind w:left="245" w:right="194" w:firstLine="590"/>
        <w:jc w:val="both"/>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通过对2024年支出总体情况分析和自查，发现渠县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污水处理支管网建设项目、渠县</w:t>
      </w:r>
      <w:r>
        <w:rPr>
          <w:rFonts w:hint="eastAsia" w:ascii="仿宋_GB2312" w:eastAsia="仿宋_GB2312" w:cs="仿宋_GB2312"/>
          <w:color w:val="000000" w:themeColor="text1"/>
          <w:kern w:val="0"/>
          <w:sz w:val="32"/>
          <w:szCs w:val="32"/>
          <w:lang w:val="en-US" w:eastAsia="zh-CN" w:bidi="ar"/>
          <w14:textFill>
            <w14:solidFill>
              <w14:schemeClr w14:val="tx1"/>
            </w14:solidFill>
          </w14:textFill>
        </w:rPr>
        <w:t>鲜渡镇人民政府</w:t>
      </w: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金花村山坪塘整治等项目因财政资金调度困难，支出进度缓慢。</w:t>
      </w:r>
    </w:p>
    <w:p w14:paraId="776B28BE">
      <w:pPr>
        <w:spacing w:before="72" w:line="232" w:lineRule="auto"/>
        <w:ind w:left="909"/>
        <w:outlineLvl w:val="0"/>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(三)整改建议意见</w:t>
      </w:r>
    </w:p>
    <w:p w14:paraId="1638785E">
      <w:pPr>
        <w:pStyle w:val="7"/>
        <w:spacing w:before="167" w:line="307" w:lineRule="auto"/>
        <w:ind w:left="245" w:right="50" w:firstLine="590"/>
        <w:jc w:val="both"/>
        <w:rPr>
          <w:rFonts w:hint="default" w:ascii="方正公文小标宋" w:hAnsi="方正公文小标宋" w:eastAsia="方正公文小标宋" w:cs="方正公文小标宋"/>
          <w:sz w:val="32"/>
          <w:szCs w:val="32"/>
          <w:lang w:val="en-US" w:eastAsia="zh-CN"/>
        </w:rPr>
      </w:pPr>
      <w:r>
        <w:rPr>
          <w:rFonts w:hint="eastAsia" w:ascii="仿宋_GB2312" w:hAnsi="Calibri" w:eastAsia="仿宋_GB2312" w:cs="仿宋_GB2312"/>
          <w:color w:val="000000" w:themeColor="text1"/>
          <w:kern w:val="0"/>
          <w:sz w:val="32"/>
          <w:szCs w:val="32"/>
          <w:lang w:val="en-US" w:eastAsia="zh-CN" w:bidi="ar"/>
          <w14:textFill>
            <w14:solidFill>
              <w14:schemeClr w14:val="tx1"/>
            </w14:solidFill>
          </w14:textFill>
        </w:rPr>
        <w:t>在接下来的工作中，将做好项目事前评估，优化项目绩效编制，更科学地细化项目绩效目标，对有偏差的绩效目标进行及时纠正整改。有计划、有步骤、全面有效地实施部门预算绩效管理。</w:t>
      </w:r>
    </w:p>
    <w:p w14:paraId="58720832">
      <w:pPr>
        <w:pStyle w:val="8"/>
        <w:spacing w:line="240" w:lineRule="auto"/>
        <w:jc w:val="center"/>
        <w:rPr>
          <w:rFonts w:hint="eastAsia" w:ascii="宋体" w:hAnsi="宋体" w:eastAsia="宋体" w:cs="宋体"/>
          <w:b/>
          <w:bCs/>
          <w:spacing w:val="-6"/>
          <w:kern w:val="2"/>
          <w:sz w:val="41"/>
          <w:szCs w:val="41"/>
          <w:lang w:val="en-US" w:eastAsia="zh-CN" w:bidi="ar-SA"/>
        </w:rPr>
      </w:pPr>
      <w:r>
        <w:rPr>
          <w:rFonts w:hint="eastAsia" w:ascii="宋体" w:hAnsi="宋体" w:eastAsia="宋体" w:cs="宋体"/>
          <w:b/>
          <w:bCs/>
          <w:spacing w:val="-6"/>
          <w:kern w:val="2"/>
          <w:sz w:val="41"/>
          <w:szCs w:val="41"/>
          <w:lang w:val="en-US" w:eastAsia="zh-CN" w:bidi="ar-SA"/>
        </w:rPr>
        <w:t>部门预算绩效自评打分表</w:t>
      </w:r>
    </w:p>
    <w:tbl>
      <w:tblPr>
        <w:tblStyle w:val="9"/>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245"/>
        <w:gridCol w:w="1665"/>
        <w:gridCol w:w="775"/>
        <w:gridCol w:w="4890"/>
        <w:gridCol w:w="673"/>
        <w:gridCol w:w="478"/>
      </w:tblGrid>
      <w:tr w14:paraId="4512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8" w:type="dxa"/>
            <w:gridSpan w:val="4"/>
            <w:tcBorders>
              <w:top w:val="single" w:color="000000" w:sz="4" w:space="0"/>
              <w:left w:val="single" w:color="000000" w:sz="4" w:space="0"/>
              <w:bottom w:val="single" w:color="000000" w:sz="4" w:space="0"/>
              <w:right w:val="single" w:color="000000" w:sz="4" w:space="0"/>
            </w:tcBorders>
            <w:noWrap w:val="0"/>
            <w:vAlign w:val="center"/>
          </w:tcPr>
          <w:p w14:paraId="13D72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绩效评价指标指标分值</w:t>
            </w:r>
          </w:p>
        </w:tc>
        <w:tc>
          <w:tcPr>
            <w:tcW w:w="4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79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指标解释</w:t>
            </w:r>
          </w:p>
        </w:tc>
        <w:tc>
          <w:tcPr>
            <w:tcW w:w="673" w:type="dxa"/>
            <w:vMerge w:val="restart"/>
            <w:tcBorders>
              <w:top w:val="single" w:color="000000" w:sz="4" w:space="0"/>
              <w:left w:val="single" w:color="000000" w:sz="4" w:space="0"/>
              <w:right w:val="single" w:color="000000" w:sz="4" w:space="0"/>
            </w:tcBorders>
            <w:noWrap w:val="0"/>
            <w:vAlign w:val="center"/>
          </w:tcPr>
          <w:p w14:paraId="4C2C1F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4846C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备注</w:t>
            </w:r>
          </w:p>
        </w:tc>
      </w:tr>
      <w:tr w14:paraId="5E67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93" w:type="dxa"/>
            <w:tcBorders>
              <w:top w:val="single" w:color="000000" w:sz="4" w:space="0"/>
              <w:left w:val="single" w:color="000000" w:sz="4" w:space="0"/>
              <w:bottom w:val="single" w:color="000000" w:sz="4" w:space="0"/>
              <w:right w:val="nil"/>
            </w:tcBorders>
            <w:noWrap w:val="0"/>
            <w:vAlign w:val="center"/>
          </w:tcPr>
          <w:p w14:paraId="16FA1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A9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0D0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0CE9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分值</w:t>
            </w:r>
          </w:p>
        </w:tc>
        <w:tc>
          <w:tcPr>
            <w:tcW w:w="4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3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color w:val="000000"/>
                <w:sz w:val="15"/>
                <w:szCs w:val="15"/>
                <w:u w:val="none"/>
              </w:rPr>
            </w:pPr>
          </w:p>
        </w:tc>
        <w:tc>
          <w:tcPr>
            <w:tcW w:w="673" w:type="dxa"/>
            <w:vMerge w:val="continue"/>
            <w:tcBorders>
              <w:left w:val="single" w:color="000000" w:sz="4" w:space="0"/>
              <w:bottom w:val="single" w:color="000000" w:sz="4" w:space="0"/>
              <w:right w:val="single" w:color="000000" w:sz="4" w:space="0"/>
            </w:tcBorders>
            <w:noWrap w:val="0"/>
            <w:vAlign w:val="center"/>
          </w:tcPr>
          <w:p w14:paraId="65696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color w:val="000000"/>
                <w:sz w:val="15"/>
                <w:szCs w:val="15"/>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67529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color w:val="000000"/>
                <w:sz w:val="15"/>
                <w:szCs w:val="15"/>
                <w:u w:val="none"/>
              </w:rPr>
            </w:pPr>
          </w:p>
        </w:tc>
      </w:tr>
      <w:tr w14:paraId="15F6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319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B7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履职效能</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463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预算编审履职效果</w:t>
            </w:r>
          </w:p>
        </w:tc>
        <w:tc>
          <w:tcPr>
            <w:tcW w:w="775" w:type="dxa"/>
            <w:vMerge w:val="restart"/>
            <w:tcBorders>
              <w:top w:val="nil"/>
              <w:left w:val="single" w:color="000000" w:sz="4" w:space="0"/>
              <w:bottom w:val="single" w:color="000000" w:sz="4" w:space="0"/>
              <w:right w:val="single" w:color="000000" w:sz="4" w:space="0"/>
            </w:tcBorders>
            <w:noWrap w:val="0"/>
            <w:vAlign w:val="center"/>
          </w:tcPr>
          <w:p w14:paraId="1BC3F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2FC1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预算编审</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121D2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AC00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4D30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left w:val="single" w:color="000000" w:sz="4" w:space="0"/>
              <w:right w:val="single" w:color="000000" w:sz="4" w:space="0"/>
            </w:tcBorders>
            <w:noWrap w:val="0"/>
            <w:vAlign w:val="center"/>
          </w:tcPr>
          <w:p w14:paraId="4008F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C0B1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A746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19D0E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01BC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预算执行</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5569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3BF8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0537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left w:val="single" w:color="000000" w:sz="4" w:space="0"/>
              <w:right w:val="single" w:color="000000" w:sz="4" w:space="0"/>
            </w:tcBorders>
            <w:noWrap w:val="0"/>
            <w:vAlign w:val="center"/>
          </w:tcPr>
          <w:p w14:paraId="794D4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0BC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547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预决算信息公开履职效果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39ECF0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67BF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预决算信息公开</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BFF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4DE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277B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EB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01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预算管理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A0ED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预算编制质量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9BB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23E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部门是否严格按要求编制年初部门预算，年初预算编制的科学性和准确性</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886C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3EEF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E4A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44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F7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2EF6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单位收入统筹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C6A3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BC40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部门统筹自有收入程度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7E36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9930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28A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1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13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E57A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支出执行进度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1AB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C3D0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部门1至6月、1至10月预算执行情况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3E3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B51A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2653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24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13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1507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预算年终结余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9260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8B12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部门整体年终预算结余情况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9E10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E028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135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57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121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FE9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严控一般性支出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CEA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72B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部门严控</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三公</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经费、会议、培训、差旅、办节办展、办公设备购置、信息网络及软件购置更新、课题经费等8项一般性支出情况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6F8E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E04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22FE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97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3E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财务管理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D94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财务管理制度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10D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2B5FA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部门财务管理制度建立情况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C927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FEA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90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D0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D2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64D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财务岗位设置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1C0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EAE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部门财务岗位设置是否符合相关财务管理制度要求</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D98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CE72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69D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01F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05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5FEC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资金使用规范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F0B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7FBE2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部门资金使用是否符合相关财务管理制度规定</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EA45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59B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409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79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49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8B3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人均资产变化率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9B6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14AA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部门人均资产变化情况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B5B2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5768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31FA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F78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7A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0BE1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资产利用率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C6C9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984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部门资产超最低使用年限情况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41F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D13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33E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F3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8D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050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资产盘活率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86F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01B5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部门闲置一年以上的资产盘活情况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3E8D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8841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377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91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73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采购管理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7DC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支持中小企业发展</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F254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5005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部门是否严格执行政府采购促进中小企业发展相关管理办法</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9FF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D3FB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212E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2F3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B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1D86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采购执行率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D615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5536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部门政府采购项目资金支付比例情况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C4B4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0B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21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01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（35分）</w:t>
            </w:r>
          </w:p>
        </w:tc>
        <w:tc>
          <w:tcPr>
            <w:tcW w:w="1245" w:type="dxa"/>
            <w:vMerge w:val="restart"/>
            <w:tcBorders>
              <w:top w:val="single" w:color="000000" w:sz="4" w:space="0"/>
              <w:left w:val="single" w:color="000000" w:sz="4" w:space="0"/>
              <w:bottom w:val="nil"/>
              <w:right w:val="single" w:color="000000" w:sz="4" w:space="0"/>
            </w:tcBorders>
            <w:noWrap w:val="0"/>
            <w:vAlign w:val="center"/>
          </w:tcPr>
          <w:p w14:paraId="52B3B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项目决策</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7002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决策程序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C4D0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4A613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部门预算项目设立是否按规定履行评估论证、申报程序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E2F7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3F50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48CF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83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113247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FE8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910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B1B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部门预算项目绩效目标与计划期内的任务量、预算安排的资金量匹配情况，绩效目标设置是否科学合理、规范完整、量化细化、预算匹配</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F8E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25C1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4835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8B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58B40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CC3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项目入库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9FF6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C28E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部门预算项目是否在规定时间完成项目入库</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C224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FCF3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7AEE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BB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nil"/>
              <w:right w:val="single" w:color="000000" w:sz="4" w:space="0"/>
            </w:tcBorders>
            <w:noWrap w:val="0"/>
            <w:vAlign w:val="center"/>
          </w:tcPr>
          <w:p w14:paraId="3A03A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项目执行</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0E0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执行同向</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6FB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751E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部门预算项目实际列支内容是否与绩效目标设置方向相符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0CA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5447B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73B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AB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7FDB35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7A3E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项目调整</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08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D050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部门预算项目是否采取对应调整措施</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528C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5D69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2956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B9C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03866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3A38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执行结果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B300D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BE1D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604A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421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615B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39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FB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目标实现</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B90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目标完成</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588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774C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部门预算项目绩效目标数量指标完成情况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293EF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4D85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4141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77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E4A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6FA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目标偏离</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70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C3D8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部门预算项目绩效目标数量指标实现程度与预期目标的偏离情况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E294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83F0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0AAE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F4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F4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F66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实现效果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879F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5EB5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部门预算项目绩效目标效益指标实施效果</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F18A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E15A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r w14:paraId="372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DC61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扣分项</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14:paraId="24944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被评价部门配合度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2FF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A353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被评价对象工作配合情况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0862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8ECB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color w:val="000000"/>
                <w:kern w:val="0"/>
                <w:sz w:val="15"/>
                <w:szCs w:val="15"/>
                <w:u w:val="none"/>
                <w:lang w:val="en-US" w:eastAsia="zh-CN" w:bidi="ar"/>
              </w:rPr>
            </w:pPr>
          </w:p>
        </w:tc>
      </w:tr>
    </w:tbl>
    <w:p w14:paraId="1230026C">
      <w:pPr>
        <w:spacing w:before="134" w:line="219" w:lineRule="auto"/>
        <w:ind w:left="710"/>
        <w:rPr>
          <w:rFonts w:ascii="宋体" w:hAnsi="宋体" w:eastAsia="宋体" w:cs="宋体"/>
          <w:sz w:val="41"/>
          <w:szCs w:val="41"/>
        </w:rPr>
      </w:pPr>
      <w:r>
        <w:rPr>
          <w:rFonts w:ascii="宋体" w:hAnsi="宋体" w:eastAsia="宋体" w:cs="宋体"/>
          <w:b/>
          <w:bCs/>
          <w:spacing w:val="-6"/>
          <w:sz w:val="41"/>
          <w:szCs w:val="41"/>
        </w:rPr>
        <w:t>部门整体支出绩效目标完成情况自评表</w:t>
      </w:r>
    </w:p>
    <w:p w14:paraId="08ED48B1">
      <w:pPr>
        <w:spacing w:before="124" w:line="219" w:lineRule="auto"/>
        <w:ind w:left="3525"/>
        <w:rPr>
          <w:rFonts w:ascii="宋体" w:hAnsi="宋体" w:eastAsia="宋体" w:cs="宋体"/>
          <w:sz w:val="29"/>
          <w:szCs w:val="29"/>
        </w:rPr>
      </w:pPr>
      <w:r>
        <w:rPr>
          <w:rFonts w:ascii="宋体" w:hAnsi="宋体" w:eastAsia="宋体" w:cs="宋体"/>
          <w:spacing w:val="-5"/>
          <w:sz w:val="29"/>
          <w:szCs w:val="29"/>
        </w:rPr>
        <w:t>(</w:t>
      </w:r>
      <w:r>
        <w:rPr>
          <w:rFonts w:hint="eastAsia" w:ascii="宋体" w:hAnsi="宋体" w:eastAsia="宋体" w:cs="宋体"/>
          <w:spacing w:val="-5"/>
          <w:sz w:val="29"/>
          <w:szCs w:val="29"/>
          <w:lang w:eastAsia="zh-CN"/>
        </w:rPr>
        <w:t>2024</w:t>
      </w:r>
      <w:r>
        <w:rPr>
          <w:rFonts w:ascii="宋体" w:hAnsi="宋体" w:eastAsia="宋体" w:cs="宋体"/>
          <w:spacing w:val="-5"/>
          <w:sz w:val="29"/>
          <w:szCs w:val="29"/>
        </w:rPr>
        <w:t>年度)</w:t>
      </w:r>
    </w:p>
    <w:tbl>
      <w:tblPr>
        <w:tblStyle w:val="9"/>
        <w:tblW w:w="8975"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073"/>
        <w:gridCol w:w="935"/>
        <w:gridCol w:w="1580"/>
        <w:gridCol w:w="763"/>
        <w:gridCol w:w="1029"/>
        <w:gridCol w:w="178"/>
        <w:gridCol w:w="836"/>
        <w:gridCol w:w="672"/>
        <w:gridCol w:w="1114"/>
      </w:tblGrid>
      <w:tr w14:paraId="6F25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75" w:type="dxa"/>
            <w:gridSpan w:val="10"/>
            <w:tcBorders>
              <w:top w:val="nil"/>
              <w:left w:val="nil"/>
              <w:bottom w:val="nil"/>
              <w:right w:val="nil"/>
            </w:tcBorders>
            <w:shd w:val="clear" w:color="auto" w:fill="auto"/>
            <w:vAlign w:val="center"/>
          </w:tcPr>
          <w:p w14:paraId="596B6EB0">
            <w:pPr>
              <w:keepNext w:val="0"/>
              <w:keepLines w:val="0"/>
              <w:widowControl/>
              <w:suppressLineNumbers w:val="0"/>
              <w:spacing w:before="0" w:beforeAutospacing="0" w:after="0" w:afterAutospacing="0"/>
              <w:ind w:left="0" w:right="0"/>
              <w:jc w:val="right"/>
              <w:textAlignment w:val="center"/>
              <w:rPr>
                <w:rFonts w:hint="default"/>
              </w:rPr>
            </w:pPr>
            <w:r>
              <w:rPr>
                <w:rFonts w:hint="default" w:ascii="宋体" w:hAnsi="宋体" w:eastAsia="宋体" w:cs="宋体"/>
                <w:i w:val="0"/>
                <w:iCs w:val="0"/>
                <w:color w:val="000000"/>
                <w:kern w:val="0"/>
                <w:sz w:val="24"/>
                <w:szCs w:val="24"/>
                <w:u w:val="none"/>
                <w:lang w:val="en-US" w:eastAsia="zh-CN" w:bidi="ar"/>
              </w:rPr>
              <w:t>单位：万元</w:t>
            </w:r>
          </w:p>
        </w:tc>
      </w:tr>
      <w:tr w14:paraId="03FC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729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部门名称</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C22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渠县鲜渡镇人民政府</w:t>
            </w:r>
          </w:p>
        </w:tc>
      </w:tr>
      <w:tr w14:paraId="654E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076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年度部门整体支出预算</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A23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资金总额</w:t>
            </w:r>
          </w:p>
        </w:tc>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2A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财政拨款</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01D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r>
      <w:tr w14:paraId="7515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AE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258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1635.90</w:t>
            </w:r>
          </w:p>
        </w:tc>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9E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1635.90</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3403C">
            <w:pPr>
              <w:keepNext w:val="0"/>
              <w:keepLines w:val="0"/>
              <w:suppressLineNumbers w:val="0"/>
              <w:spacing w:before="0" w:beforeAutospacing="0" w:after="0" w:afterAutospacing="0"/>
              <w:ind w:left="0" w:right="0"/>
              <w:jc w:val="right"/>
              <w:rPr>
                <w:rFonts w:hint="default" w:ascii="宋体" w:hAnsi="宋体" w:eastAsia="宋体" w:cs="宋体"/>
                <w:i w:val="0"/>
                <w:iCs w:val="0"/>
                <w:color w:val="000000"/>
                <w:sz w:val="18"/>
                <w:szCs w:val="18"/>
                <w:u w:val="none"/>
              </w:rPr>
            </w:pPr>
          </w:p>
        </w:tc>
      </w:tr>
      <w:tr w14:paraId="66EB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3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年度总体目标</w:t>
            </w:r>
          </w:p>
        </w:tc>
        <w:tc>
          <w:tcPr>
            <w:tcW w:w="81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CAA43">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sz w:val="18"/>
                <w:szCs w:val="18"/>
                <w:u w:val="none"/>
                <w:lang w:eastAsia="zh-CN"/>
              </w:rPr>
            </w:pPr>
            <w:r>
              <w:rPr>
                <w:rFonts w:hint="eastAsia"/>
              </w:rPr>
              <w:t>保障单位人员经费和公用经费支出；全面加强社会治安综合治理，确保社会稳定、服务民生、道路畅通、环境干净优美、群众办事方便快捷</w:t>
            </w:r>
            <w:r>
              <w:rPr>
                <w:rFonts w:hint="eastAsia"/>
                <w:lang w:eastAsia="zh-CN"/>
              </w:rPr>
              <w:t>，积极构建和谐社会</w:t>
            </w:r>
            <w:bookmarkStart w:id="0" w:name="_GoBack"/>
            <w:bookmarkEnd w:id="0"/>
          </w:p>
        </w:tc>
      </w:tr>
      <w:tr w14:paraId="1D90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2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年度主要任务</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C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任务名称</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40ED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主要内容</w:t>
            </w:r>
          </w:p>
        </w:tc>
      </w:tr>
      <w:tr w14:paraId="13E8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54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761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人员经费</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9551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工资福利和对个人和家庭补助的支出</w:t>
            </w:r>
          </w:p>
        </w:tc>
      </w:tr>
      <w:tr w14:paraId="4F4C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57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F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项目经费</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8968C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项目经费：围绕当前重点项目、常态执行任务推进、加快乡村振兴、产业振兴、打造居家养老服务。</w:t>
            </w:r>
          </w:p>
        </w:tc>
      </w:tr>
      <w:tr w14:paraId="3A21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F5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CA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日常公用经费</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A2B6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商品和服务支出：办公费、水、电、气、广告制作等。</w:t>
            </w:r>
          </w:p>
        </w:tc>
      </w:tr>
      <w:tr w14:paraId="68E3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14:paraId="15FB9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年度绩效指标</w:t>
            </w:r>
          </w:p>
        </w:tc>
        <w:tc>
          <w:tcPr>
            <w:tcW w:w="1073" w:type="dxa"/>
            <w:tcBorders>
              <w:top w:val="nil"/>
              <w:left w:val="single" w:color="000000" w:sz="4" w:space="0"/>
              <w:bottom w:val="single" w:color="000000" w:sz="4" w:space="0"/>
              <w:right w:val="single" w:color="000000" w:sz="4" w:space="0"/>
            </w:tcBorders>
            <w:shd w:val="clear" w:color="auto" w:fill="auto"/>
            <w:vAlign w:val="center"/>
          </w:tcPr>
          <w:p w14:paraId="0A654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935" w:type="dxa"/>
            <w:tcBorders>
              <w:top w:val="nil"/>
              <w:left w:val="single" w:color="000000" w:sz="4" w:space="0"/>
              <w:bottom w:val="single" w:color="000000" w:sz="4" w:space="0"/>
              <w:right w:val="single" w:color="000000" w:sz="4" w:space="0"/>
            </w:tcBorders>
            <w:shd w:val="clear" w:color="auto" w:fill="auto"/>
            <w:vAlign w:val="center"/>
          </w:tcPr>
          <w:p w14:paraId="04087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580" w:type="dxa"/>
            <w:tcBorders>
              <w:top w:val="nil"/>
              <w:left w:val="single" w:color="000000" w:sz="4" w:space="0"/>
              <w:bottom w:val="single" w:color="000000" w:sz="4" w:space="0"/>
              <w:right w:val="single" w:color="000000" w:sz="4" w:space="0"/>
            </w:tcBorders>
            <w:shd w:val="clear" w:color="auto" w:fill="auto"/>
            <w:vAlign w:val="center"/>
          </w:tcPr>
          <w:p w14:paraId="342A41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763" w:type="dxa"/>
            <w:tcBorders>
              <w:top w:val="nil"/>
              <w:left w:val="single" w:color="000000" w:sz="4" w:space="0"/>
              <w:bottom w:val="single" w:color="000000" w:sz="4" w:space="0"/>
              <w:right w:val="single" w:color="000000" w:sz="4" w:space="0"/>
            </w:tcBorders>
            <w:shd w:val="clear" w:color="auto" w:fill="auto"/>
            <w:vAlign w:val="center"/>
          </w:tcPr>
          <w:p w14:paraId="544EFE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绩效指标性质</w:t>
            </w:r>
          </w:p>
        </w:tc>
        <w:tc>
          <w:tcPr>
            <w:tcW w:w="1207" w:type="dxa"/>
            <w:gridSpan w:val="2"/>
            <w:tcBorders>
              <w:top w:val="nil"/>
              <w:left w:val="single" w:color="000000" w:sz="4" w:space="0"/>
              <w:bottom w:val="single" w:color="000000" w:sz="4" w:space="0"/>
              <w:right w:val="single" w:color="000000" w:sz="4" w:space="0"/>
            </w:tcBorders>
            <w:shd w:val="clear" w:color="auto" w:fill="auto"/>
            <w:vAlign w:val="center"/>
          </w:tcPr>
          <w:p w14:paraId="6BC774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绩效指标值</w:t>
            </w:r>
          </w:p>
        </w:tc>
        <w:tc>
          <w:tcPr>
            <w:tcW w:w="836" w:type="dxa"/>
            <w:tcBorders>
              <w:top w:val="nil"/>
              <w:left w:val="single" w:color="000000" w:sz="4" w:space="0"/>
              <w:bottom w:val="single" w:color="000000" w:sz="4" w:space="0"/>
              <w:right w:val="single" w:color="000000" w:sz="4" w:space="0"/>
            </w:tcBorders>
            <w:shd w:val="clear" w:color="auto" w:fill="auto"/>
            <w:vAlign w:val="center"/>
          </w:tcPr>
          <w:p w14:paraId="58827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绩效度量单位</w:t>
            </w:r>
          </w:p>
        </w:tc>
        <w:tc>
          <w:tcPr>
            <w:tcW w:w="672" w:type="dxa"/>
            <w:tcBorders>
              <w:top w:val="nil"/>
              <w:left w:val="single" w:color="000000" w:sz="4" w:space="0"/>
              <w:bottom w:val="single" w:color="000000" w:sz="4" w:space="0"/>
              <w:right w:val="nil"/>
            </w:tcBorders>
            <w:shd w:val="clear" w:color="auto" w:fill="auto"/>
            <w:vAlign w:val="center"/>
          </w:tcPr>
          <w:p w14:paraId="50CE4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1114" w:type="dxa"/>
            <w:tcBorders>
              <w:top w:val="nil"/>
              <w:left w:val="single" w:color="000000" w:sz="4" w:space="0"/>
              <w:bottom w:val="single" w:color="000000" w:sz="4" w:space="0"/>
              <w:right w:val="single" w:color="000000" w:sz="4" w:space="0"/>
            </w:tcBorders>
            <w:shd w:val="clear" w:color="auto" w:fill="auto"/>
            <w:vAlign w:val="center"/>
          </w:tcPr>
          <w:p w14:paraId="22A2E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w:t>
            </w:r>
          </w:p>
        </w:tc>
      </w:tr>
      <w:tr w14:paraId="27D1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6C7F7C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48A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74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86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F40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749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651.19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681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万元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51868F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3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651.19</w:t>
            </w:r>
          </w:p>
        </w:tc>
      </w:tr>
      <w:tr w14:paraId="4B75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06C105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5D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25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B4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人员经费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5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2BC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907.47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4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1AC2DB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7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907.47</w:t>
            </w:r>
          </w:p>
        </w:tc>
      </w:tr>
      <w:tr w14:paraId="238A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46F77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672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84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866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日常公用经费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C5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D2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77.24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5D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6AE267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399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77.24</w:t>
            </w:r>
          </w:p>
        </w:tc>
      </w:tr>
      <w:tr w14:paraId="4054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1BCBB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1D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6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21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人员经费保障质量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77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EF0D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6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94261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F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r>
      <w:tr w14:paraId="16C0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7B0D8F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AF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2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及时保障资金供给</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779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B99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9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4E3DDB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160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100</w:t>
            </w:r>
          </w:p>
        </w:tc>
      </w:tr>
      <w:tr w14:paraId="00C7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4827B9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4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72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9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社会公众满意度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0F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2F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5C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42EE9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5B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r>
      <w:tr w14:paraId="5717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50EFBC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right w:val="single" w:color="000000" w:sz="4" w:space="0"/>
            </w:tcBorders>
            <w:shd w:val="clear" w:color="auto" w:fill="auto"/>
            <w:vAlign w:val="center"/>
          </w:tcPr>
          <w:p w14:paraId="32EC1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935" w:type="dxa"/>
            <w:tcBorders>
              <w:top w:val="single" w:color="000000" w:sz="4" w:space="0"/>
              <w:left w:val="single" w:color="000000" w:sz="4" w:space="0"/>
              <w:right w:val="single" w:color="000000" w:sz="4" w:space="0"/>
            </w:tcBorders>
            <w:shd w:val="clear" w:color="auto" w:fill="auto"/>
            <w:vAlign w:val="center"/>
          </w:tcPr>
          <w:p w14:paraId="1D506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C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相关部门和单位满意度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A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CF21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AC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729C5B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D5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0</w:t>
            </w:r>
          </w:p>
        </w:tc>
      </w:tr>
      <w:tr w14:paraId="6A16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6ED481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B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6F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0F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运行成本控制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89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8BC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1635.90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0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w:t>
            </w:r>
            <w:r>
              <w:rPr>
                <w:rFonts w:hint="default" w:ascii="宋体" w:hAnsi="宋体" w:eastAsia="宋体" w:cs="宋体"/>
                <w:i w:val="0"/>
                <w:iCs w:val="0"/>
                <w:color w:val="000000"/>
                <w:kern w:val="0"/>
                <w:sz w:val="18"/>
                <w:szCs w:val="18"/>
                <w:u w:val="none"/>
                <w:lang w:val="en-US" w:eastAsia="zh-CN" w:bidi="ar"/>
              </w:rPr>
              <w:t>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7B494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F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1635.90</w:t>
            </w:r>
          </w:p>
        </w:tc>
      </w:tr>
    </w:tbl>
    <w:p w14:paraId="5EF7EC2B">
      <w:pPr>
        <w:bidi w:val="0"/>
        <w:rPr>
          <w:rStyle w:val="10"/>
          <w:rFonts w:hint="default"/>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8947E6-9627-449A-9084-D42CAB50DC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6A9BA71-89E9-475A-839D-2C8704C75578}"/>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76913F4A-F2B9-4201-8A96-C6A38479B3B2}"/>
  </w:font>
  <w:font w:name="仿宋">
    <w:panose1 w:val="02010609060101010101"/>
    <w:charset w:val="86"/>
    <w:family w:val="auto"/>
    <w:pitch w:val="default"/>
    <w:sig w:usb0="800002BF" w:usb1="38CF7CFA" w:usb2="00000016" w:usb3="00000000" w:csb0="00040001" w:csb1="00000000"/>
    <w:embedRegular r:id="rId4" w:fontKey="{658A43CF-7463-4C1B-9F18-1B9134D78A93}"/>
  </w:font>
  <w:font w:name="微软雅黑">
    <w:panose1 w:val="020B0503020204020204"/>
    <w:charset w:val="86"/>
    <w:family w:val="auto"/>
    <w:pitch w:val="default"/>
    <w:sig w:usb0="80000287" w:usb1="2ACF3C50" w:usb2="00000016" w:usb3="00000000" w:csb0="0004001F" w:csb1="00000000"/>
    <w:embedRegular r:id="rId5" w:fontKey="{FDC971B2-B779-4314-9D14-252C8AD9C16F}"/>
  </w:font>
  <w:font w:name="方正公文小标宋">
    <w:panose1 w:val="02000500000000000000"/>
    <w:charset w:val="86"/>
    <w:family w:val="auto"/>
    <w:pitch w:val="default"/>
    <w:sig w:usb0="A00002BF" w:usb1="38CF7CFA" w:usb2="00000016" w:usb3="00000000" w:csb0="00040001" w:csb1="00000000"/>
    <w:embedRegular r:id="rId6" w:fontKey="{7A4746DA-6521-4034-B9D7-B8BCB20E45C1}"/>
  </w:font>
  <w:font w:name="WPSEMBED1">
    <w:panose1 w:val="02000500000000000000"/>
    <w:charset w:val="86"/>
    <w:family w:val="auto"/>
    <w:pitch w:val="default"/>
    <w:sig w:usb0="A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F67ADB"/>
    <w:multiLevelType w:val="singleLevel"/>
    <w:tmpl w:val="5AF67AD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70B7A"/>
    <w:rsid w:val="0170404F"/>
    <w:rsid w:val="01A22C15"/>
    <w:rsid w:val="0233386D"/>
    <w:rsid w:val="02856FA3"/>
    <w:rsid w:val="05F41A51"/>
    <w:rsid w:val="06D33870"/>
    <w:rsid w:val="073D7102"/>
    <w:rsid w:val="112453F4"/>
    <w:rsid w:val="12143DAD"/>
    <w:rsid w:val="12E549BD"/>
    <w:rsid w:val="15FC55A2"/>
    <w:rsid w:val="17142866"/>
    <w:rsid w:val="1E0F4D36"/>
    <w:rsid w:val="20177511"/>
    <w:rsid w:val="23D44F79"/>
    <w:rsid w:val="23E17175"/>
    <w:rsid w:val="27DC1A6D"/>
    <w:rsid w:val="29C84DF6"/>
    <w:rsid w:val="2B3D7387"/>
    <w:rsid w:val="2BC41526"/>
    <w:rsid w:val="30667A24"/>
    <w:rsid w:val="32171FB4"/>
    <w:rsid w:val="32755658"/>
    <w:rsid w:val="329A2711"/>
    <w:rsid w:val="35257AD6"/>
    <w:rsid w:val="35595F8F"/>
    <w:rsid w:val="39A131D7"/>
    <w:rsid w:val="39A96CE6"/>
    <w:rsid w:val="3AAF722D"/>
    <w:rsid w:val="3C4E482A"/>
    <w:rsid w:val="463E6E96"/>
    <w:rsid w:val="46EE5581"/>
    <w:rsid w:val="4A496A31"/>
    <w:rsid w:val="4B1C1A2F"/>
    <w:rsid w:val="4B78366B"/>
    <w:rsid w:val="4D394083"/>
    <w:rsid w:val="522D1654"/>
    <w:rsid w:val="58507E4A"/>
    <w:rsid w:val="63DA6A02"/>
    <w:rsid w:val="694A0726"/>
    <w:rsid w:val="6DEA63CE"/>
    <w:rsid w:val="71D376CA"/>
    <w:rsid w:val="73552361"/>
    <w:rsid w:val="7E4A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78" w:lineRule="exact"/>
      <w:outlineLvl w:val="0"/>
    </w:pPr>
    <w:rPr>
      <w:rFonts w:ascii="黑体" w:hAnsi="黑体" w:eastAsia="黑体" w:cs="Times New Roman"/>
      <w:kern w:val="44"/>
    </w:rPr>
  </w:style>
  <w:style w:type="paragraph" w:styleId="3">
    <w:name w:val="heading 2"/>
    <w:basedOn w:val="1"/>
    <w:next w:val="1"/>
    <w:unhideWhenUsed/>
    <w:qFormat/>
    <w:uiPriority w:val="0"/>
    <w:pPr>
      <w:keepNext w:val="0"/>
      <w:keepLines w:val="0"/>
      <w:spacing w:beforeLines="0" w:beforeAutospacing="0" w:afterLines="0" w:afterAutospacing="0" w:line="578" w:lineRule="exact"/>
      <w:outlineLvl w:val="1"/>
    </w:pPr>
    <w:rPr>
      <w:rFonts w:ascii="楷体_GB2312" w:hAnsi="楷体_GB2312" w:eastAsia="楷体_GB2312"/>
    </w:rPr>
  </w:style>
  <w:style w:type="paragraph" w:styleId="4">
    <w:name w:val="heading 3"/>
    <w:basedOn w:val="1"/>
    <w:next w:val="1"/>
    <w:unhideWhenUsed/>
    <w:qFormat/>
    <w:uiPriority w:val="0"/>
    <w:pPr>
      <w:keepNext w:val="0"/>
      <w:keepLines w:val="0"/>
      <w:spacing w:beforeLines="0" w:beforeAutospacing="0" w:afterLines="0" w:afterAutospacing="0" w:line="578" w:lineRule="exact"/>
      <w:outlineLvl w:val="2"/>
    </w:pPr>
    <w:rPr>
      <w:rFonts w:ascii="仿宋_GB2312" w:hAnsi="仿宋_GB2312"/>
    </w:rPr>
  </w:style>
  <w:style w:type="paragraph" w:styleId="5">
    <w:name w:val="heading 4"/>
    <w:basedOn w:val="1"/>
    <w:next w:val="1"/>
    <w:unhideWhenUsed/>
    <w:qFormat/>
    <w:uiPriority w:val="0"/>
    <w:pPr>
      <w:keepNext w:val="0"/>
      <w:keepLines w:val="0"/>
      <w:spacing w:beforeLines="0" w:beforeAutospacing="0" w:afterLines="0" w:afterAutospacing="0" w:line="578" w:lineRule="exact"/>
      <w:outlineLvl w:val="3"/>
    </w:p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2"/>
    <w:basedOn w:val="1"/>
    <w:qFormat/>
    <w:uiPriority w:val="0"/>
    <w:pPr>
      <w:spacing w:after="120" w:line="480" w:lineRule="auto"/>
    </w:pPr>
    <w:rPr>
      <w:rFonts w:ascii="Times New Roman" w:hAnsi="Times New Roman" w:eastAsia="宋体" w:cs="Times New Roman"/>
      <w:szCs w:val="24"/>
    </w:rPr>
  </w:style>
  <w:style w:type="paragraph" w:customStyle="1" w:styleId="11">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12">
    <w:name w:val="16"/>
    <w:basedOn w:val="10"/>
    <w:qFormat/>
    <w:uiPriority w:val="0"/>
    <w:rPr>
      <w:rFonts w:hint="default"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3531</Words>
  <Characters>4080</Characters>
  <Lines>0</Lines>
  <Paragraphs>0</Paragraphs>
  <TotalTime>9</TotalTime>
  <ScaleCrop>false</ScaleCrop>
  <LinksUpToDate>false</LinksUpToDate>
  <CharactersWithSpaces>4080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2024-04-08T02:58:00Z</dcterms:created>
  <dc:creator>Administrator</dc:creator>
  <cp:lastModifiedBy>Administrator</cp:lastModifiedBy>
  <dcterms:modified xsi:type="dcterms:W3CDTF">2025-10-27T02:06:56Z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2DD508777722463BA61CBCC5E45E9C3A_12</vt:lpwstr>
  </property>
  <property fmtid="{D5CDD505-2E9C-101B-9397-08002B2CF9AE}" pid="4" name="KSOTemplateDocerSaveRecord">
    <vt:lpwstr>eyJoZGlkIjoiMGUwNmE1Y2EyY2FhNTEwYjk5ZmJiZWQxYjExOTdlNzYifQ==</vt:lpwstr>
  </property>
</Properties>
</file>