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方正黑体_GBK" w:cs="Times New Roman"/>
          <w:b w:val="0"/>
          <w:bCs w:val="0"/>
          <w:sz w:val="32"/>
          <w:szCs w:val="32"/>
          <w:lang w:val="en-US" w:eastAsia="zh-CN"/>
        </w:rPr>
      </w:pPr>
      <w:bookmarkStart w:id="0" w:name="_Hlk198807456"/>
      <w:r>
        <w:rPr>
          <w:rFonts w:hint="default" w:ascii="Times New Roman" w:hAnsi="Times New Roman" w:eastAsia="方正黑体_GBK" w:cs="Times New Roman"/>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1</w:t>
      </w:r>
    </w:p>
    <w:p>
      <w:pPr>
        <w:pStyle w:val="5"/>
        <w:rPr>
          <w:rFonts w:eastAsia="黑体"/>
          <w:color w:val="000000"/>
          <w:kern w:val="0"/>
          <w:sz w:val="32"/>
          <w:szCs w:val="32"/>
        </w:rPr>
      </w:pPr>
    </w:p>
    <w:bookmarkEnd w:id="0"/>
    <w:p>
      <w:pPr>
        <w:widowControl/>
        <w:spacing w:line="578" w:lineRule="exact"/>
        <w:jc w:val="center"/>
        <w:rPr>
          <w:rFonts w:hint="eastAsia" w:ascii="Times New Roman" w:hAnsi="Times New Roman" w:eastAsia="方正小标宋_GBK" w:cs="Times New Roman"/>
          <w:color w:val="000000"/>
          <w:kern w:val="0"/>
          <w:sz w:val="44"/>
          <w:szCs w:val="44"/>
        </w:rPr>
      </w:pPr>
      <w:bookmarkStart w:id="1" w:name="OLE_LINK27"/>
      <w:bookmarkStart w:id="2" w:name="OLE_LINK26"/>
      <w:r>
        <w:rPr>
          <w:rFonts w:hint="eastAsia" w:ascii="Times New Roman" w:hAnsi="Times New Roman" w:eastAsia="方正小标宋_GBK" w:cs="Times New Roman"/>
          <w:color w:val="000000"/>
          <w:kern w:val="0"/>
          <w:sz w:val="44"/>
          <w:szCs w:val="44"/>
        </w:rPr>
        <w:t>渠县地籍图编制工作服务内容及要求</w:t>
      </w:r>
    </w:p>
    <w:bookmarkEnd w:id="1"/>
    <w:bookmarkEnd w:id="2"/>
    <w:p>
      <w:pPr>
        <w:pStyle w:val="11"/>
        <w:keepNext w:val="0"/>
        <w:keepLines w:val="0"/>
        <w:pageBreakBefore w:val="0"/>
        <w:kinsoku/>
        <w:overflowPunct/>
        <w:topLinePunct w:val="0"/>
        <w:bidi w:val="0"/>
        <w:snapToGrid/>
        <w:spacing w:line="578" w:lineRule="exact"/>
        <w:ind w:left="0" w:leftChars="0" w:firstLine="0" w:firstLineChars="0"/>
        <w:jc w:val="both"/>
        <w:textAlignment w:val="auto"/>
        <w:rPr>
          <w:rFonts w:hint="eastAsia" w:ascii="Times New Roman" w:hAnsi="Times New Roman" w:eastAsia="方正黑体_GBK" w:cs="Times New Roman"/>
          <w:b w:val="0"/>
          <w:bCs w:val="0"/>
          <w:kern w:val="0"/>
          <w:sz w:val="32"/>
          <w:szCs w:val="32"/>
        </w:rPr>
      </w:pPr>
    </w:p>
    <w:p>
      <w:pPr>
        <w:pStyle w:val="11"/>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黑体_GBK" w:cs="Times New Roman"/>
          <w:b w:val="0"/>
          <w:bCs w:val="0"/>
          <w:kern w:val="0"/>
          <w:sz w:val="32"/>
          <w:szCs w:val="32"/>
        </w:rPr>
      </w:pPr>
      <w:r>
        <w:rPr>
          <w:rFonts w:hint="eastAsia" w:ascii="Times New Roman" w:hAnsi="Times New Roman" w:eastAsia="方正黑体_GBK" w:cs="Times New Roman"/>
          <w:b w:val="0"/>
          <w:bCs w:val="0"/>
          <w:kern w:val="0"/>
          <w:sz w:val="32"/>
          <w:szCs w:val="32"/>
        </w:rPr>
        <w:t>一、</w:t>
      </w:r>
      <w:bookmarkStart w:id="3" w:name="_Hlk78637178"/>
      <w:r>
        <w:rPr>
          <w:rFonts w:hint="eastAsia" w:ascii="Times New Roman" w:hAnsi="Times New Roman" w:eastAsia="方正黑体_GBK" w:cs="Times New Roman"/>
          <w:b w:val="0"/>
          <w:bCs w:val="0"/>
          <w:kern w:val="0"/>
          <w:sz w:val="32"/>
          <w:szCs w:val="32"/>
        </w:rPr>
        <w:t>项目</w:t>
      </w:r>
      <w:bookmarkEnd w:id="3"/>
      <w:r>
        <w:rPr>
          <w:rFonts w:hint="eastAsia" w:ascii="Times New Roman" w:hAnsi="Times New Roman" w:eastAsia="方正黑体_GBK" w:cs="Times New Roman"/>
          <w:b w:val="0"/>
          <w:bCs w:val="0"/>
          <w:kern w:val="0"/>
          <w:sz w:val="32"/>
          <w:szCs w:val="32"/>
        </w:rPr>
        <w:t>概况</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bCs/>
          <w:kern w:val="0"/>
          <w:sz w:val="32"/>
          <w:szCs w:val="32"/>
        </w:rPr>
      </w:pPr>
      <w:r>
        <w:rPr>
          <w:rFonts w:hint="eastAsia" w:ascii="Times New Roman" w:hAnsi="Times New Roman" w:eastAsia="方正仿宋_GBK" w:cs="Times New Roman"/>
          <w:bCs/>
          <w:kern w:val="0"/>
          <w:sz w:val="32"/>
          <w:szCs w:val="32"/>
        </w:rPr>
        <w:t>1.项目名称：渠县地籍图编制工作</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bCs/>
          <w:kern w:val="0"/>
          <w:sz w:val="32"/>
          <w:szCs w:val="32"/>
        </w:rPr>
      </w:pPr>
      <w:r>
        <w:rPr>
          <w:rFonts w:hint="eastAsia" w:ascii="Times New Roman" w:hAnsi="Times New Roman" w:eastAsia="方正仿宋_GBK" w:cs="Times New Roman"/>
          <w:bCs/>
          <w:kern w:val="0"/>
          <w:sz w:val="32"/>
          <w:szCs w:val="32"/>
        </w:rPr>
        <w:t>2.采购人：渠县自然资源局</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bCs/>
          <w:kern w:val="0"/>
          <w:sz w:val="32"/>
          <w:szCs w:val="32"/>
          <w:lang w:val="en-US" w:eastAsia="zh-CN"/>
        </w:rPr>
      </w:pPr>
      <w:r>
        <w:rPr>
          <w:rFonts w:hint="eastAsia" w:ascii="Times New Roman" w:hAnsi="Times New Roman" w:eastAsia="方正仿宋_GBK" w:cs="Times New Roman"/>
          <w:bCs/>
          <w:kern w:val="0"/>
          <w:sz w:val="32"/>
          <w:szCs w:val="32"/>
        </w:rPr>
        <w:t>3.项目概述：根据《自然资源部关于进一步做好地籍调查工作的通知》（自然资发〔2023〕195号）、《四川省自然资源厅关于推进全省进一步做好地籍调查工作的通知》（川自然资发〔2024〕19号）等文件要求，充分利用基础地理、基础测绘、国土空间监测、国土调查、村庄三维模型等成果，对地籍基础数据进行整合与补充，并按照《地籍数据库标准》，规范数据格式和内容，将现势有效的地籍调查成果纳入地籍数据库或现有地籍调查成果数据库管</w:t>
      </w:r>
      <w:r>
        <w:rPr>
          <w:rFonts w:hint="eastAsia" w:ascii="Times New Roman" w:hAnsi="Times New Roman" w:eastAsia="方正仿宋_GBK" w:cs="Times New Roman"/>
          <w:bCs/>
          <w:kern w:val="0"/>
          <w:sz w:val="32"/>
          <w:szCs w:val="32"/>
          <w:lang w:eastAsia="zh-CN"/>
        </w:rPr>
        <w:t>理</w:t>
      </w:r>
      <w:r>
        <w:rPr>
          <w:rFonts w:hint="eastAsia" w:ascii="Times New Roman" w:hAnsi="Times New Roman" w:eastAsia="方正仿宋_GBK" w:cs="Times New Roman"/>
          <w:bCs/>
          <w:kern w:val="0"/>
          <w:sz w:val="32"/>
          <w:szCs w:val="32"/>
        </w:rPr>
        <w:t>。</w:t>
      </w:r>
      <w:r>
        <w:rPr>
          <w:rFonts w:hint="eastAsia" w:ascii="Times New Roman" w:hAnsi="Times New Roman" w:eastAsia="方正仿宋_GBK" w:cs="Times New Roman"/>
          <w:bCs/>
          <w:kern w:val="0"/>
          <w:sz w:val="32"/>
          <w:szCs w:val="32"/>
          <w:lang w:val="en-US" w:eastAsia="zh-CN"/>
        </w:rPr>
        <w:t xml:space="preserve">工作总体要求：按照地籍数据库标准等要求，全面整理宅基地和集体建设用地地籍调查、城镇地籍调查等各类现有调查成果，升级现有地籍调查数据库或新建地籍数据库，将整理完成的各类现势地籍调查成果纳入地籍数据库统一管理，并与确权登记成果做好关联，确保图属一致、现势有效。地籍数据库应纳入自然资源“一张图”统一管理，形成统一产权底板。地籍成果入库时，存在图形数据缺失、交叉重叠、位置偏移等问题的，做好标注，后续结合相关业务办理逐步完善。 </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黑体_GBK" w:cs="Times New Roman"/>
          <w:b w:val="0"/>
          <w:bCs w:val="0"/>
          <w:kern w:val="0"/>
          <w:sz w:val="32"/>
          <w:szCs w:val="32"/>
        </w:rPr>
      </w:pPr>
      <w:r>
        <w:rPr>
          <w:rFonts w:hint="eastAsia" w:ascii="Times New Roman" w:hAnsi="Times New Roman" w:eastAsia="方正黑体_GBK" w:cs="Times New Roman"/>
          <w:b w:val="0"/>
          <w:bCs w:val="0"/>
          <w:kern w:val="0"/>
          <w:sz w:val="32"/>
          <w:szCs w:val="32"/>
        </w:rPr>
        <w:t>二、技术服务内容及要求</w:t>
      </w:r>
    </w:p>
    <w:p>
      <w:pPr>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楷体_GBK" w:cs="Times New Roman"/>
          <w:b w:val="0"/>
          <w:bCs w:val="0"/>
          <w:sz w:val="32"/>
          <w:szCs w:val="32"/>
          <w:lang w:val="en-US" w:eastAsia="zh-CN"/>
        </w:rPr>
      </w:pPr>
      <w:bookmarkStart w:id="4" w:name="OLE_LINK17"/>
      <w:r>
        <w:rPr>
          <w:rFonts w:hint="eastAsia" w:ascii="Times New Roman" w:hAnsi="Times New Roman" w:eastAsia="方正楷体_GBK" w:cs="Times New Roman"/>
          <w:b w:val="0"/>
          <w:bCs w:val="0"/>
          <w:sz w:val="32"/>
          <w:szCs w:val="32"/>
          <w:lang w:val="en-US" w:eastAsia="zh-CN"/>
        </w:rPr>
        <w:t>（一）工作原则</w:t>
      </w:r>
    </w:p>
    <w:bookmarkEnd w:id="4"/>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依据《中华人民共和国土地管理法》《中华人民共和国土地管理法实施条例》《中华人民共和国土地调查条例》《土地调查条例实施办法》《自然资源部关于进一步做好地籍调查工作的通知》</w:t>
      </w:r>
      <w:r>
        <w:rPr>
          <w:rFonts w:hint="eastAsia" w:ascii="Times New Roman" w:hAnsi="Times New Roman" w:eastAsia="方正仿宋_GBK" w:cs="Times New Roman"/>
          <w:bCs/>
          <w:kern w:val="0"/>
          <w:sz w:val="32"/>
          <w:szCs w:val="32"/>
        </w:rPr>
        <w:t>（自然资发〔2023〕195号）</w:t>
      </w:r>
      <w:r>
        <w:rPr>
          <w:rFonts w:hint="eastAsia" w:eastAsia="方正仿宋_GBK" w:cs="Times New Roman"/>
          <w:bCs/>
          <w:kern w:val="0"/>
          <w:sz w:val="32"/>
          <w:szCs w:val="32"/>
          <w:lang w:eastAsia="zh-CN"/>
        </w:rPr>
        <w:t>、</w:t>
      </w:r>
      <w:r>
        <w:rPr>
          <w:rFonts w:hint="eastAsia" w:ascii="Times New Roman" w:hAnsi="Times New Roman" w:eastAsia="方正仿宋_GBK" w:cs="Times New Roman"/>
          <w:sz w:val="32"/>
          <w:szCs w:val="32"/>
          <w:lang w:val="en-US" w:eastAsia="zh-CN"/>
        </w:rPr>
        <w:t>《自然资源部办公厅关于加快编制地籍图的通知》</w:t>
      </w:r>
      <w:r>
        <w:rPr>
          <w:rFonts w:hint="eastAsia" w:ascii="Times New Roman" w:hAnsi="Times New Roman" w:eastAsia="方正仿宋_GBK" w:cs="Times New Roman"/>
          <w:bCs/>
          <w:kern w:val="0"/>
          <w:sz w:val="32"/>
          <w:szCs w:val="32"/>
        </w:rPr>
        <w:t>（自然资</w:t>
      </w:r>
      <w:r>
        <w:rPr>
          <w:rFonts w:hint="eastAsia" w:ascii="Times New Roman" w:hAnsi="Times New Roman" w:eastAsia="方正仿宋_GBK" w:cs="Times New Roman"/>
          <w:sz w:val="32"/>
          <w:szCs w:val="32"/>
          <w:lang w:val="en-US" w:eastAsia="zh-CN"/>
        </w:rPr>
        <w:t>办函</w:t>
      </w:r>
      <w:r>
        <w:rPr>
          <w:rFonts w:hint="eastAsia" w:ascii="Times New Roman" w:hAnsi="Times New Roman" w:eastAsia="方正仿宋_GBK" w:cs="Times New Roman"/>
          <w:bCs/>
          <w:kern w:val="0"/>
          <w:sz w:val="32"/>
          <w:szCs w:val="32"/>
        </w:rPr>
        <w:t>〔2024〕</w:t>
      </w:r>
      <w:r>
        <w:rPr>
          <w:rFonts w:hint="eastAsia" w:ascii="Times New Roman" w:hAnsi="Times New Roman" w:eastAsia="方正仿宋_GBK" w:cs="Times New Roman"/>
          <w:sz w:val="32"/>
          <w:szCs w:val="32"/>
          <w:lang w:val="en-US" w:eastAsia="zh-CN"/>
        </w:rPr>
        <w:t>1481号)、《关于加快地籍成果入库汇交工作的函》</w:t>
      </w:r>
      <w:r>
        <w:rPr>
          <w:rFonts w:hint="eastAsia" w:ascii="Times New Roman" w:hAnsi="Times New Roman" w:eastAsia="方正仿宋_GBK" w:cs="Times New Roman"/>
          <w:bCs/>
          <w:kern w:val="0"/>
          <w:sz w:val="32"/>
          <w:szCs w:val="32"/>
        </w:rPr>
        <w:t>（自然资</w:t>
      </w:r>
      <w:r>
        <w:rPr>
          <w:rFonts w:hint="eastAsia" w:ascii="Times New Roman" w:hAnsi="Times New Roman" w:eastAsia="方正仿宋_GBK" w:cs="Times New Roman"/>
          <w:sz w:val="32"/>
          <w:szCs w:val="32"/>
          <w:lang w:val="en-US" w:eastAsia="zh-CN"/>
        </w:rPr>
        <w:t>登记函</w:t>
      </w:r>
      <w:r>
        <w:rPr>
          <w:rFonts w:hint="eastAsia" w:ascii="Times New Roman" w:hAnsi="Times New Roman" w:eastAsia="方正仿宋_GBK" w:cs="Times New Roman"/>
          <w:bCs/>
          <w:kern w:val="0"/>
          <w:sz w:val="32"/>
          <w:szCs w:val="32"/>
        </w:rPr>
        <w:t>〔202</w:t>
      </w:r>
      <w:r>
        <w:rPr>
          <w:rFonts w:hint="eastAsia" w:eastAsia="方正仿宋_GBK" w:cs="Times New Roman"/>
          <w:bCs/>
          <w:kern w:val="0"/>
          <w:sz w:val="32"/>
          <w:szCs w:val="32"/>
          <w:lang w:val="en-US" w:eastAsia="zh-CN"/>
        </w:rPr>
        <w:t>5</w:t>
      </w:r>
      <w:r>
        <w:rPr>
          <w:rFonts w:hint="eastAsia" w:ascii="Times New Roman" w:hAnsi="Times New Roman" w:eastAsia="方正仿宋_GBK" w:cs="Times New Roman"/>
          <w:bCs/>
          <w:kern w:val="0"/>
          <w:sz w:val="32"/>
          <w:szCs w:val="32"/>
        </w:rPr>
        <w:t>〕</w:t>
      </w:r>
      <w:r>
        <w:rPr>
          <w:rFonts w:hint="eastAsia" w:ascii="Times New Roman" w:hAnsi="Times New Roman" w:eastAsia="方正仿宋_GBK" w:cs="Times New Roman"/>
          <w:sz w:val="32"/>
          <w:szCs w:val="32"/>
          <w:lang w:val="en-US" w:eastAsia="zh-CN"/>
        </w:rPr>
        <w:t>32号</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等有关要求，全面了解掌握和贯彻落实不动产底数，为科学规划，合理利用，夯实社会治理基础，按时完成数据汇交任务，建立“一张图”，是落实“统一底图、统一标准、统一规划、统一平台”重要指示，履行“两统一”核心职责、做好“四个融合”的重要载体和具体举措，是“多规合一”的具体体现，是做好自然资源工作的长远大计</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促进经济社会全面协调可持续发展。</w:t>
      </w:r>
    </w:p>
    <w:p>
      <w:pPr>
        <w:keepNext w:val="0"/>
        <w:keepLines w:val="0"/>
        <w:pageBreakBefore w:val="0"/>
        <w:numPr>
          <w:ilvl w:val="0"/>
          <w:numId w:val="1"/>
        </w:numPr>
        <w:kinsoku/>
        <w:overflowPunct/>
        <w:topLinePunct w:val="0"/>
        <w:bidi w:val="0"/>
        <w:snapToGrid/>
        <w:spacing w:line="578" w:lineRule="exact"/>
        <w:ind w:firstLine="640" w:firstLineChars="200"/>
        <w:jc w:val="both"/>
        <w:textAlignment w:val="auto"/>
        <w:rPr>
          <w:rFonts w:hint="eastAsia"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val="0"/>
          <w:bCs w:val="0"/>
          <w:sz w:val="32"/>
          <w:szCs w:val="32"/>
          <w:lang w:val="en-US" w:eastAsia="zh-CN"/>
        </w:rPr>
        <w:t>主要任务</w:t>
      </w:r>
    </w:p>
    <w:p>
      <w:pPr>
        <w:pStyle w:val="12"/>
        <w:ind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区分已登记、已调查未登记、未调查三种情形，分类推进，对已登记的，重点要补充完善图形数据；已调查未登记的，重点要整理汇交调查成果；未调查的，重点要组织推进地籍调查，城镇地籍修改、测绘和更新。以推进地籍图全覆盖为目标，以已有确权登记、地籍调查成果为基础，以加强地籍测绘、推进成果整理为重点，采用统一的测绘基准，夯实完善地籍数据，建立健全地籍数据库，并注重利用基础测绘、国土空间监测、实景三维城市、国土调查等数据，分类型、分层次、分步骤推动构建全域覆盖、要素齐全、现实有效的地籍“一张图”。</w:t>
      </w:r>
    </w:p>
    <w:p>
      <w:pPr>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val="0"/>
          <w:bCs w:val="0"/>
          <w:sz w:val="32"/>
          <w:szCs w:val="32"/>
          <w:lang w:val="en-US" w:eastAsia="zh-CN"/>
        </w:rPr>
        <w:t>（三）工作内容</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基础数据补充</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利用基础地理、基础测绘、国土空间监测、国土调查、村庄三维模型等成果，补充宅基地和集体建设用地范围内的道路、水系、公园绿地等地形地貌数据。</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未调查宅基地和集体建设用地勾绘</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宅基地和集体建设用地未开展地籍调查或缺少宗地图形数据的，利用最新高分辨率正射影像，充分借助乡镇（街道）、村组（社区）等力量，勾绘宗地范围，编制不动产单元代码，以单独图层纳入数据库管理。对勾绘的宗地，后续根据工作需要，可组织采取勘丈等简易方法补充开展地籍测绘，采集权利人、房屋层数、房屋结构、建成年份等关键地籍信息，建立图形数据与属性数据“一对一”关联关系，替换勾绘数据、逐一销号。具备条件的，要因地制宜加快开展宅基地和集体建设用地地籍调查。</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城镇地籍数据修改、测绘和更新</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对于城镇地籍基础数据存在错误、空白等问题，对错误地籍数据进行修改，无法修改则做好标注；对空白地籍数据进行地籍测绘，完善地籍数据成果，并同时对其进行更新。</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建设农村宅基地和集体建设用地地籍数据库</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自然资源部关于进一步做好地籍调查工作的通知》（自然资发〔2023〕195号）、《四川省自然资源厅关于推进全省进一步做好地籍调查工作的通知》（川自然资发〔2024〕19号）文件要求，依托市不动产权籍管理数据库、市国土空间基础地理信息平台数据库，以地籍调查成果整理为基础，新建地籍数据库，对各类地籍调查成果的图形、属性信息进行统一管理，确保图属一致。深化“一码关联”，实现地籍数据库与不动产登记数据库、实景三维四川数据库，以及审批、供应等自然资源管理业务数据库关联互通，持续丰富完善地籍数据，拓展深化数据应用。地籍数据入库上图时存在成果缺失、交叉重叠、位置偏移等问题的，要做好标注，后续逐步补充完善。</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编制地籍图</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地籍图编制技术规范（试行）》要求，利用农村房地一体不动产登记及地籍调查成果编制地籍图。未调查的宅基地和集体建设用地，采用勾绘成果编制地籍示意图。未调查的道路、水系、公园绿地等，可先利用基础地理、基础测绘、国土空间监测、国土调查等数据上图。地籍图以电子地图为主，城镇范围内采用1:500比例尺，农村及其他范围内采用1:10000比例尺，使用标准矩形分幅，制作生成PDF或JPG格式的地籍图。</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数据汇交</w:t>
      </w:r>
    </w:p>
    <w:p>
      <w:pPr>
        <w:pStyle w:val="4"/>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底前，完成宅基地、集体建设用地和已登记部分地籍调查成果收集整理，基本实现宅基地地籍图全覆盖，数据成果汇交到部。2026年底前，基本完成国有建设用地地籍调查成果收集整理，未调查宗地和已登记宗地缺失图形数据的完成宗地范围勾绘，补充完善已登记宗地的图形数据，入库上图并汇交到省厅。</w:t>
      </w:r>
    </w:p>
    <w:p>
      <w:pPr>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val="0"/>
          <w:bCs w:val="0"/>
          <w:sz w:val="32"/>
          <w:szCs w:val="32"/>
          <w:lang w:val="en-US" w:eastAsia="zh-CN"/>
        </w:rPr>
        <w:t>（四）成果要求</w:t>
      </w:r>
    </w:p>
    <w:p>
      <w:pPr>
        <w:pStyle w:val="12"/>
        <w:ind w:firstLine="56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2026年底前，完成宅基地和集体建设用地地籍调查成果收集整理、补充调查、整合入库、数据汇交等工作。2026年底前，完成国有建设用地地籍调查成果收集整理、补充调查、整合入库、数据汇交等工作。</w:t>
      </w:r>
    </w:p>
    <w:p>
      <w:pPr>
        <w:pStyle w:val="12"/>
        <w:ind w:firstLine="56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（1）地籍图：完成宅基地和集体建设用地地籍图的编制，包括电子地籍图和部分纸质地籍图。电子地籍图应按照标准矩形分幅输出，格式为PDF和JPG两种格式。</w:t>
      </w:r>
    </w:p>
    <w:p>
      <w:pPr>
        <w:pStyle w:val="12"/>
        <w:ind w:firstLine="56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（2）数据库：提交宅基地和集体建设用地地籍数据库，包括图形数据和属性数据，确保图属一致。数据库应符合《地籍数据库标准》。</w:t>
      </w:r>
    </w:p>
    <w:p>
      <w:pPr>
        <w:pStyle w:val="12"/>
        <w:ind w:firstLine="56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（3）数据汇交文件：按照数据汇交的要求，准备数据汇交文件，确保数据能够顺利汇交到省厅和部。</w:t>
      </w:r>
    </w:p>
    <w:p>
      <w:pPr>
        <w:pStyle w:val="11"/>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ascii="Times New Roman" w:hAnsi="Times New Roman" w:eastAsia="方正黑体_GBK" w:cs="Times New Roman"/>
          <w:b w:val="0"/>
          <w:bCs w:val="0"/>
          <w:kern w:val="0"/>
          <w:sz w:val="32"/>
          <w:szCs w:val="32"/>
        </w:rPr>
        <w:t>三、商务及其他要求</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1.履约期限和地点：</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（1）履约期限：自合同签订之日起至2026年12月31日。</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（2）履约地点：采购人指定地点。</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2.付款方式：</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（1）经项目验收合格后，由财政统一支付。</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（2）成交供应商须向采购人出具合法有效完整的增值税发票及凭证资料进行支付结算。</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3.报价要求：报价应是最终采购人验收合格后的总价，包括实施和完成本项目建设有关的人员劳务、差旅、通讯、成果、风险、税金、利润</w:t>
      </w:r>
      <w:bookmarkStart w:id="5" w:name="_GoBack"/>
      <w:bookmarkEnd w:id="5"/>
      <w:r>
        <w:rPr>
          <w:rFonts w:hint="eastAsia" w:ascii="Times New Roman" w:hAnsi="Times New Roman" w:eastAsia="方正仿宋_GBK" w:cs="Times New Roman"/>
          <w:bCs/>
          <w:sz w:val="32"/>
          <w:szCs w:val="32"/>
          <w:lang w:val="en-US" w:eastAsia="zh-CN"/>
        </w:rPr>
        <w:t>等费用。</w:t>
      </w:r>
    </w:p>
    <w:p>
      <w:pPr>
        <w:pStyle w:val="5"/>
        <w:keepNext w:val="0"/>
        <w:keepLines w:val="0"/>
        <w:pageBreakBefore w:val="0"/>
        <w:kinsoku/>
        <w:overflowPunct/>
        <w:topLinePunct w:val="0"/>
        <w:bidi w:val="0"/>
        <w:snapToGrid/>
        <w:spacing w:line="578"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4.验收标准：严格按照《政府采购需求管理办法》（财库〔2021〕22号）、《财政部关于进一步加强政府采购需求和履约验收管理的指导意见》(财库〔2016〕205号)以及本项目成果验收及其他验收要求执行。</w:t>
      </w:r>
    </w:p>
    <w:p>
      <w:pPr>
        <w:pStyle w:val="11"/>
        <w:keepNext w:val="0"/>
        <w:keepLines w:val="0"/>
        <w:pageBreakBefore w:val="0"/>
        <w:kinsoku/>
        <w:overflowPunct/>
        <w:topLinePunct w:val="0"/>
        <w:bidi w:val="0"/>
        <w:snapToGrid/>
        <w:spacing w:line="578" w:lineRule="exact"/>
        <w:ind w:firstLine="640" w:firstLineChars="200"/>
        <w:jc w:val="both"/>
        <w:textAlignment w:val="auto"/>
        <w:rPr>
          <w:rFonts w:hint="eastAsia" w:ascii="Times New Roman" w:hAnsi="Times New Roman" w:eastAsia="方正黑体_GBK" w:cs="Times New Roman"/>
          <w:b w:val="0"/>
          <w:bCs w:val="0"/>
          <w:kern w:val="0"/>
          <w:sz w:val="32"/>
          <w:szCs w:val="32"/>
          <w:lang w:val="en-US" w:eastAsia="zh-CN"/>
        </w:rPr>
      </w:pPr>
      <w:r>
        <w:rPr>
          <w:rFonts w:hint="eastAsia" w:ascii="Times New Roman" w:hAnsi="Times New Roman" w:eastAsia="方正黑体_GBK" w:cs="Times New Roman"/>
          <w:b w:val="0"/>
          <w:bCs w:val="0"/>
          <w:kern w:val="0"/>
          <w:sz w:val="32"/>
          <w:szCs w:val="32"/>
          <w:lang w:val="en-US" w:eastAsia="zh-CN"/>
        </w:rPr>
        <w:t>四、编制地籍图工作任务表</w:t>
      </w:r>
    </w:p>
    <w:tbl>
      <w:tblPr>
        <w:tblStyle w:val="9"/>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1261"/>
        <w:gridCol w:w="1380"/>
        <w:gridCol w:w="4080"/>
        <w:gridCol w:w="115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58" w:hRule="atLeast"/>
        </w:trPr>
        <w:tc>
          <w:tcPr>
            <w:tcW w:w="9535" w:type="dxa"/>
            <w:gridSpan w:val="6"/>
            <w:shd w:val="clear" w:color="auto" w:fill="auto"/>
            <w:vAlign w:val="center"/>
          </w:tcPr>
          <w:p>
            <w:pPr>
              <w:pStyle w:val="11"/>
              <w:keepNext w:val="0"/>
              <w:keepLines w:val="0"/>
              <w:pageBreakBefore w:val="0"/>
              <w:kinsoku/>
              <w:overflowPunct/>
              <w:topLinePunct w:val="0"/>
              <w:bidi w:val="0"/>
              <w:snapToGrid/>
              <w:spacing w:line="578" w:lineRule="exact"/>
              <w:ind w:firstLine="640" w:firstLineChars="200"/>
              <w:jc w:val="center"/>
              <w:textAlignment w:val="auto"/>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编制地籍图工作任务表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0" w:hRule="atLeast"/>
        </w:trPr>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2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项目任务</w:t>
            </w:r>
          </w:p>
        </w:tc>
        <w:tc>
          <w:tcPr>
            <w:tcW w:w="138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项目任务子项</w:t>
            </w:r>
          </w:p>
        </w:tc>
        <w:tc>
          <w:tcPr>
            <w:tcW w:w="408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工作内容</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工作量</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00" w:hRule="atLeast"/>
        </w:trPr>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2641"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项目准备</w:t>
            </w: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资料收集、分析、编制工作方案等</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40" w:hRule="atLeast"/>
        </w:trPr>
        <w:tc>
          <w:tcPr>
            <w:tcW w:w="75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126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地籍调查成果汇交</w:t>
            </w:r>
          </w:p>
        </w:tc>
        <w:tc>
          <w:tcPr>
            <w:tcW w:w="138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2025年地籍调查成果整理汇交</w:t>
            </w: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在宅基地和集体建设用地范围内基于高清影像勾绘宗地图</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34826</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80" w:hRule="atLeast"/>
        </w:trPr>
        <w:tc>
          <w:tcPr>
            <w:tcW w:w="75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61"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8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bidi="ar"/>
              </w:rPr>
              <w:t>宅基地和集体建设用地范围内地籍成果收集整理，按照《地籍数据库标准》，规范数据格式和内容，将现势有效的地籍调查成果梳理编制地籍数据库。</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04" w:hRule="atLeast"/>
        </w:trPr>
        <w:tc>
          <w:tcPr>
            <w:tcW w:w="75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61"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8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年度汇交：宅基地地籍图全覆盖地籍数据库与登记数据做好关联，逐级汇交到省厅，按省级汇交要求梳理，完成数据质检、汇交。</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80" w:hRule="atLeast"/>
        </w:trPr>
        <w:tc>
          <w:tcPr>
            <w:tcW w:w="75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61"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8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2026年地籍调查成果整理汇交</w:t>
            </w: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国有建设用地地籍调查成果收集整理，补充完善已登记宗地的图形数据，按照《地籍数据库标准》，规范数据格式和内容，将现势有效的地籍调查成果梳理编制地籍数据库。</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28.46</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88" w:hRule="atLeast"/>
        </w:trPr>
        <w:tc>
          <w:tcPr>
            <w:tcW w:w="75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61"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8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年度汇交：成国有建设用地地籍数据库与登记数据做好关联，逐级汇交到省厅，按省级汇交要求梳理，完成数据质检、汇交。</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80" w:hRule="atLeast"/>
        </w:trPr>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i w:val="0"/>
                <w:iCs w:val="0"/>
                <w:color w:val="000000"/>
                <w:kern w:val="0"/>
                <w:sz w:val="21"/>
                <w:szCs w:val="21"/>
                <w:u w:val="none"/>
                <w:lang w:val="en-US" w:eastAsia="zh-CN" w:bidi="ar"/>
              </w:rPr>
              <w:t>三</w:t>
            </w:r>
          </w:p>
        </w:tc>
        <w:tc>
          <w:tcPr>
            <w:tcW w:w="2641"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全数据建库</w:t>
            </w: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根据地方确权登记工作进展，扎实做好土地承包经营权、林权、自然资源等各类地籍调查成果清查整理、入库汇交。地籍数据入库上图时存在成果缺失、交叉重叠、位置偏移等问题的，要做好标注，后续逐步补充完善。</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2018.86</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60" w:hRule="atLeast"/>
        </w:trPr>
        <w:tc>
          <w:tcPr>
            <w:tcW w:w="75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i w:val="0"/>
                <w:iCs w:val="0"/>
                <w:color w:val="000000"/>
                <w:kern w:val="0"/>
                <w:sz w:val="21"/>
                <w:szCs w:val="21"/>
                <w:u w:val="none"/>
                <w:lang w:val="en-US" w:eastAsia="zh-CN" w:bidi="ar"/>
              </w:rPr>
              <w:t>四</w:t>
            </w:r>
          </w:p>
        </w:tc>
        <w:tc>
          <w:tcPr>
            <w:tcW w:w="126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编制</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地籍图</w:t>
            </w:r>
          </w:p>
        </w:tc>
        <w:tc>
          <w:tcPr>
            <w:tcW w:w="138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1：2000</w:t>
            </w: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建设用地范围按照《地籍图编制技术规范（试行）》编制地籍图</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250.46</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60" w:hRule="atLeast"/>
        </w:trPr>
        <w:tc>
          <w:tcPr>
            <w:tcW w:w="750"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61" w:type="dxa"/>
            <w:vMerge w:val="continue"/>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8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1：5000</w:t>
            </w:r>
          </w:p>
        </w:tc>
        <w:tc>
          <w:tcPr>
            <w:tcW w:w="4080"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其他范围按照《地籍图编制技术规范（试行）》编制地籍图</w:t>
            </w:r>
          </w:p>
        </w:tc>
        <w:tc>
          <w:tcPr>
            <w:tcW w:w="11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2018.86</w:t>
            </w:r>
          </w:p>
        </w:tc>
        <w:tc>
          <w:tcPr>
            <w:tcW w:w="9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km²</w:t>
            </w:r>
          </w:p>
        </w:tc>
      </w:tr>
    </w:tbl>
    <w:p/>
    <w:sectPr>
      <w:footerReference r:id="rId3" w:type="default"/>
      <w:pgSz w:w="11906" w:h="16838"/>
      <w:pgMar w:top="2098" w:right="1474" w:bottom="1984" w:left="1587" w:header="851" w:footer="11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A9AEC"/>
    <w:multiLevelType w:val="singleLevel"/>
    <w:tmpl w:val="795A9A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54"/>
    <w:rsid w:val="000D452E"/>
    <w:rsid w:val="00533C4C"/>
    <w:rsid w:val="00590B5D"/>
    <w:rsid w:val="00647354"/>
    <w:rsid w:val="00E75D89"/>
    <w:rsid w:val="0224362A"/>
    <w:rsid w:val="0B1158C9"/>
    <w:rsid w:val="0BAF738D"/>
    <w:rsid w:val="0C7C69F0"/>
    <w:rsid w:val="0F004854"/>
    <w:rsid w:val="1733795A"/>
    <w:rsid w:val="1D6F5C49"/>
    <w:rsid w:val="1E041E80"/>
    <w:rsid w:val="1E9F49C1"/>
    <w:rsid w:val="1F862359"/>
    <w:rsid w:val="236F785E"/>
    <w:rsid w:val="23D2434F"/>
    <w:rsid w:val="3CA803D8"/>
    <w:rsid w:val="3DD768D8"/>
    <w:rsid w:val="46F94220"/>
    <w:rsid w:val="5C8D47B8"/>
    <w:rsid w:val="5DE534A6"/>
    <w:rsid w:val="63334D89"/>
    <w:rsid w:val="672F50CE"/>
    <w:rsid w:val="67462155"/>
    <w:rsid w:val="6FE416D5"/>
    <w:rsid w:val="70BC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spacing w:line="360" w:lineRule="auto"/>
      <w:ind w:firstLine="200" w:firstLineChars="200"/>
    </w:pPr>
  </w:style>
  <w:style w:type="paragraph" w:styleId="5">
    <w:name w:val="Body Text"/>
    <w:basedOn w:val="1"/>
    <w:link w:val="10"/>
    <w:qFormat/>
    <w:uiPriority w:val="0"/>
    <w:rPr>
      <w:rFonts w:ascii="华文中宋" w:eastAsia="华文中宋"/>
      <w:bCs/>
      <w:sz w:val="28"/>
    </w:rPr>
  </w:style>
  <w:style w:type="paragraph" w:styleId="6">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正文文本 Char"/>
    <w:basedOn w:val="8"/>
    <w:link w:val="5"/>
    <w:qFormat/>
    <w:uiPriority w:val="0"/>
    <w:rPr>
      <w:rFonts w:ascii="华文中宋" w:hAnsi="Times New Roman" w:eastAsia="华文中宋" w:cs="Times New Roman"/>
      <w:bCs/>
      <w:sz w:val="28"/>
    </w:rPr>
  </w:style>
  <w:style w:type="paragraph" w:customStyle="1" w:styleId="11">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kern w:val="2"/>
      <w:sz w:val="24"/>
      <w:szCs w:val="24"/>
      <w:lang w:val="en-US" w:eastAsia="zh-CN" w:bidi="ar-SA"/>
    </w:rPr>
  </w:style>
  <w:style w:type="paragraph" w:customStyle="1" w:styleId="12">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3">
    <w:name w:val="页脚 Char"/>
    <w:basedOn w:val="8"/>
    <w:link w:val="6"/>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3219</Words>
  <Characters>3362</Characters>
  <Lines>18</Lines>
  <Paragraphs>5</Paragraphs>
  <TotalTime>10</TotalTime>
  <ScaleCrop>false</ScaleCrop>
  <LinksUpToDate>false</LinksUpToDate>
  <CharactersWithSpaces>3363</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2026-01-06T03:44:00Z</dcterms:created>
  <dc:creator>Windows User</dc:creator>
  <cp:lastModifiedBy>Administrator</cp:lastModifiedBy>
  <dcterms:modified xsi:type="dcterms:W3CDTF">2026-01-21T07:43:02Z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eyJoZGlkIjoiY2RmMWQyODNkYjdlNmNjYTY0YTE5NzExZDA0YTJiMDkiLCJ1c2VySWQiOiI0MjM3OTk2OTkifQ==</vt:lpwstr>
  </property>
  <property fmtid="{D5CDD505-2E9C-101B-9397-08002B2CF9AE}" pid="3" name="KSOProductBuildVer">
    <vt:lpwstr>2052-11.1.0.7989</vt:lpwstr>
  </property>
  <property fmtid="{D5CDD505-2E9C-101B-9397-08002B2CF9AE}" pid="4" name="ICV">
    <vt:lpwstr>935DF73FBE9A4C7285C4CEE88D890571_13</vt:lpwstr>
  </property>
</Properties>
</file>