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26844">
      <w:pPr>
        <w:spacing w:line="242" w:lineRule="auto"/>
        <w:rPr>
          <w:rFonts w:ascii="Arial"/>
          <w:sz w:val="21"/>
        </w:rPr>
      </w:pPr>
    </w:p>
    <w:p w14:paraId="43CB1064">
      <w:pPr>
        <w:spacing w:line="243" w:lineRule="auto"/>
        <w:rPr>
          <w:rFonts w:ascii="Arial"/>
          <w:sz w:val="21"/>
        </w:rPr>
      </w:pPr>
    </w:p>
    <w:p w14:paraId="7B1EF898">
      <w:pPr>
        <w:spacing w:line="243" w:lineRule="auto"/>
        <w:rPr>
          <w:rFonts w:ascii="Arial"/>
          <w:sz w:val="21"/>
        </w:rPr>
      </w:pPr>
    </w:p>
    <w:p w14:paraId="26CD3D03">
      <w:pPr>
        <w:spacing w:line="259" w:lineRule="auto"/>
        <w:rPr>
          <w:rFonts w:ascii="Arial"/>
          <w:sz w:val="21"/>
        </w:rPr>
      </w:pPr>
    </w:p>
    <w:p w14:paraId="7F13224B">
      <w:pPr>
        <w:spacing w:line="259" w:lineRule="auto"/>
        <w:rPr>
          <w:rFonts w:ascii="Arial"/>
          <w:sz w:val="21"/>
        </w:rPr>
      </w:pPr>
    </w:p>
    <w:p w14:paraId="0B5F0C07">
      <w:pPr>
        <w:spacing w:before="143" w:line="218" w:lineRule="auto"/>
        <w:jc w:val="center"/>
        <w:rPr>
          <w:rFonts w:hint="eastAsia" w:ascii="宋体" w:hAnsi="宋体" w:eastAsia="宋体" w:cs="宋体"/>
          <w:b/>
          <w:bCs/>
          <w:spacing w:val="-5"/>
          <w:sz w:val="44"/>
          <w:szCs w:val="44"/>
          <w:lang w:val="en-US" w:eastAsia="zh-CN"/>
        </w:rPr>
      </w:pPr>
      <w:r>
        <w:rPr>
          <w:rFonts w:hint="eastAsia" w:ascii="宋体" w:hAnsi="宋体" w:eastAsia="宋体" w:cs="宋体"/>
          <w:b/>
          <w:bCs/>
          <w:spacing w:val="-5"/>
          <w:sz w:val="44"/>
          <w:szCs w:val="44"/>
          <w:lang w:val="en-US" w:eastAsia="zh-CN"/>
        </w:rPr>
        <w:t>渠县东安镇人民政府</w:t>
      </w:r>
    </w:p>
    <w:p w14:paraId="5DE15CF5">
      <w:pPr>
        <w:spacing w:before="143" w:line="218" w:lineRule="auto"/>
        <w:jc w:val="center"/>
        <w:rPr>
          <w:rFonts w:hint="eastAsia" w:ascii="宋体" w:hAnsi="宋体" w:eastAsia="宋体" w:cs="宋体"/>
          <w:b/>
          <w:bCs/>
          <w:spacing w:val="-5"/>
          <w:sz w:val="44"/>
          <w:szCs w:val="44"/>
          <w:lang w:val="en-US" w:eastAsia="zh-CN"/>
        </w:rPr>
      </w:pPr>
      <w:r>
        <w:rPr>
          <w:rFonts w:hint="eastAsia" w:ascii="宋体" w:hAnsi="宋体" w:eastAsia="宋体" w:cs="宋体"/>
          <w:b/>
          <w:bCs/>
          <w:spacing w:val="-5"/>
          <w:sz w:val="44"/>
          <w:szCs w:val="44"/>
          <w:lang w:val="en-US" w:eastAsia="zh-CN"/>
        </w:rPr>
        <w:t>关于报送2024年度</w:t>
      </w:r>
      <w:r>
        <w:rPr>
          <w:rFonts w:ascii="宋体" w:hAnsi="宋体" w:eastAsia="宋体" w:cs="宋体"/>
          <w:b/>
          <w:bCs/>
          <w:spacing w:val="-5"/>
          <w:sz w:val="44"/>
          <w:szCs w:val="44"/>
        </w:rPr>
        <w:t>部门</w:t>
      </w:r>
      <w:r>
        <w:rPr>
          <w:rFonts w:hint="eastAsia" w:ascii="宋体" w:hAnsi="宋体" w:eastAsia="宋体" w:cs="宋体"/>
          <w:b/>
          <w:bCs/>
          <w:spacing w:val="-5"/>
          <w:sz w:val="44"/>
          <w:szCs w:val="44"/>
          <w:lang w:val="en-US" w:eastAsia="zh-CN"/>
        </w:rPr>
        <w:t>整体支出</w:t>
      </w:r>
    </w:p>
    <w:p w14:paraId="2C42EDE4">
      <w:pPr>
        <w:spacing w:before="143" w:line="218" w:lineRule="auto"/>
        <w:jc w:val="center"/>
        <w:rPr>
          <w:rFonts w:ascii="宋体" w:hAnsi="宋体" w:eastAsia="宋体" w:cs="宋体"/>
          <w:sz w:val="44"/>
          <w:szCs w:val="44"/>
        </w:rPr>
      </w:pPr>
      <w:r>
        <w:rPr>
          <w:rFonts w:ascii="宋体" w:hAnsi="宋体" w:eastAsia="宋体" w:cs="宋体"/>
          <w:b/>
          <w:bCs/>
          <w:spacing w:val="-5"/>
          <w:sz w:val="44"/>
          <w:szCs w:val="44"/>
        </w:rPr>
        <w:t>绩效评价</w:t>
      </w:r>
      <w:r>
        <w:rPr>
          <w:rFonts w:hint="eastAsia" w:ascii="宋体" w:hAnsi="宋体" w:eastAsia="宋体" w:cs="宋体"/>
          <w:b/>
          <w:bCs/>
          <w:spacing w:val="-5"/>
          <w:sz w:val="44"/>
          <w:szCs w:val="44"/>
          <w:lang w:val="en-US" w:eastAsia="zh-CN"/>
        </w:rPr>
        <w:t>的</w:t>
      </w:r>
      <w:r>
        <w:rPr>
          <w:rFonts w:ascii="宋体" w:hAnsi="宋体" w:eastAsia="宋体" w:cs="宋体"/>
          <w:b/>
          <w:bCs/>
          <w:spacing w:val="-5"/>
          <w:sz w:val="44"/>
          <w:szCs w:val="44"/>
        </w:rPr>
        <w:t>报告</w:t>
      </w:r>
    </w:p>
    <w:p w14:paraId="6F8C4251">
      <w:pPr>
        <w:spacing w:line="322" w:lineRule="auto"/>
        <w:rPr>
          <w:rFonts w:ascii="Arial"/>
          <w:sz w:val="21"/>
        </w:rPr>
      </w:pPr>
    </w:p>
    <w:p w14:paraId="0EC41B64">
      <w:pPr>
        <w:autoSpaceDE w:val="0"/>
        <w:spacing w:line="570" w:lineRule="exact"/>
        <w:rPr>
          <w:rFonts w:hint="eastAsia" w:ascii="仿宋" w:hAnsi="仿宋" w:eastAsia="仿宋" w:cs="仿宋"/>
          <w:snapToGrid w:val="0"/>
          <w:color w:val="000000"/>
          <w:spacing w:val="10"/>
          <w:kern w:val="0"/>
          <w:sz w:val="33"/>
          <w:szCs w:val="33"/>
          <w:lang w:val="en-US" w:eastAsia="zh-CN" w:bidi="ar-SA"/>
        </w:rPr>
      </w:pPr>
      <w:r>
        <w:rPr>
          <w:rFonts w:hint="eastAsia" w:ascii="仿宋" w:hAnsi="仿宋" w:eastAsia="仿宋" w:cs="仿宋"/>
          <w:snapToGrid w:val="0"/>
          <w:color w:val="000000"/>
          <w:spacing w:val="10"/>
          <w:kern w:val="0"/>
          <w:sz w:val="33"/>
          <w:szCs w:val="33"/>
          <w:lang w:val="en-US" w:eastAsia="zh-CN" w:bidi="ar-SA"/>
        </w:rPr>
        <w:t>渠县财政局：</w:t>
      </w:r>
    </w:p>
    <w:p w14:paraId="4DA9E666">
      <w:pPr>
        <w:autoSpaceDE w:val="0"/>
        <w:spacing w:line="570" w:lineRule="exact"/>
        <w:rPr>
          <w:rFonts w:hint="default" w:ascii="仿宋" w:hAnsi="仿宋" w:eastAsia="仿宋" w:cs="仿宋"/>
          <w:snapToGrid w:val="0"/>
          <w:color w:val="000000"/>
          <w:spacing w:val="10"/>
          <w:kern w:val="0"/>
          <w:sz w:val="33"/>
          <w:szCs w:val="33"/>
          <w:lang w:val="en-US" w:eastAsia="zh-CN" w:bidi="ar-SA"/>
        </w:rPr>
      </w:pPr>
      <w:r>
        <w:rPr>
          <w:rFonts w:hint="eastAsia" w:ascii="仿宋" w:hAnsi="仿宋" w:eastAsia="仿宋" w:cs="仿宋"/>
          <w:snapToGrid w:val="0"/>
          <w:color w:val="000000"/>
          <w:spacing w:val="10"/>
          <w:kern w:val="0"/>
          <w:sz w:val="33"/>
          <w:szCs w:val="33"/>
          <w:lang w:val="en-US" w:eastAsia="zh-CN" w:bidi="ar-SA"/>
        </w:rPr>
        <w:t xml:space="preserve">    按照渠县财政局《关于开展2025年县级部门绩效自评工作的通知》（渠财绩</w:t>
      </w:r>
      <w:r>
        <w:rPr>
          <w:rFonts w:hint="eastAsia" w:ascii="宋体" w:hAnsi="宋体" w:eastAsia="宋体" w:cs="宋体"/>
          <w:snapToGrid w:val="0"/>
          <w:color w:val="000000"/>
          <w:spacing w:val="10"/>
          <w:kern w:val="0"/>
          <w:sz w:val="33"/>
          <w:szCs w:val="33"/>
          <w:lang w:val="en-US" w:eastAsia="zh-CN" w:bidi="ar-SA"/>
        </w:rPr>
        <w:t>〔</w:t>
      </w:r>
      <w:r>
        <w:rPr>
          <w:rFonts w:hint="eastAsia" w:ascii="仿宋" w:hAnsi="仿宋" w:eastAsia="仿宋" w:cs="仿宋"/>
          <w:snapToGrid w:val="0"/>
          <w:color w:val="000000"/>
          <w:spacing w:val="10"/>
          <w:kern w:val="0"/>
          <w:sz w:val="33"/>
          <w:szCs w:val="33"/>
          <w:lang w:val="en-US" w:eastAsia="zh-CN" w:bidi="ar-SA"/>
        </w:rPr>
        <w:t>2025</w:t>
      </w:r>
      <w:r>
        <w:rPr>
          <w:rFonts w:hint="eastAsia" w:ascii="宋体" w:hAnsi="宋体" w:eastAsia="宋体" w:cs="宋体"/>
          <w:snapToGrid w:val="0"/>
          <w:color w:val="000000"/>
          <w:spacing w:val="10"/>
          <w:kern w:val="0"/>
          <w:sz w:val="33"/>
          <w:szCs w:val="33"/>
          <w:lang w:val="en-US" w:eastAsia="zh-CN" w:bidi="ar-SA"/>
        </w:rPr>
        <w:t>〕</w:t>
      </w:r>
      <w:r>
        <w:rPr>
          <w:rFonts w:hint="eastAsia" w:ascii="仿宋" w:hAnsi="仿宋" w:eastAsia="仿宋" w:cs="仿宋"/>
          <w:snapToGrid w:val="0"/>
          <w:color w:val="000000"/>
          <w:spacing w:val="10"/>
          <w:kern w:val="0"/>
          <w:sz w:val="33"/>
          <w:szCs w:val="33"/>
          <w:lang w:val="en-US" w:eastAsia="zh-CN" w:bidi="ar-SA"/>
        </w:rPr>
        <w:t>5号）要求，我单位于2025年6月1日开展部门整体支出绩效评价。通过综合分析形成绩效评价报告，现报告如下：</w:t>
      </w:r>
    </w:p>
    <w:p w14:paraId="1C9C85F5">
      <w:pPr>
        <w:spacing w:line="322" w:lineRule="auto"/>
        <w:rPr>
          <w:rFonts w:hint="default" w:eastAsia="宋体"/>
          <w:sz w:val="21"/>
          <w:lang w:val="en-US" w:eastAsia="zh-CN"/>
        </w:rPr>
      </w:pPr>
      <w:r>
        <w:rPr>
          <w:rFonts w:hint="eastAsia" w:eastAsia="宋体"/>
          <w:sz w:val="21"/>
          <w:lang w:val="en-US" w:eastAsia="zh-CN"/>
        </w:rPr>
        <w:t xml:space="preserve">    </w:t>
      </w:r>
    </w:p>
    <w:p w14:paraId="5E03BB2D">
      <w:pPr>
        <w:spacing w:before="107" w:line="222" w:lineRule="auto"/>
        <w:ind w:left="644"/>
        <w:outlineLvl w:val="0"/>
        <w:rPr>
          <w:rFonts w:hint="eastAsia" w:ascii="黑体" w:hAnsi="黑体" w:eastAsia="黑体" w:cs="黑体"/>
          <w:sz w:val="33"/>
          <w:szCs w:val="33"/>
          <w:lang w:eastAsia="zh-CN"/>
        </w:rPr>
      </w:pPr>
      <w:r>
        <w:rPr>
          <w:rFonts w:ascii="黑体" w:hAnsi="黑体" w:eastAsia="黑体" w:cs="黑体"/>
          <w:b/>
          <w:bCs/>
          <w:spacing w:val="15"/>
          <w:sz w:val="33"/>
          <w:szCs w:val="33"/>
        </w:rPr>
        <w:t>一、部门(单位)基本情况</w:t>
      </w:r>
    </w:p>
    <w:p w14:paraId="11CC0A9C">
      <w:pPr>
        <w:autoSpaceDE w:val="0"/>
        <w:spacing w:line="570" w:lineRule="exact"/>
        <w:ind w:firstLine="700" w:firstLineChars="200"/>
        <w:rPr>
          <w:rFonts w:ascii="楷体" w:hAnsi="楷体" w:eastAsia="楷体" w:cs="楷体"/>
          <w:b w:val="0"/>
          <w:bCs w:val="0"/>
          <w:snapToGrid w:val="0"/>
          <w:color w:val="000000"/>
          <w:spacing w:val="10"/>
          <w:kern w:val="0"/>
          <w:sz w:val="33"/>
          <w:szCs w:val="33"/>
          <w:lang w:val="en-US" w:eastAsia="en-US" w:bidi="ar-SA"/>
        </w:rPr>
      </w:pPr>
      <w:r>
        <w:rPr>
          <w:rFonts w:ascii="楷体" w:hAnsi="楷体" w:eastAsia="楷体" w:cs="楷体"/>
          <w:b w:val="0"/>
          <w:bCs w:val="0"/>
          <w:snapToGrid w:val="0"/>
          <w:color w:val="000000"/>
          <w:spacing w:val="10"/>
          <w:kern w:val="0"/>
          <w:sz w:val="33"/>
          <w:szCs w:val="33"/>
          <w:lang w:val="en-US" w:eastAsia="en-US" w:bidi="ar-SA"/>
        </w:rPr>
        <w:t>(一)机构组成。</w:t>
      </w:r>
    </w:p>
    <w:p w14:paraId="40225B19">
      <w:pPr>
        <w:autoSpaceDE w:val="0"/>
        <w:spacing w:line="570" w:lineRule="exact"/>
        <w:ind w:firstLine="700" w:firstLineChars="200"/>
        <w:rPr>
          <w:rFonts w:hint="eastAsia" w:ascii="仿宋" w:hAnsi="仿宋" w:eastAsia="仿宋" w:cs="仿宋"/>
          <w:snapToGrid w:val="0"/>
          <w:color w:val="000000"/>
          <w:spacing w:val="10"/>
          <w:kern w:val="0"/>
          <w:sz w:val="33"/>
          <w:szCs w:val="33"/>
          <w:lang w:val="en-US" w:eastAsia="en-US" w:bidi="ar-SA"/>
        </w:rPr>
      </w:pPr>
      <w:r>
        <w:rPr>
          <w:rFonts w:hint="eastAsia" w:ascii="仿宋" w:hAnsi="仿宋" w:eastAsia="仿宋" w:cs="仿宋"/>
          <w:snapToGrid w:val="0"/>
          <w:color w:val="000000"/>
          <w:spacing w:val="10"/>
          <w:kern w:val="0"/>
          <w:sz w:val="33"/>
          <w:szCs w:val="33"/>
          <w:lang w:val="en-US" w:eastAsia="zh-CN" w:bidi="ar-SA"/>
        </w:rPr>
        <w:t>渠县东安镇人民政府内设机构及下属单位共14个，主要包括</w:t>
      </w:r>
      <w:r>
        <w:rPr>
          <w:rFonts w:hint="eastAsia" w:ascii="仿宋" w:hAnsi="仿宋" w:eastAsia="仿宋" w:cs="仿宋"/>
          <w:snapToGrid w:val="0"/>
          <w:color w:val="000000"/>
          <w:spacing w:val="10"/>
          <w:kern w:val="0"/>
          <w:sz w:val="33"/>
          <w:szCs w:val="33"/>
          <w:lang w:val="en-US" w:eastAsia="en-US" w:bidi="ar-SA"/>
        </w:rPr>
        <w:t>：党政综合办事机构9个：分别是办公室（内部审计办公室）、党建办公室、综合执法办公室、经济发展办公室（乡村振兴办公室）、社会事务办公室、应急管理办公室、社会治理办公室（社会治安综合治理中心）、生态环境办公室、财政所。</w:t>
      </w:r>
    </w:p>
    <w:p w14:paraId="5EFAAE2C">
      <w:pPr>
        <w:pStyle w:val="3"/>
        <w:keepNext w:val="0"/>
        <w:keepLines w:val="0"/>
        <w:pageBreakBefore w:val="0"/>
        <w:widowControl/>
        <w:kinsoku w:val="0"/>
        <w:wordWrap/>
        <w:overflowPunct/>
        <w:topLinePunct w:val="0"/>
        <w:autoSpaceDE w:val="0"/>
        <w:autoSpaceDN w:val="0"/>
        <w:bidi w:val="0"/>
        <w:adjustRightInd w:val="0"/>
        <w:snapToGrid w:val="0"/>
        <w:ind w:firstLine="700" w:firstLineChars="200"/>
        <w:textAlignment w:val="baseline"/>
        <w:rPr>
          <w:rFonts w:hint="eastAsia" w:ascii="仿宋" w:hAnsi="仿宋" w:eastAsia="仿宋" w:cs="仿宋"/>
          <w:snapToGrid w:val="0"/>
          <w:color w:val="000000"/>
          <w:spacing w:val="10"/>
          <w:kern w:val="0"/>
          <w:sz w:val="33"/>
          <w:szCs w:val="33"/>
          <w:lang w:val="en-US" w:eastAsia="en-US" w:bidi="ar-SA"/>
        </w:rPr>
      </w:pPr>
      <w:r>
        <w:rPr>
          <w:rFonts w:hint="eastAsia" w:ascii="仿宋" w:hAnsi="仿宋" w:eastAsia="仿宋" w:cs="仿宋"/>
          <w:snapToGrid w:val="0"/>
          <w:color w:val="000000"/>
          <w:spacing w:val="10"/>
          <w:kern w:val="0"/>
          <w:sz w:val="33"/>
          <w:szCs w:val="33"/>
          <w:lang w:val="en-US" w:eastAsia="en-US" w:bidi="ar-SA"/>
        </w:rPr>
        <w:t>直属事业单位5个：分别是便民服务中心（退役军人服务站）、农民工服务中心、农业综合服务中心（畜牧兽医站）、村镇建设综合服务中心（村镇环境卫生治理中心）、文化旅游服务中心。</w:t>
      </w:r>
    </w:p>
    <w:p w14:paraId="33056F12">
      <w:pPr>
        <w:pStyle w:val="2"/>
        <w:spacing w:before="209" w:line="224" w:lineRule="auto"/>
        <w:ind w:left="814"/>
        <w:rPr>
          <w:rFonts w:ascii="楷体" w:hAnsi="楷体" w:eastAsia="楷体" w:cs="楷体"/>
          <w:b w:val="0"/>
          <w:bCs w:val="0"/>
          <w:spacing w:val="10"/>
        </w:rPr>
      </w:pPr>
      <w:r>
        <w:rPr>
          <w:rFonts w:ascii="楷体" w:hAnsi="楷体" w:eastAsia="楷体" w:cs="楷体"/>
          <w:b w:val="0"/>
          <w:bCs w:val="0"/>
          <w:spacing w:val="10"/>
        </w:rPr>
        <w:t>(二)机构职能。</w:t>
      </w:r>
    </w:p>
    <w:p w14:paraId="483AD0FB">
      <w:pPr>
        <w:pStyle w:val="2"/>
        <w:keepNext w:val="0"/>
        <w:keepLines w:val="0"/>
        <w:pageBreakBefore w:val="0"/>
        <w:widowControl/>
        <w:kinsoku w:val="0"/>
        <w:wordWrap/>
        <w:overflowPunct/>
        <w:topLinePunct w:val="0"/>
        <w:autoSpaceDE w:val="0"/>
        <w:autoSpaceDN w:val="0"/>
        <w:bidi w:val="0"/>
        <w:adjustRightInd w:val="0"/>
        <w:snapToGrid w:val="0"/>
        <w:spacing w:before="209" w:line="224" w:lineRule="auto"/>
        <w:ind w:firstLine="700" w:firstLineChars="200"/>
        <w:textAlignment w:val="baseline"/>
        <w:rPr>
          <w:rFonts w:hint="eastAsia" w:eastAsia="仿宋"/>
          <w:spacing w:val="10"/>
          <w:lang w:eastAsia="zh-CN"/>
        </w:rPr>
      </w:pPr>
      <w:r>
        <w:rPr>
          <w:rFonts w:hint="eastAsia"/>
          <w:spacing w:val="10"/>
          <w:lang w:eastAsia="zh-CN"/>
        </w:rPr>
        <w:t>（</w:t>
      </w:r>
      <w:r>
        <w:rPr>
          <w:rFonts w:hint="eastAsia"/>
          <w:spacing w:val="10"/>
          <w:lang w:val="en-US" w:eastAsia="zh-CN"/>
        </w:rPr>
        <w:t>1</w:t>
      </w:r>
      <w:r>
        <w:rPr>
          <w:rFonts w:hint="eastAsia"/>
          <w:spacing w:val="10"/>
          <w:lang w:eastAsia="zh-CN"/>
        </w:rPr>
        <w:t>）</w:t>
      </w:r>
      <w:r>
        <w:rPr>
          <w:rFonts w:hint="eastAsia"/>
          <w:spacing w:val="10"/>
        </w:rPr>
        <w:t>党政办公室负责乡镇机关党务和行政事务工作</w:t>
      </w:r>
      <w:r>
        <w:rPr>
          <w:rFonts w:hint="eastAsia"/>
          <w:spacing w:val="10"/>
          <w:lang w:eastAsia="zh-CN"/>
        </w:rPr>
        <w:t>。</w:t>
      </w:r>
    </w:p>
    <w:p w14:paraId="5B1D730C">
      <w:pPr>
        <w:pStyle w:val="2"/>
        <w:keepNext w:val="0"/>
        <w:keepLines w:val="0"/>
        <w:pageBreakBefore w:val="0"/>
        <w:widowControl/>
        <w:kinsoku w:val="0"/>
        <w:wordWrap/>
        <w:overflowPunct/>
        <w:topLinePunct w:val="0"/>
        <w:autoSpaceDE w:val="0"/>
        <w:autoSpaceDN w:val="0"/>
        <w:bidi w:val="0"/>
        <w:adjustRightInd w:val="0"/>
        <w:snapToGrid w:val="0"/>
        <w:spacing w:before="209" w:line="224" w:lineRule="auto"/>
        <w:ind w:firstLine="700" w:firstLineChars="200"/>
        <w:textAlignment w:val="baseline"/>
        <w:rPr>
          <w:rFonts w:hint="eastAsia"/>
          <w:spacing w:val="10"/>
          <w:lang w:eastAsia="zh-CN"/>
        </w:rPr>
      </w:pPr>
      <w:r>
        <w:rPr>
          <w:rFonts w:hint="eastAsia"/>
          <w:spacing w:val="10"/>
          <w:lang w:eastAsia="zh-CN"/>
        </w:rPr>
        <w:t>（</w:t>
      </w:r>
      <w:r>
        <w:rPr>
          <w:rFonts w:hint="eastAsia"/>
          <w:spacing w:val="10"/>
          <w:lang w:val="en-US" w:eastAsia="zh-CN"/>
        </w:rPr>
        <w:t>2）</w:t>
      </w:r>
      <w:r>
        <w:rPr>
          <w:rFonts w:hint="eastAsia"/>
          <w:spacing w:val="10"/>
          <w:lang w:eastAsia="zh-CN"/>
        </w:rPr>
        <w:t>便民服务中心负责集中受理和办理涉及经济发展、公共服务管理以及群众密切相关的政务服务，便民服务事项，提供相关帮办服务，政务公开等事项。</w:t>
      </w:r>
    </w:p>
    <w:p w14:paraId="1320A0E2">
      <w:pPr>
        <w:pStyle w:val="2"/>
        <w:keepNext w:val="0"/>
        <w:keepLines w:val="0"/>
        <w:pageBreakBefore w:val="0"/>
        <w:widowControl/>
        <w:kinsoku w:val="0"/>
        <w:wordWrap/>
        <w:overflowPunct/>
        <w:topLinePunct w:val="0"/>
        <w:autoSpaceDE w:val="0"/>
        <w:autoSpaceDN w:val="0"/>
        <w:bidi w:val="0"/>
        <w:adjustRightInd w:val="0"/>
        <w:snapToGrid w:val="0"/>
        <w:spacing w:before="209" w:line="224" w:lineRule="auto"/>
        <w:ind w:firstLine="700" w:firstLineChars="200"/>
        <w:textAlignment w:val="baseline"/>
        <w:rPr>
          <w:rFonts w:hint="eastAsia"/>
          <w:spacing w:val="10"/>
          <w:lang w:eastAsia="zh-CN"/>
        </w:rPr>
      </w:pPr>
      <w:r>
        <w:rPr>
          <w:rFonts w:hint="eastAsia"/>
          <w:spacing w:val="10"/>
          <w:lang w:eastAsia="zh-CN"/>
        </w:rPr>
        <w:t>（</w:t>
      </w:r>
      <w:r>
        <w:rPr>
          <w:rFonts w:hint="eastAsia"/>
          <w:spacing w:val="10"/>
          <w:lang w:val="en-US" w:eastAsia="zh-CN"/>
        </w:rPr>
        <w:t>3）</w:t>
      </w:r>
      <w:r>
        <w:rPr>
          <w:rFonts w:hint="eastAsia"/>
          <w:spacing w:val="10"/>
          <w:lang w:eastAsia="zh-CN"/>
        </w:rPr>
        <w:t>退役军人服务站负责宣传贯彻退役军人有关政策法规，组织建立退役军人联系制度，帮扶解困，化解矛盾和思想工作教育，提供政策咨询和信息服务等。</w:t>
      </w:r>
    </w:p>
    <w:p w14:paraId="345A23FD">
      <w:pPr>
        <w:pStyle w:val="2"/>
        <w:keepNext w:val="0"/>
        <w:keepLines w:val="0"/>
        <w:pageBreakBefore w:val="0"/>
        <w:widowControl/>
        <w:kinsoku w:val="0"/>
        <w:wordWrap/>
        <w:overflowPunct/>
        <w:topLinePunct w:val="0"/>
        <w:autoSpaceDE w:val="0"/>
        <w:autoSpaceDN w:val="0"/>
        <w:bidi w:val="0"/>
        <w:adjustRightInd w:val="0"/>
        <w:snapToGrid w:val="0"/>
        <w:spacing w:before="209" w:line="224" w:lineRule="auto"/>
        <w:ind w:firstLine="700" w:firstLineChars="200"/>
        <w:textAlignment w:val="baseline"/>
        <w:rPr>
          <w:rFonts w:hint="eastAsia"/>
          <w:spacing w:val="10"/>
          <w:lang w:eastAsia="zh-CN"/>
        </w:rPr>
      </w:pPr>
      <w:r>
        <w:rPr>
          <w:rFonts w:hint="eastAsia"/>
          <w:spacing w:val="10"/>
          <w:lang w:eastAsia="zh-CN"/>
        </w:rPr>
        <w:t>（</w:t>
      </w:r>
      <w:r>
        <w:rPr>
          <w:rFonts w:hint="eastAsia"/>
          <w:spacing w:val="10"/>
          <w:lang w:val="en-US" w:eastAsia="zh-CN"/>
        </w:rPr>
        <w:t>4）</w:t>
      </w:r>
      <w:r>
        <w:rPr>
          <w:rFonts w:hint="eastAsia"/>
          <w:spacing w:val="10"/>
          <w:lang w:eastAsia="zh-CN"/>
        </w:rPr>
        <w:t>财政所负责编制乡镇年度财政预算，决算草案，并组织执行，负责非税收收入，国有资产和债务管理，资金监管，负责财政票据，涉农补贴资金的发放管理和监督，负责村社资金监管和业务指导。</w:t>
      </w:r>
    </w:p>
    <w:p w14:paraId="41DEDA91">
      <w:pPr>
        <w:pStyle w:val="2"/>
        <w:keepNext w:val="0"/>
        <w:keepLines w:val="0"/>
        <w:pageBreakBefore w:val="0"/>
        <w:widowControl/>
        <w:kinsoku w:val="0"/>
        <w:wordWrap/>
        <w:overflowPunct/>
        <w:topLinePunct w:val="0"/>
        <w:autoSpaceDE w:val="0"/>
        <w:autoSpaceDN w:val="0"/>
        <w:bidi w:val="0"/>
        <w:adjustRightInd w:val="0"/>
        <w:snapToGrid w:val="0"/>
        <w:spacing w:before="209" w:line="224" w:lineRule="auto"/>
        <w:ind w:firstLine="700" w:firstLineChars="200"/>
        <w:textAlignment w:val="baseline"/>
        <w:rPr>
          <w:rFonts w:hint="eastAsia"/>
          <w:spacing w:val="10"/>
          <w:lang w:eastAsia="zh-CN"/>
        </w:rPr>
      </w:pPr>
      <w:r>
        <w:rPr>
          <w:rFonts w:hint="eastAsia"/>
          <w:spacing w:val="10"/>
          <w:lang w:eastAsia="zh-CN"/>
        </w:rPr>
        <w:t>（</w:t>
      </w:r>
      <w:r>
        <w:rPr>
          <w:rFonts w:hint="eastAsia"/>
          <w:spacing w:val="10"/>
          <w:lang w:val="en-US" w:eastAsia="zh-CN"/>
        </w:rPr>
        <w:t>5）</w:t>
      </w:r>
      <w:r>
        <w:rPr>
          <w:rFonts w:hint="eastAsia"/>
          <w:spacing w:val="10"/>
          <w:lang w:eastAsia="zh-CN"/>
        </w:rPr>
        <w:t>经济发展办公室负责经济发展规划的制定和落实，招商引资，组织指导农业产业发展，精准扶贫，乡村振兴等农业农村工作优化区域发展环境，统筹协调与经济发展相关的其他工作。</w:t>
      </w:r>
    </w:p>
    <w:p w14:paraId="72464CB6">
      <w:pPr>
        <w:keepNext w:val="0"/>
        <w:keepLines w:val="0"/>
        <w:widowControl/>
        <w:suppressLineNumbers w:val="0"/>
        <w:ind w:firstLine="700" w:firstLineChars="200"/>
        <w:jc w:val="left"/>
        <w:rPr>
          <w:rFonts w:hint="eastAsia"/>
          <w:spacing w:val="10"/>
          <w:lang w:val="en-US" w:eastAsia="zh-CN"/>
        </w:rPr>
      </w:pPr>
      <w:r>
        <w:rPr>
          <w:rFonts w:hint="eastAsia" w:ascii="仿宋" w:hAnsi="仿宋" w:eastAsia="仿宋" w:cs="仿宋"/>
          <w:snapToGrid w:val="0"/>
          <w:color w:val="000000"/>
          <w:spacing w:val="10"/>
          <w:kern w:val="0"/>
          <w:sz w:val="33"/>
          <w:szCs w:val="33"/>
          <w:lang w:val="en-US" w:eastAsia="zh-CN" w:bidi="ar-SA"/>
        </w:rPr>
        <w:t>（6）社会治安和应急管理办公室负责社会治安综合治理、应急管理、安全生产、道路交通安全、信访、市场监管等工作，并负责指导辖区网格化综合管理工作。</w:t>
      </w:r>
    </w:p>
    <w:p w14:paraId="5A2C58C5">
      <w:pPr>
        <w:pStyle w:val="2"/>
        <w:keepNext w:val="0"/>
        <w:keepLines w:val="0"/>
        <w:pageBreakBefore w:val="0"/>
        <w:widowControl/>
        <w:kinsoku w:val="0"/>
        <w:wordWrap/>
        <w:overflowPunct/>
        <w:topLinePunct w:val="0"/>
        <w:autoSpaceDE w:val="0"/>
        <w:autoSpaceDN w:val="0"/>
        <w:bidi w:val="0"/>
        <w:adjustRightInd w:val="0"/>
        <w:snapToGrid w:val="0"/>
        <w:spacing w:before="209" w:line="224" w:lineRule="auto"/>
        <w:ind w:firstLine="700" w:firstLineChars="200"/>
        <w:textAlignment w:val="baseline"/>
        <w:rPr>
          <w:rFonts w:hint="default"/>
          <w:spacing w:val="10"/>
          <w:lang w:val="en-US" w:eastAsia="zh-CN"/>
        </w:rPr>
      </w:pPr>
      <w:r>
        <w:rPr>
          <w:rFonts w:hint="eastAsia"/>
          <w:spacing w:val="10"/>
          <w:lang w:val="en-US" w:eastAsia="zh-CN"/>
        </w:rPr>
        <w:t>（7）</w:t>
      </w:r>
      <w:r>
        <w:rPr>
          <w:rFonts w:hint="default"/>
          <w:spacing w:val="10"/>
          <w:lang w:val="en-US" w:eastAsia="zh-CN"/>
        </w:rPr>
        <w:t>社会事务负责人力资源和社会保障，民政，社会救助，医疗保障，教育，科技，文化，体育，旅游残疾人事务，卫生健康等工作</w:t>
      </w:r>
      <w:r>
        <w:rPr>
          <w:rFonts w:hint="eastAsia"/>
          <w:spacing w:val="10"/>
          <w:lang w:val="en-US" w:eastAsia="zh-CN"/>
        </w:rPr>
        <w:t>。</w:t>
      </w:r>
    </w:p>
    <w:p w14:paraId="5E96A4AC">
      <w:pPr>
        <w:pStyle w:val="2"/>
        <w:spacing w:before="201" w:line="280" w:lineRule="auto"/>
        <w:ind w:firstLine="814"/>
        <w:rPr>
          <w:rFonts w:ascii="楷体" w:hAnsi="楷体" w:eastAsia="楷体" w:cs="楷体"/>
          <w:b w:val="0"/>
          <w:bCs w:val="0"/>
          <w:spacing w:val="12"/>
        </w:rPr>
      </w:pPr>
      <w:r>
        <w:rPr>
          <w:rFonts w:ascii="楷体" w:hAnsi="楷体" w:eastAsia="楷体" w:cs="楷体"/>
          <w:b w:val="0"/>
          <w:bCs w:val="0"/>
          <w:spacing w:val="12"/>
        </w:rPr>
        <w:t>(三)人员概况。</w:t>
      </w:r>
    </w:p>
    <w:p w14:paraId="2BE71FB2">
      <w:pPr>
        <w:pStyle w:val="2"/>
        <w:spacing w:before="201" w:line="280" w:lineRule="auto"/>
        <w:ind w:firstLine="814"/>
        <w:rPr>
          <w:rFonts w:hint="eastAsia"/>
          <w:spacing w:val="10"/>
        </w:rPr>
      </w:pPr>
      <w:r>
        <w:rPr>
          <w:rFonts w:hint="eastAsia"/>
          <w:spacing w:val="10"/>
        </w:rPr>
        <w:t>（1）编制情况：行政编制人数为36名，事业编制23名，机构合并人员增加。</w:t>
      </w:r>
    </w:p>
    <w:p w14:paraId="47F6EC51">
      <w:pPr>
        <w:pStyle w:val="2"/>
        <w:spacing w:before="201" w:line="280" w:lineRule="auto"/>
        <w:ind w:firstLine="814"/>
        <w:rPr>
          <w:rFonts w:ascii="楷体" w:hAnsi="楷体" w:eastAsia="楷体" w:cs="楷体"/>
        </w:rPr>
      </w:pPr>
      <w:r>
        <w:rPr>
          <w:rFonts w:hint="eastAsia"/>
          <w:spacing w:val="10"/>
        </w:rPr>
        <w:t>（2）人员情况：202</w:t>
      </w:r>
      <w:r>
        <w:rPr>
          <w:rFonts w:hint="eastAsia"/>
          <w:spacing w:val="10"/>
          <w:lang w:val="en-US" w:eastAsia="zh-CN"/>
        </w:rPr>
        <w:t>4</w:t>
      </w:r>
      <w:r>
        <w:rPr>
          <w:rFonts w:hint="eastAsia"/>
          <w:spacing w:val="10"/>
        </w:rPr>
        <w:t>年12月底在职人员</w:t>
      </w:r>
      <w:r>
        <w:rPr>
          <w:rFonts w:hint="eastAsia"/>
          <w:spacing w:val="10"/>
          <w:lang w:val="en-US" w:eastAsia="zh-CN"/>
        </w:rPr>
        <w:t>43</w:t>
      </w:r>
      <w:r>
        <w:rPr>
          <w:rFonts w:hint="eastAsia"/>
          <w:spacing w:val="10"/>
        </w:rPr>
        <w:t>人。其中行政在职人员</w:t>
      </w:r>
      <w:r>
        <w:rPr>
          <w:rFonts w:hint="eastAsia"/>
          <w:spacing w:val="10"/>
          <w:lang w:val="en-US" w:eastAsia="zh-CN"/>
        </w:rPr>
        <w:t>27</w:t>
      </w:r>
      <w:r>
        <w:rPr>
          <w:rFonts w:hint="eastAsia"/>
          <w:spacing w:val="10"/>
        </w:rPr>
        <w:t>人；事业在职人员1</w:t>
      </w:r>
      <w:r>
        <w:rPr>
          <w:rFonts w:hint="eastAsia"/>
          <w:spacing w:val="10"/>
          <w:lang w:val="en-US" w:eastAsia="zh-CN"/>
        </w:rPr>
        <w:t>6</w:t>
      </w:r>
      <w:r>
        <w:rPr>
          <w:rFonts w:hint="eastAsia"/>
          <w:spacing w:val="10"/>
        </w:rPr>
        <w:t>名。遗属10人,退休人员</w:t>
      </w:r>
      <w:r>
        <w:rPr>
          <w:rFonts w:hint="eastAsia"/>
          <w:spacing w:val="10"/>
          <w:lang w:val="en-US" w:eastAsia="zh-CN"/>
        </w:rPr>
        <w:t>42</w:t>
      </w:r>
      <w:r>
        <w:rPr>
          <w:rFonts w:hint="eastAsia"/>
          <w:spacing w:val="10"/>
        </w:rPr>
        <w:t>人（社保局发放）。</w:t>
      </w:r>
    </w:p>
    <w:p w14:paraId="4FA78DA6">
      <w:pPr>
        <w:spacing w:before="165" w:line="222" w:lineRule="auto"/>
        <w:ind w:left="644"/>
        <w:outlineLvl w:val="0"/>
        <w:rPr>
          <w:rFonts w:hint="eastAsia" w:ascii="黑体" w:hAnsi="黑体" w:eastAsia="黑体" w:cs="黑体"/>
          <w:sz w:val="33"/>
          <w:szCs w:val="33"/>
          <w:lang w:eastAsia="zh-CN"/>
        </w:rPr>
      </w:pPr>
      <w:r>
        <w:rPr>
          <w:rFonts w:ascii="黑体" w:hAnsi="黑体" w:eastAsia="黑体" w:cs="黑体"/>
          <w:b/>
          <w:bCs/>
          <w:spacing w:val="-13"/>
          <w:sz w:val="33"/>
          <w:szCs w:val="33"/>
        </w:rPr>
        <w:t>二、部门资金收支情况</w:t>
      </w:r>
    </w:p>
    <w:p w14:paraId="1E9AF890">
      <w:pPr>
        <w:pStyle w:val="2"/>
        <w:spacing w:before="185" w:line="279" w:lineRule="auto"/>
        <w:ind w:right="5" w:firstLine="814"/>
        <w:rPr>
          <w:b w:val="0"/>
          <w:bCs w:val="0"/>
          <w:spacing w:val="11"/>
        </w:rPr>
      </w:pPr>
      <w:r>
        <w:rPr>
          <w:rFonts w:ascii="楷体" w:hAnsi="楷体" w:eastAsia="楷体" w:cs="楷体"/>
          <w:b w:val="0"/>
          <w:bCs w:val="0"/>
          <w:spacing w:val="11"/>
        </w:rPr>
        <w:t>(一)收入情况</w:t>
      </w:r>
      <w:r>
        <w:rPr>
          <w:b w:val="0"/>
          <w:bCs w:val="0"/>
          <w:spacing w:val="11"/>
        </w:rPr>
        <w:t>。</w:t>
      </w:r>
    </w:p>
    <w:p w14:paraId="69E0BE8A">
      <w:pPr>
        <w:pStyle w:val="2"/>
        <w:spacing w:before="185" w:line="279" w:lineRule="auto"/>
        <w:ind w:right="5" w:firstLine="814"/>
        <w:rPr>
          <w:rFonts w:hint="eastAsia" w:ascii="仿宋" w:hAnsi="仿宋" w:eastAsia="仿宋" w:cs="仿宋"/>
          <w:snapToGrid w:val="0"/>
          <w:color w:val="000000"/>
          <w:spacing w:val="10"/>
          <w:kern w:val="0"/>
          <w:sz w:val="33"/>
          <w:szCs w:val="33"/>
          <w:lang w:val="en-US" w:eastAsia="zh-CN" w:bidi="ar-SA"/>
        </w:rPr>
      </w:pPr>
      <w:r>
        <w:rPr>
          <w:rFonts w:hint="eastAsia" w:ascii="仿宋_GB2312" w:hAnsi="仿宋_GB2312" w:cs="仿宋_GB2312"/>
          <w:sz w:val="32"/>
          <w:szCs w:val="32"/>
          <w:lang w:val="en-US" w:eastAsia="zh-CN"/>
        </w:rPr>
        <w:t>根据预算和决算报表，渠县</w:t>
      </w:r>
      <w:r>
        <w:rPr>
          <w:rFonts w:hint="eastAsia" w:ascii="仿宋" w:hAnsi="仿宋" w:eastAsia="仿宋" w:cs="仿宋"/>
          <w:snapToGrid w:val="0"/>
          <w:color w:val="000000"/>
          <w:spacing w:val="10"/>
          <w:kern w:val="0"/>
          <w:sz w:val="33"/>
          <w:szCs w:val="33"/>
          <w:lang w:val="en-US" w:eastAsia="zh-CN" w:bidi="ar-SA"/>
        </w:rPr>
        <w:t>东安镇</w:t>
      </w:r>
      <w:r>
        <w:rPr>
          <w:rFonts w:hint="eastAsia" w:cs="仿宋"/>
          <w:snapToGrid w:val="0"/>
          <w:color w:val="000000"/>
          <w:spacing w:val="10"/>
          <w:kern w:val="0"/>
          <w:sz w:val="33"/>
          <w:szCs w:val="33"/>
          <w:lang w:val="en-US" w:eastAsia="zh-CN" w:bidi="ar-SA"/>
        </w:rPr>
        <w:t>人民政府</w:t>
      </w:r>
      <w:r>
        <w:rPr>
          <w:rFonts w:hint="eastAsia" w:ascii="仿宋" w:hAnsi="仿宋" w:eastAsia="仿宋" w:cs="仿宋"/>
          <w:snapToGrid w:val="0"/>
          <w:color w:val="000000"/>
          <w:spacing w:val="10"/>
          <w:kern w:val="0"/>
          <w:sz w:val="33"/>
          <w:szCs w:val="33"/>
          <w:lang w:val="en-US" w:eastAsia="zh-CN" w:bidi="ar-SA"/>
        </w:rPr>
        <w:t>202</w:t>
      </w:r>
      <w:r>
        <w:rPr>
          <w:rFonts w:hint="eastAsia" w:cs="仿宋"/>
          <w:snapToGrid w:val="0"/>
          <w:color w:val="000000"/>
          <w:spacing w:val="10"/>
          <w:kern w:val="0"/>
          <w:sz w:val="33"/>
          <w:szCs w:val="33"/>
          <w:lang w:val="en-US" w:eastAsia="zh-CN" w:bidi="ar-SA"/>
        </w:rPr>
        <w:t>4</w:t>
      </w:r>
      <w:r>
        <w:rPr>
          <w:rFonts w:hint="eastAsia" w:ascii="仿宋" w:hAnsi="仿宋" w:eastAsia="仿宋" w:cs="仿宋"/>
          <w:snapToGrid w:val="0"/>
          <w:color w:val="000000"/>
          <w:spacing w:val="10"/>
          <w:kern w:val="0"/>
          <w:sz w:val="33"/>
          <w:szCs w:val="33"/>
          <w:lang w:val="en-US" w:eastAsia="zh-CN" w:bidi="ar-SA"/>
        </w:rPr>
        <w:t>年年初预算数为</w:t>
      </w:r>
      <w:r>
        <w:rPr>
          <w:rFonts w:hint="eastAsia" w:cs="仿宋"/>
          <w:snapToGrid w:val="0"/>
          <w:color w:val="000000"/>
          <w:spacing w:val="10"/>
          <w:kern w:val="0"/>
          <w:sz w:val="33"/>
          <w:szCs w:val="33"/>
          <w:lang w:val="en-US" w:eastAsia="zh-CN" w:bidi="ar-SA"/>
        </w:rPr>
        <w:t>1419.59</w:t>
      </w:r>
      <w:r>
        <w:rPr>
          <w:rFonts w:hint="eastAsia" w:ascii="仿宋" w:hAnsi="仿宋" w:eastAsia="仿宋" w:cs="仿宋"/>
          <w:snapToGrid w:val="0"/>
          <w:color w:val="000000"/>
          <w:spacing w:val="10"/>
          <w:kern w:val="0"/>
          <w:sz w:val="33"/>
          <w:szCs w:val="33"/>
          <w:lang w:val="en-US" w:eastAsia="zh-CN" w:bidi="ar-SA"/>
        </w:rPr>
        <w:t>万元，调</w:t>
      </w:r>
      <w:r>
        <w:rPr>
          <w:rFonts w:hint="eastAsia" w:cs="仿宋"/>
          <w:snapToGrid w:val="0"/>
          <w:color w:val="000000"/>
          <w:spacing w:val="10"/>
          <w:kern w:val="0"/>
          <w:sz w:val="33"/>
          <w:szCs w:val="33"/>
          <w:lang w:val="en-US" w:eastAsia="zh-CN" w:bidi="ar-SA"/>
        </w:rPr>
        <w:t>整</w:t>
      </w:r>
      <w:r>
        <w:rPr>
          <w:rFonts w:hint="eastAsia" w:ascii="仿宋" w:hAnsi="仿宋" w:eastAsia="仿宋" w:cs="仿宋"/>
          <w:snapToGrid w:val="0"/>
          <w:color w:val="000000"/>
          <w:spacing w:val="10"/>
          <w:kern w:val="0"/>
          <w:sz w:val="33"/>
          <w:szCs w:val="33"/>
          <w:lang w:val="en-US" w:eastAsia="zh-CN" w:bidi="ar-SA"/>
        </w:rPr>
        <w:t>预算数为</w:t>
      </w:r>
      <w:r>
        <w:rPr>
          <w:rFonts w:hint="eastAsia" w:cs="仿宋"/>
          <w:snapToGrid w:val="0"/>
          <w:color w:val="000000"/>
          <w:spacing w:val="10"/>
          <w:kern w:val="0"/>
          <w:sz w:val="33"/>
          <w:szCs w:val="33"/>
          <w:lang w:val="en-US" w:eastAsia="zh-CN" w:bidi="ar-SA"/>
        </w:rPr>
        <w:t>258.25</w:t>
      </w:r>
      <w:r>
        <w:rPr>
          <w:rFonts w:hint="eastAsia" w:ascii="仿宋" w:hAnsi="仿宋" w:eastAsia="仿宋" w:cs="仿宋"/>
          <w:snapToGrid w:val="0"/>
          <w:color w:val="000000"/>
          <w:spacing w:val="10"/>
          <w:kern w:val="0"/>
          <w:sz w:val="33"/>
          <w:szCs w:val="33"/>
          <w:lang w:val="en-US" w:eastAsia="zh-CN" w:bidi="ar-SA"/>
        </w:rPr>
        <w:t>万元</w:t>
      </w:r>
      <w:r>
        <w:rPr>
          <w:rFonts w:hint="eastAsia" w:cs="仿宋"/>
          <w:snapToGrid w:val="0"/>
          <w:color w:val="000000"/>
          <w:spacing w:val="10"/>
          <w:kern w:val="0"/>
          <w:sz w:val="33"/>
          <w:szCs w:val="33"/>
          <w:lang w:val="en-US" w:eastAsia="zh-CN" w:bidi="ar-SA"/>
        </w:rPr>
        <w:t>，</w:t>
      </w:r>
      <w:r>
        <w:rPr>
          <w:rFonts w:hint="eastAsia" w:ascii="仿宋" w:hAnsi="仿宋" w:eastAsia="仿宋" w:cs="仿宋"/>
          <w:snapToGrid w:val="0"/>
          <w:color w:val="000000"/>
          <w:spacing w:val="10"/>
          <w:kern w:val="0"/>
          <w:sz w:val="33"/>
          <w:szCs w:val="33"/>
          <w:lang w:val="en-US" w:eastAsia="zh-CN" w:bidi="ar-SA"/>
        </w:rPr>
        <w:t>决算数为</w:t>
      </w:r>
      <w:r>
        <w:rPr>
          <w:rFonts w:hint="eastAsia" w:cs="仿宋"/>
          <w:snapToGrid w:val="0"/>
          <w:color w:val="000000"/>
          <w:spacing w:val="10"/>
          <w:kern w:val="0"/>
          <w:sz w:val="33"/>
          <w:szCs w:val="33"/>
          <w:lang w:val="en-US" w:eastAsia="zh-CN" w:bidi="ar-SA"/>
        </w:rPr>
        <w:t>1677.84</w:t>
      </w:r>
      <w:r>
        <w:rPr>
          <w:rFonts w:hint="eastAsia" w:ascii="仿宋" w:hAnsi="仿宋" w:eastAsia="仿宋" w:cs="仿宋"/>
          <w:snapToGrid w:val="0"/>
          <w:color w:val="000000"/>
          <w:spacing w:val="10"/>
          <w:kern w:val="0"/>
          <w:sz w:val="33"/>
          <w:szCs w:val="33"/>
          <w:lang w:val="en-US" w:eastAsia="zh-CN" w:bidi="ar-SA"/>
        </w:rPr>
        <w:t>万元，其中年初结转结余0.00万元，收入来源均为一般公共预算财政拨款收入。</w:t>
      </w:r>
    </w:p>
    <w:p w14:paraId="4CEF4688">
      <w:pPr>
        <w:widowControl w:val="0"/>
        <w:spacing w:line="600" w:lineRule="exact"/>
        <w:ind w:firstLine="0" w:firstLineChars="0"/>
        <w:jc w:val="center"/>
        <w:rPr>
          <w:rFonts w:hint="eastAsia" w:ascii="仿宋_GB2312" w:hAnsi="仿宋_GB2312" w:eastAsia="仿宋_GB2312" w:cs="仿宋_GB2312"/>
          <w:b/>
          <w:bCs/>
          <w:kern w:val="2"/>
          <w:sz w:val="24"/>
          <w:szCs w:val="24"/>
          <w:lang w:val="zh-CN" w:eastAsia="zh-CN" w:bidi="ar-SA"/>
        </w:rPr>
      </w:pPr>
      <w:r>
        <w:rPr>
          <w:rFonts w:hint="eastAsia" w:ascii="仿宋_GB2312" w:hAnsi="仿宋_GB2312" w:eastAsia="仿宋_GB2312" w:cs="仿宋_GB2312"/>
          <w:b/>
          <w:bCs/>
          <w:kern w:val="2"/>
          <w:sz w:val="24"/>
          <w:szCs w:val="24"/>
          <w:lang w:val="en-US" w:eastAsia="zh-CN" w:bidi="ar-SA"/>
        </w:rPr>
        <w:t>2024</w:t>
      </w:r>
      <w:r>
        <w:rPr>
          <w:rFonts w:hint="eastAsia" w:ascii="仿宋_GB2312" w:hAnsi="仿宋_GB2312" w:eastAsia="仿宋_GB2312" w:cs="仿宋_GB2312"/>
          <w:b/>
          <w:bCs/>
          <w:kern w:val="2"/>
          <w:sz w:val="24"/>
          <w:szCs w:val="24"/>
          <w:lang w:val="zh-CN" w:eastAsia="zh-CN" w:bidi="ar-SA"/>
        </w:rPr>
        <w:t>年度</w:t>
      </w:r>
      <w:r>
        <w:rPr>
          <w:rFonts w:hint="eastAsia" w:ascii="仿宋_GB2312" w:hAnsi="仿宋_GB2312" w:eastAsia="仿宋_GB2312" w:cs="仿宋_GB2312"/>
          <w:b/>
          <w:bCs/>
          <w:kern w:val="2"/>
          <w:sz w:val="24"/>
          <w:szCs w:val="24"/>
          <w:lang w:val="en-US" w:eastAsia="zh-CN" w:bidi="ar-SA"/>
        </w:rPr>
        <w:t>东安镇人民政府</w:t>
      </w:r>
      <w:r>
        <w:rPr>
          <w:rFonts w:hint="eastAsia" w:ascii="仿宋_GB2312" w:hAnsi="仿宋_GB2312" w:eastAsia="仿宋_GB2312" w:cs="仿宋_GB2312"/>
          <w:b/>
          <w:bCs/>
          <w:kern w:val="2"/>
          <w:sz w:val="24"/>
          <w:szCs w:val="24"/>
          <w:lang w:val="zh-CN" w:eastAsia="zh-CN" w:bidi="ar-SA"/>
        </w:rPr>
        <w:t>收入情况表</w:t>
      </w:r>
    </w:p>
    <w:p w14:paraId="598AFF49">
      <w:pPr>
        <w:pStyle w:val="9"/>
        <w:jc w:val="right"/>
        <w:rPr>
          <w:rFonts w:hint="eastAsia"/>
          <w:b w:val="0"/>
          <w:bCs/>
          <w:lang w:val="en-US" w:eastAsia="zh-CN"/>
        </w:rPr>
      </w:pPr>
      <w:r>
        <w:rPr>
          <w:rFonts w:hint="eastAsia" w:ascii="仿宋_GB2312" w:hAnsi="仿宋_GB2312" w:cs="仿宋_GB2312"/>
          <w:b w:val="0"/>
          <w:bCs/>
          <w:sz w:val="20"/>
          <w:szCs w:val="20"/>
          <w:lang w:val="en-US" w:eastAsia="zh-CN"/>
        </w:rPr>
        <w:t>单位：万元</w:t>
      </w:r>
    </w:p>
    <w:tbl>
      <w:tblPr>
        <w:tblStyle w:val="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1"/>
        <w:gridCol w:w="1928"/>
        <w:gridCol w:w="1928"/>
        <w:gridCol w:w="1336"/>
      </w:tblGrid>
      <w:tr w14:paraId="16E8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jc w:val="center"/>
        </w:trPr>
        <w:tc>
          <w:tcPr>
            <w:tcW w:w="3861" w:type="dxa"/>
            <w:tcBorders>
              <w:top w:val="single" w:color="auto" w:sz="4" w:space="0"/>
              <w:left w:val="single" w:color="auto" w:sz="4" w:space="0"/>
              <w:bottom w:val="single" w:color="auto" w:sz="4" w:space="0"/>
              <w:right w:val="single" w:color="auto" w:sz="4" w:space="0"/>
            </w:tcBorders>
            <w:noWrap/>
            <w:vAlign w:val="center"/>
          </w:tcPr>
          <w:p w14:paraId="3F6C82B3">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类别</w:t>
            </w:r>
          </w:p>
        </w:tc>
        <w:tc>
          <w:tcPr>
            <w:tcW w:w="1928" w:type="dxa"/>
            <w:tcBorders>
              <w:top w:val="single" w:color="auto" w:sz="4" w:space="0"/>
              <w:left w:val="single" w:color="auto" w:sz="4" w:space="0"/>
              <w:bottom w:val="single" w:color="auto" w:sz="4" w:space="0"/>
              <w:right w:val="single" w:color="auto" w:sz="4" w:space="0"/>
            </w:tcBorders>
            <w:noWrap/>
            <w:vAlign w:val="center"/>
          </w:tcPr>
          <w:p w14:paraId="49D8741A">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年初预算数</w:t>
            </w:r>
          </w:p>
        </w:tc>
        <w:tc>
          <w:tcPr>
            <w:tcW w:w="1928" w:type="dxa"/>
            <w:tcBorders>
              <w:top w:val="single" w:color="auto" w:sz="4" w:space="0"/>
              <w:left w:val="single" w:color="auto" w:sz="4" w:space="0"/>
              <w:bottom w:val="single" w:color="auto" w:sz="4" w:space="0"/>
              <w:right w:val="single" w:color="auto" w:sz="4" w:space="0"/>
            </w:tcBorders>
            <w:noWrap/>
            <w:vAlign w:val="center"/>
          </w:tcPr>
          <w:p w14:paraId="7D7DE66C">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预算</w:t>
            </w:r>
            <w:r>
              <w:rPr>
                <w:rFonts w:hint="eastAsia" w:ascii="仿宋_GB2312" w:hAnsi="仿宋_GB2312" w:cs="仿宋_GB2312"/>
                <w:sz w:val="20"/>
                <w:szCs w:val="20"/>
                <w:lang w:val="en-US" w:eastAsia="zh-CN"/>
              </w:rPr>
              <w:t>调整</w:t>
            </w:r>
            <w:r>
              <w:rPr>
                <w:rFonts w:hint="default" w:ascii="仿宋_GB2312" w:hAnsi="仿宋_GB2312" w:cs="仿宋_GB2312"/>
                <w:sz w:val="20"/>
                <w:szCs w:val="20"/>
                <w:lang w:val="en-US" w:eastAsia="zh-CN"/>
              </w:rPr>
              <w:t>数</w:t>
            </w:r>
          </w:p>
        </w:tc>
        <w:tc>
          <w:tcPr>
            <w:tcW w:w="1336" w:type="dxa"/>
            <w:tcBorders>
              <w:top w:val="single" w:color="auto" w:sz="4" w:space="0"/>
              <w:left w:val="single" w:color="auto" w:sz="4" w:space="0"/>
              <w:bottom w:val="single" w:color="auto" w:sz="4" w:space="0"/>
              <w:right w:val="single" w:color="auto" w:sz="4" w:space="0"/>
            </w:tcBorders>
            <w:noWrap/>
            <w:vAlign w:val="center"/>
          </w:tcPr>
          <w:p w14:paraId="5CFA08FC">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决算数</w:t>
            </w:r>
          </w:p>
        </w:tc>
      </w:tr>
      <w:tr w14:paraId="7AAE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861" w:type="dxa"/>
            <w:tcBorders>
              <w:top w:val="single" w:color="auto" w:sz="4" w:space="0"/>
              <w:left w:val="single" w:color="auto" w:sz="4" w:space="0"/>
              <w:bottom w:val="single" w:color="auto" w:sz="4" w:space="0"/>
              <w:right w:val="single" w:color="auto" w:sz="4" w:space="0"/>
            </w:tcBorders>
            <w:noWrap/>
            <w:vAlign w:val="center"/>
          </w:tcPr>
          <w:p w14:paraId="65A34B30">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一般公共预算财政拨款</w:t>
            </w:r>
          </w:p>
        </w:tc>
        <w:tc>
          <w:tcPr>
            <w:tcW w:w="1928" w:type="dxa"/>
            <w:tcBorders>
              <w:top w:val="single" w:color="auto" w:sz="4" w:space="0"/>
              <w:left w:val="single" w:color="auto" w:sz="4" w:space="0"/>
              <w:bottom w:val="single" w:color="auto" w:sz="4" w:space="0"/>
              <w:right w:val="single" w:color="auto" w:sz="4" w:space="0"/>
            </w:tcBorders>
            <w:noWrap/>
            <w:vAlign w:val="center"/>
          </w:tcPr>
          <w:p w14:paraId="0A8D9BAE">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1419.59</w:t>
            </w:r>
          </w:p>
        </w:tc>
        <w:tc>
          <w:tcPr>
            <w:tcW w:w="1928" w:type="dxa"/>
            <w:tcBorders>
              <w:top w:val="single" w:color="auto" w:sz="4" w:space="0"/>
              <w:left w:val="single" w:color="auto" w:sz="4" w:space="0"/>
              <w:bottom w:val="single" w:color="auto" w:sz="4" w:space="0"/>
              <w:right w:val="single" w:color="auto" w:sz="4" w:space="0"/>
            </w:tcBorders>
            <w:noWrap/>
            <w:vAlign w:val="center"/>
          </w:tcPr>
          <w:p w14:paraId="60E6A1C1">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258.25</w:t>
            </w:r>
          </w:p>
        </w:tc>
        <w:tc>
          <w:tcPr>
            <w:tcW w:w="1336" w:type="dxa"/>
            <w:tcBorders>
              <w:top w:val="single" w:color="auto" w:sz="4" w:space="0"/>
              <w:left w:val="single" w:color="auto" w:sz="4" w:space="0"/>
              <w:bottom w:val="single" w:color="auto" w:sz="4" w:space="0"/>
              <w:right w:val="single" w:color="auto" w:sz="4" w:space="0"/>
            </w:tcBorders>
            <w:noWrap/>
            <w:vAlign w:val="center"/>
          </w:tcPr>
          <w:p w14:paraId="3D6991E2">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1677.84</w:t>
            </w:r>
          </w:p>
        </w:tc>
      </w:tr>
      <w:tr w14:paraId="42BE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861" w:type="dxa"/>
            <w:tcBorders>
              <w:top w:val="single" w:color="auto" w:sz="4" w:space="0"/>
              <w:left w:val="single" w:color="auto" w:sz="4" w:space="0"/>
              <w:bottom w:val="single" w:color="auto" w:sz="4" w:space="0"/>
              <w:right w:val="single" w:color="auto" w:sz="4" w:space="0"/>
            </w:tcBorders>
            <w:noWrap/>
            <w:vAlign w:val="center"/>
          </w:tcPr>
          <w:p w14:paraId="156E4A4C">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年初结转结余</w:t>
            </w:r>
          </w:p>
        </w:tc>
        <w:tc>
          <w:tcPr>
            <w:tcW w:w="1928" w:type="dxa"/>
            <w:tcBorders>
              <w:top w:val="single" w:color="auto" w:sz="4" w:space="0"/>
              <w:left w:val="single" w:color="auto" w:sz="4" w:space="0"/>
              <w:bottom w:val="single" w:color="auto" w:sz="4" w:space="0"/>
              <w:right w:val="single" w:color="auto" w:sz="4" w:space="0"/>
            </w:tcBorders>
            <w:noWrap/>
            <w:vAlign w:val="center"/>
          </w:tcPr>
          <w:p w14:paraId="6A620899">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c>
          <w:tcPr>
            <w:tcW w:w="1928" w:type="dxa"/>
            <w:tcBorders>
              <w:top w:val="single" w:color="auto" w:sz="4" w:space="0"/>
              <w:left w:val="single" w:color="auto" w:sz="4" w:space="0"/>
              <w:bottom w:val="single" w:color="auto" w:sz="4" w:space="0"/>
              <w:right w:val="single" w:color="auto" w:sz="4" w:space="0"/>
            </w:tcBorders>
            <w:noWrap/>
            <w:vAlign w:val="center"/>
          </w:tcPr>
          <w:p w14:paraId="3F9BB12B">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0.00</w:t>
            </w:r>
          </w:p>
        </w:tc>
        <w:tc>
          <w:tcPr>
            <w:tcW w:w="1336" w:type="dxa"/>
            <w:tcBorders>
              <w:top w:val="single" w:color="auto" w:sz="4" w:space="0"/>
              <w:left w:val="single" w:color="auto" w:sz="4" w:space="0"/>
              <w:bottom w:val="single" w:color="auto" w:sz="4" w:space="0"/>
              <w:right w:val="single" w:color="auto" w:sz="4" w:space="0"/>
            </w:tcBorders>
            <w:noWrap/>
            <w:vAlign w:val="center"/>
          </w:tcPr>
          <w:p w14:paraId="09C20103">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0.00</w:t>
            </w:r>
          </w:p>
        </w:tc>
      </w:tr>
      <w:tr w14:paraId="550D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861" w:type="dxa"/>
            <w:tcBorders>
              <w:top w:val="single" w:color="auto" w:sz="4" w:space="0"/>
              <w:left w:val="single" w:color="auto" w:sz="4" w:space="0"/>
              <w:bottom w:val="single" w:color="auto" w:sz="4" w:space="0"/>
              <w:right w:val="single" w:color="auto" w:sz="4" w:space="0"/>
            </w:tcBorders>
            <w:noWrap/>
            <w:vAlign w:val="center"/>
          </w:tcPr>
          <w:p w14:paraId="72CA9D3A">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合计</w:t>
            </w:r>
          </w:p>
        </w:tc>
        <w:tc>
          <w:tcPr>
            <w:tcW w:w="1928" w:type="dxa"/>
            <w:tcBorders>
              <w:top w:val="single" w:color="auto" w:sz="4" w:space="0"/>
              <w:left w:val="single" w:color="auto" w:sz="4" w:space="0"/>
              <w:bottom w:val="single" w:color="auto" w:sz="4" w:space="0"/>
              <w:right w:val="single" w:color="auto" w:sz="4" w:space="0"/>
            </w:tcBorders>
            <w:noWrap/>
            <w:vAlign w:val="center"/>
          </w:tcPr>
          <w:p w14:paraId="07A82F71">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1419.59</w:t>
            </w:r>
          </w:p>
        </w:tc>
        <w:tc>
          <w:tcPr>
            <w:tcW w:w="1928" w:type="dxa"/>
            <w:tcBorders>
              <w:top w:val="single" w:color="auto" w:sz="4" w:space="0"/>
              <w:left w:val="single" w:color="auto" w:sz="4" w:space="0"/>
              <w:bottom w:val="single" w:color="auto" w:sz="4" w:space="0"/>
              <w:right w:val="single" w:color="auto" w:sz="4" w:space="0"/>
            </w:tcBorders>
            <w:noWrap/>
            <w:vAlign w:val="center"/>
          </w:tcPr>
          <w:p w14:paraId="2C0A9B41">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258.25</w:t>
            </w:r>
          </w:p>
        </w:tc>
        <w:tc>
          <w:tcPr>
            <w:tcW w:w="1336" w:type="dxa"/>
            <w:tcBorders>
              <w:top w:val="single" w:color="auto" w:sz="4" w:space="0"/>
              <w:left w:val="single" w:color="auto" w:sz="4" w:space="0"/>
              <w:bottom w:val="single" w:color="auto" w:sz="4" w:space="0"/>
              <w:right w:val="single" w:color="auto" w:sz="4" w:space="0"/>
            </w:tcBorders>
            <w:noWrap/>
            <w:vAlign w:val="center"/>
          </w:tcPr>
          <w:p w14:paraId="33E0E856">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1677.84</w:t>
            </w:r>
          </w:p>
        </w:tc>
      </w:tr>
    </w:tbl>
    <w:p w14:paraId="40749B30">
      <w:pPr>
        <w:pStyle w:val="2"/>
        <w:spacing w:before="185" w:line="279" w:lineRule="auto"/>
        <w:ind w:right="5"/>
        <w:rPr>
          <w:rFonts w:hint="eastAsia" w:ascii="仿宋" w:hAnsi="仿宋" w:eastAsia="仿宋" w:cs="仿宋"/>
          <w:snapToGrid w:val="0"/>
          <w:color w:val="000000"/>
          <w:spacing w:val="10"/>
          <w:kern w:val="0"/>
          <w:sz w:val="33"/>
          <w:szCs w:val="33"/>
          <w:lang w:val="en-US" w:eastAsia="zh-CN" w:bidi="ar-SA"/>
        </w:rPr>
      </w:pPr>
    </w:p>
    <w:p w14:paraId="76DF8D4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5" w:line="279" w:lineRule="auto"/>
        <w:ind w:right="6" w:rightChars="0" w:firstLine="700" w:firstLineChars="200"/>
        <w:textAlignment w:val="baseline"/>
        <w:rPr>
          <w:rFonts w:ascii="楷体" w:hAnsi="楷体" w:eastAsia="楷体" w:cs="楷体"/>
          <w:b w:val="0"/>
          <w:bCs w:val="0"/>
          <w:spacing w:val="11"/>
        </w:rPr>
      </w:pPr>
      <w:r>
        <w:rPr>
          <w:rFonts w:ascii="楷体" w:hAnsi="楷体" w:eastAsia="楷体" w:cs="楷体"/>
          <w:b w:val="0"/>
          <w:bCs w:val="0"/>
          <w:spacing w:val="10"/>
        </w:rPr>
        <w:t>(</w:t>
      </w:r>
      <w:r>
        <w:rPr>
          <w:rFonts w:hint="eastAsia" w:ascii="楷体" w:hAnsi="楷体" w:eastAsia="楷体" w:cs="楷体"/>
          <w:b w:val="0"/>
          <w:bCs w:val="0"/>
          <w:spacing w:val="10"/>
          <w:lang w:val="en-US" w:eastAsia="zh-CN"/>
        </w:rPr>
        <w:t>二</w:t>
      </w:r>
      <w:r>
        <w:rPr>
          <w:rFonts w:ascii="楷体" w:hAnsi="楷体" w:eastAsia="楷体" w:cs="楷体"/>
          <w:b w:val="0"/>
          <w:bCs w:val="0"/>
          <w:spacing w:val="10"/>
        </w:rPr>
        <w:t>)</w:t>
      </w:r>
      <w:r>
        <w:rPr>
          <w:rFonts w:ascii="楷体" w:hAnsi="楷体" w:eastAsia="楷体" w:cs="楷体"/>
          <w:b w:val="0"/>
          <w:bCs w:val="0"/>
          <w:spacing w:val="11"/>
        </w:rPr>
        <w:t>支出情况。</w:t>
      </w:r>
    </w:p>
    <w:p w14:paraId="5EDF4250">
      <w:pPr>
        <w:pStyle w:val="2"/>
        <w:spacing w:before="185" w:line="279" w:lineRule="auto"/>
        <w:ind w:right="5" w:firstLine="814"/>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根据预算和决算报表，渠县东安镇人民政府2024年年初预算数为</w:t>
      </w:r>
      <w:r>
        <w:rPr>
          <w:rFonts w:hint="eastAsia" w:cs="仿宋"/>
          <w:snapToGrid w:val="0"/>
          <w:color w:val="000000"/>
          <w:spacing w:val="10"/>
          <w:kern w:val="0"/>
          <w:sz w:val="33"/>
          <w:szCs w:val="33"/>
          <w:lang w:val="en-US" w:eastAsia="zh-CN" w:bidi="ar-SA"/>
        </w:rPr>
        <w:t>1419.59</w:t>
      </w:r>
      <w:r>
        <w:rPr>
          <w:rFonts w:hint="eastAsia" w:ascii="仿宋_GB2312" w:hAnsi="仿宋_GB2312" w:cs="仿宋_GB2312"/>
          <w:sz w:val="32"/>
          <w:szCs w:val="32"/>
          <w:lang w:val="en-US" w:eastAsia="zh-CN"/>
        </w:rPr>
        <w:t>万元，调整预算数为</w:t>
      </w:r>
      <w:r>
        <w:rPr>
          <w:rFonts w:hint="eastAsia" w:cs="仿宋"/>
          <w:snapToGrid w:val="0"/>
          <w:color w:val="000000"/>
          <w:spacing w:val="10"/>
          <w:kern w:val="0"/>
          <w:sz w:val="33"/>
          <w:szCs w:val="33"/>
          <w:lang w:val="en-US" w:eastAsia="zh-CN" w:bidi="ar-SA"/>
        </w:rPr>
        <w:t>258.25</w:t>
      </w:r>
      <w:r>
        <w:rPr>
          <w:rFonts w:hint="eastAsia" w:ascii="仿宋_GB2312" w:hAnsi="仿宋_GB2312" w:cs="仿宋_GB2312"/>
          <w:sz w:val="32"/>
          <w:szCs w:val="32"/>
          <w:lang w:val="en-US" w:eastAsia="zh-CN"/>
        </w:rPr>
        <w:t>万元，决算数为</w:t>
      </w:r>
      <w:r>
        <w:rPr>
          <w:rFonts w:hint="eastAsia" w:cs="仿宋"/>
          <w:snapToGrid w:val="0"/>
          <w:color w:val="000000"/>
          <w:spacing w:val="10"/>
          <w:kern w:val="0"/>
          <w:sz w:val="33"/>
          <w:szCs w:val="33"/>
          <w:lang w:val="en-US" w:eastAsia="zh-CN" w:bidi="ar-SA"/>
        </w:rPr>
        <w:t>1677.84</w:t>
      </w:r>
      <w:r>
        <w:rPr>
          <w:rFonts w:hint="eastAsia" w:ascii="仿宋_GB2312" w:hAnsi="仿宋_GB2312" w:cs="仿宋_GB2312"/>
          <w:sz w:val="32"/>
          <w:szCs w:val="32"/>
          <w:lang w:val="en-US" w:eastAsia="zh-CN"/>
        </w:rPr>
        <w:t>万元，年末结转结余数为0.00万元。2024年度已批计划数</w:t>
      </w:r>
      <w:r>
        <w:rPr>
          <w:rFonts w:hint="eastAsia" w:cs="仿宋"/>
          <w:snapToGrid w:val="0"/>
          <w:color w:val="000000"/>
          <w:spacing w:val="10"/>
          <w:kern w:val="0"/>
          <w:sz w:val="33"/>
          <w:szCs w:val="33"/>
          <w:lang w:val="en-US" w:eastAsia="zh-CN" w:bidi="ar-SA"/>
        </w:rPr>
        <w:t>1677.84</w:t>
      </w:r>
      <w:r>
        <w:rPr>
          <w:rFonts w:hint="eastAsia" w:ascii="仿宋_GB2312" w:hAnsi="仿宋_GB2312" w:cs="仿宋_GB2312"/>
          <w:sz w:val="32"/>
          <w:szCs w:val="32"/>
          <w:lang w:val="en-US" w:eastAsia="zh-CN"/>
        </w:rPr>
        <w:t>万元，实际支付数</w:t>
      </w:r>
      <w:r>
        <w:rPr>
          <w:rFonts w:hint="eastAsia" w:cs="仿宋"/>
          <w:snapToGrid w:val="0"/>
          <w:color w:val="000000"/>
          <w:spacing w:val="10"/>
          <w:kern w:val="0"/>
          <w:sz w:val="33"/>
          <w:szCs w:val="33"/>
          <w:lang w:val="en-US" w:eastAsia="zh-CN" w:bidi="ar-SA"/>
        </w:rPr>
        <w:t>1677.84</w:t>
      </w:r>
      <w:r>
        <w:rPr>
          <w:rFonts w:hint="eastAsia" w:ascii="仿宋_GB2312" w:hAnsi="仿宋_GB2312" w:cs="仿宋_GB2312"/>
          <w:sz w:val="32"/>
          <w:szCs w:val="32"/>
          <w:lang w:val="en-US" w:eastAsia="zh-CN"/>
        </w:rPr>
        <w:t>万元，实际预算执行率100%。</w:t>
      </w:r>
    </w:p>
    <w:p w14:paraId="4E7EEAF4">
      <w:pPr>
        <w:widowControl w:val="0"/>
        <w:spacing w:line="600" w:lineRule="exact"/>
        <w:ind w:firstLine="0" w:firstLineChars="0"/>
        <w:jc w:val="center"/>
        <w:rPr>
          <w:rFonts w:hint="eastAsia" w:ascii="仿宋_GB2312" w:hAnsi="仿宋_GB2312" w:eastAsia="仿宋_GB2312" w:cs="仿宋_GB2312"/>
          <w:b/>
          <w:bCs/>
          <w:kern w:val="2"/>
          <w:sz w:val="24"/>
          <w:szCs w:val="24"/>
          <w:lang w:val="zh-CN" w:eastAsia="zh-CN" w:bidi="ar-SA"/>
        </w:rPr>
      </w:pPr>
      <w:r>
        <w:rPr>
          <w:rFonts w:hint="eastAsia" w:ascii="仿宋_GB2312" w:hAnsi="仿宋_GB2312" w:eastAsia="仿宋_GB2312" w:cs="仿宋_GB2312"/>
          <w:b/>
          <w:bCs/>
          <w:kern w:val="2"/>
          <w:sz w:val="24"/>
          <w:szCs w:val="24"/>
          <w:lang w:val="en-US" w:eastAsia="zh-CN" w:bidi="ar-SA"/>
        </w:rPr>
        <w:t>2024年</w:t>
      </w:r>
      <w:r>
        <w:rPr>
          <w:rFonts w:hint="eastAsia" w:ascii="仿宋_GB2312" w:hAnsi="仿宋_GB2312" w:eastAsia="仿宋_GB2312" w:cs="仿宋_GB2312"/>
          <w:b/>
          <w:bCs/>
          <w:kern w:val="2"/>
          <w:sz w:val="24"/>
          <w:szCs w:val="24"/>
          <w:lang w:val="zh-CN" w:eastAsia="zh-CN" w:bidi="ar-SA"/>
        </w:rPr>
        <w:t>度</w:t>
      </w:r>
      <w:r>
        <w:rPr>
          <w:rFonts w:hint="eastAsia" w:ascii="仿宋_GB2312" w:hAnsi="仿宋_GB2312" w:eastAsia="仿宋_GB2312" w:cs="仿宋_GB2312"/>
          <w:b/>
          <w:bCs/>
          <w:kern w:val="2"/>
          <w:sz w:val="24"/>
          <w:szCs w:val="24"/>
          <w:lang w:val="en-US" w:eastAsia="zh-CN" w:bidi="ar-SA"/>
        </w:rPr>
        <w:t>东安镇人民政府支出</w:t>
      </w:r>
      <w:r>
        <w:rPr>
          <w:rFonts w:hint="eastAsia" w:ascii="仿宋_GB2312" w:hAnsi="仿宋_GB2312" w:eastAsia="仿宋_GB2312" w:cs="仿宋_GB2312"/>
          <w:b/>
          <w:bCs/>
          <w:kern w:val="2"/>
          <w:sz w:val="24"/>
          <w:szCs w:val="24"/>
          <w:lang w:val="zh-CN" w:eastAsia="zh-CN" w:bidi="ar-SA"/>
        </w:rPr>
        <w:t>情况表</w:t>
      </w:r>
    </w:p>
    <w:p w14:paraId="70EB7871">
      <w:pPr>
        <w:keepNext w:val="0"/>
        <w:keepLines w:val="0"/>
        <w:widowControl/>
        <w:suppressLineNumbers w:val="0"/>
        <w:ind w:firstLine="400" w:firstLineChars="200"/>
        <w:jc w:val="right"/>
        <w:rPr>
          <w:rFonts w:hint="eastAsia" w:ascii="仿宋_GB2312" w:hAnsi="仿宋_GB2312" w:cs="仿宋_GB2312"/>
          <w:b w:val="0"/>
          <w:bCs w:val="0"/>
          <w:sz w:val="20"/>
          <w:szCs w:val="20"/>
          <w:lang w:val="zh-CN" w:eastAsia="zh-CN"/>
        </w:rPr>
      </w:pPr>
      <w:r>
        <w:rPr>
          <w:rFonts w:hint="eastAsia" w:ascii="仿宋_GB2312" w:hAnsi="仿宋_GB2312" w:cs="仿宋_GB2312"/>
          <w:b w:val="0"/>
          <w:bCs w:val="0"/>
          <w:sz w:val="20"/>
          <w:szCs w:val="20"/>
          <w:lang w:val="zh-CN" w:eastAsia="zh-CN"/>
        </w:rPr>
        <w:t>单位：万元</w:t>
      </w:r>
    </w:p>
    <w:tbl>
      <w:tblPr>
        <w:tblStyle w:val="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266"/>
        <w:gridCol w:w="2266"/>
        <w:gridCol w:w="2264"/>
      </w:tblGrid>
      <w:tr w14:paraId="16B1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57AE5130">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类别</w:t>
            </w:r>
          </w:p>
        </w:tc>
        <w:tc>
          <w:tcPr>
            <w:tcW w:w="2266" w:type="dxa"/>
            <w:tcBorders>
              <w:top w:val="single" w:color="auto" w:sz="4" w:space="0"/>
              <w:left w:val="single" w:color="auto" w:sz="4" w:space="0"/>
              <w:bottom w:val="single" w:color="auto" w:sz="4" w:space="0"/>
              <w:right w:val="single" w:color="auto" w:sz="4" w:space="0"/>
            </w:tcBorders>
            <w:noWrap/>
            <w:vAlign w:val="center"/>
          </w:tcPr>
          <w:p w14:paraId="1736828F">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年初预算数</w:t>
            </w:r>
          </w:p>
        </w:tc>
        <w:tc>
          <w:tcPr>
            <w:tcW w:w="2266" w:type="dxa"/>
            <w:tcBorders>
              <w:top w:val="single" w:color="auto" w:sz="4" w:space="0"/>
              <w:left w:val="single" w:color="auto" w:sz="4" w:space="0"/>
              <w:bottom w:val="single" w:color="auto" w:sz="4" w:space="0"/>
              <w:right w:val="single" w:color="auto" w:sz="4" w:space="0"/>
            </w:tcBorders>
            <w:noWrap/>
            <w:vAlign w:val="center"/>
          </w:tcPr>
          <w:p w14:paraId="4C359EF0">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预算</w:t>
            </w:r>
            <w:r>
              <w:rPr>
                <w:rFonts w:hint="eastAsia" w:ascii="仿宋_GB2312" w:hAnsi="仿宋_GB2312" w:cs="仿宋_GB2312"/>
                <w:sz w:val="20"/>
                <w:szCs w:val="20"/>
                <w:lang w:val="en-US" w:eastAsia="zh-CN"/>
              </w:rPr>
              <w:t>调整</w:t>
            </w:r>
            <w:r>
              <w:rPr>
                <w:rFonts w:hint="default" w:ascii="仿宋_GB2312" w:hAnsi="仿宋_GB2312" w:cs="仿宋_GB2312"/>
                <w:sz w:val="20"/>
                <w:szCs w:val="20"/>
                <w:lang w:val="en-US" w:eastAsia="zh-CN"/>
              </w:rPr>
              <w:t>数</w:t>
            </w:r>
          </w:p>
        </w:tc>
        <w:tc>
          <w:tcPr>
            <w:tcW w:w="2264" w:type="dxa"/>
            <w:tcBorders>
              <w:top w:val="single" w:color="auto" w:sz="4" w:space="0"/>
              <w:left w:val="single" w:color="auto" w:sz="4" w:space="0"/>
              <w:bottom w:val="single" w:color="auto" w:sz="4" w:space="0"/>
              <w:right w:val="single" w:color="auto" w:sz="4" w:space="0"/>
            </w:tcBorders>
            <w:noWrap/>
            <w:vAlign w:val="center"/>
          </w:tcPr>
          <w:p w14:paraId="6EA1BEB3">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决算数</w:t>
            </w:r>
          </w:p>
        </w:tc>
      </w:tr>
      <w:tr w14:paraId="3E0D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3FB1D5D9">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一、基本支出</w:t>
            </w:r>
          </w:p>
        </w:tc>
        <w:tc>
          <w:tcPr>
            <w:tcW w:w="2266" w:type="dxa"/>
            <w:tcBorders>
              <w:top w:val="single" w:color="auto" w:sz="4" w:space="0"/>
              <w:left w:val="single" w:color="auto" w:sz="4" w:space="0"/>
              <w:bottom w:val="single" w:color="auto" w:sz="4" w:space="0"/>
              <w:right w:val="single" w:color="auto" w:sz="4" w:space="0"/>
            </w:tcBorders>
            <w:noWrap/>
            <w:vAlign w:val="center"/>
          </w:tcPr>
          <w:p w14:paraId="0D72E3E0">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1065.73</w:t>
            </w:r>
          </w:p>
        </w:tc>
        <w:tc>
          <w:tcPr>
            <w:tcW w:w="2266" w:type="dxa"/>
            <w:tcBorders>
              <w:top w:val="single" w:color="auto" w:sz="4" w:space="0"/>
              <w:left w:val="single" w:color="auto" w:sz="4" w:space="0"/>
              <w:bottom w:val="single" w:color="auto" w:sz="4" w:space="0"/>
              <w:right w:val="single" w:color="auto" w:sz="4" w:space="0"/>
            </w:tcBorders>
            <w:noWrap/>
            <w:vAlign w:val="center"/>
          </w:tcPr>
          <w:p w14:paraId="0E4FEF19">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29.2</w:t>
            </w:r>
          </w:p>
        </w:tc>
        <w:tc>
          <w:tcPr>
            <w:tcW w:w="2264" w:type="dxa"/>
            <w:tcBorders>
              <w:top w:val="single" w:color="auto" w:sz="4" w:space="0"/>
              <w:left w:val="single" w:color="auto" w:sz="4" w:space="0"/>
              <w:bottom w:val="single" w:color="auto" w:sz="4" w:space="0"/>
              <w:right w:val="single" w:color="auto" w:sz="4" w:space="0"/>
            </w:tcBorders>
            <w:noWrap/>
            <w:vAlign w:val="center"/>
          </w:tcPr>
          <w:p w14:paraId="65D5F554">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1094.93</w:t>
            </w:r>
          </w:p>
        </w:tc>
      </w:tr>
      <w:tr w14:paraId="79F4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35B8EAD9">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人员经费</w:t>
            </w:r>
          </w:p>
        </w:tc>
        <w:tc>
          <w:tcPr>
            <w:tcW w:w="2266" w:type="dxa"/>
            <w:tcBorders>
              <w:top w:val="single" w:color="auto" w:sz="4" w:space="0"/>
              <w:left w:val="single" w:color="auto" w:sz="4" w:space="0"/>
              <w:bottom w:val="single" w:color="auto" w:sz="4" w:space="0"/>
              <w:right w:val="single" w:color="auto" w:sz="4" w:space="0"/>
            </w:tcBorders>
            <w:noWrap/>
            <w:vAlign w:val="center"/>
          </w:tcPr>
          <w:p w14:paraId="034A9E8F">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982.88</w:t>
            </w:r>
          </w:p>
        </w:tc>
        <w:tc>
          <w:tcPr>
            <w:tcW w:w="2266" w:type="dxa"/>
            <w:tcBorders>
              <w:top w:val="single" w:color="auto" w:sz="4" w:space="0"/>
              <w:left w:val="single" w:color="auto" w:sz="4" w:space="0"/>
              <w:bottom w:val="single" w:color="auto" w:sz="4" w:space="0"/>
              <w:right w:val="single" w:color="auto" w:sz="4" w:space="0"/>
            </w:tcBorders>
            <w:noWrap/>
            <w:vAlign w:val="center"/>
          </w:tcPr>
          <w:p w14:paraId="570652A3">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40.68</w:t>
            </w:r>
          </w:p>
        </w:tc>
        <w:tc>
          <w:tcPr>
            <w:tcW w:w="2264" w:type="dxa"/>
            <w:tcBorders>
              <w:top w:val="single" w:color="auto" w:sz="4" w:space="0"/>
              <w:left w:val="single" w:color="auto" w:sz="4" w:space="0"/>
              <w:bottom w:val="single" w:color="auto" w:sz="4" w:space="0"/>
              <w:right w:val="single" w:color="auto" w:sz="4" w:space="0"/>
            </w:tcBorders>
            <w:noWrap/>
            <w:vAlign w:val="center"/>
          </w:tcPr>
          <w:p w14:paraId="21BD4708">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1023.56</w:t>
            </w:r>
          </w:p>
        </w:tc>
      </w:tr>
      <w:tr w14:paraId="4F94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0B04F7C4">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公用经费</w:t>
            </w:r>
          </w:p>
        </w:tc>
        <w:tc>
          <w:tcPr>
            <w:tcW w:w="2266" w:type="dxa"/>
            <w:tcBorders>
              <w:top w:val="single" w:color="auto" w:sz="4" w:space="0"/>
              <w:left w:val="single" w:color="auto" w:sz="4" w:space="0"/>
              <w:bottom w:val="single" w:color="auto" w:sz="4" w:space="0"/>
              <w:right w:val="single" w:color="auto" w:sz="4" w:space="0"/>
            </w:tcBorders>
            <w:noWrap/>
            <w:vAlign w:val="center"/>
          </w:tcPr>
          <w:p w14:paraId="61887050">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82.85</w:t>
            </w:r>
          </w:p>
        </w:tc>
        <w:tc>
          <w:tcPr>
            <w:tcW w:w="2266" w:type="dxa"/>
            <w:tcBorders>
              <w:top w:val="single" w:color="auto" w:sz="4" w:space="0"/>
              <w:left w:val="single" w:color="auto" w:sz="4" w:space="0"/>
              <w:bottom w:val="single" w:color="auto" w:sz="4" w:space="0"/>
              <w:right w:val="single" w:color="auto" w:sz="4" w:space="0"/>
            </w:tcBorders>
            <w:noWrap/>
            <w:vAlign w:val="center"/>
          </w:tcPr>
          <w:p w14:paraId="7BC00B0E">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-11.49</w:t>
            </w:r>
          </w:p>
        </w:tc>
        <w:tc>
          <w:tcPr>
            <w:tcW w:w="2264" w:type="dxa"/>
            <w:tcBorders>
              <w:top w:val="single" w:color="auto" w:sz="4" w:space="0"/>
              <w:left w:val="single" w:color="auto" w:sz="4" w:space="0"/>
              <w:bottom w:val="single" w:color="auto" w:sz="4" w:space="0"/>
              <w:right w:val="single" w:color="auto" w:sz="4" w:space="0"/>
            </w:tcBorders>
            <w:noWrap/>
            <w:vAlign w:val="center"/>
          </w:tcPr>
          <w:p w14:paraId="5C65B12E">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71.36</w:t>
            </w:r>
          </w:p>
        </w:tc>
      </w:tr>
      <w:tr w14:paraId="6D2A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5FF10B61">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二、项目支出</w:t>
            </w:r>
          </w:p>
        </w:tc>
        <w:tc>
          <w:tcPr>
            <w:tcW w:w="2266" w:type="dxa"/>
            <w:tcBorders>
              <w:top w:val="single" w:color="auto" w:sz="4" w:space="0"/>
              <w:left w:val="single" w:color="auto" w:sz="4" w:space="0"/>
              <w:bottom w:val="single" w:color="auto" w:sz="4" w:space="0"/>
              <w:right w:val="single" w:color="auto" w:sz="4" w:space="0"/>
            </w:tcBorders>
            <w:noWrap/>
            <w:vAlign w:val="center"/>
          </w:tcPr>
          <w:p w14:paraId="53BB544F">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353.86</w:t>
            </w:r>
          </w:p>
        </w:tc>
        <w:tc>
          <w:tcPr>
            <w:tcW w:w="2266" w:type="dxa"/>
            <w:tcBorders>
              <w:top w:val="single" w:color="auto" w:sz="4" w:space="0"/>
              <w:left w:val="single" w:color="auto" w:sz="4" w:space="0"/>
              <w:bottom w:val="single" w:color="auto" w:sz="4" w:space="0"/>
              <w:right w:val="single" w:color="auto" w:sz="4" w:space="0"/>
            </w:tcBorders>
            <w:noWrap/>
            <w:vAlign w:val="center"/>
          </w:tcPr>
          <w:p w14:paraId="43E563F7">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229.05</w:t>
            </w:r>
          </w:p>
        </w:tc>
        <w:tc>
          <w:tcPr>
            <w:tcW w:w="2264" w:type="dxa"/>
            <w:tcBorders>
              <w:top w:val="single" w:color="auto" w:sz="4" w:space="0"/>
              <w:left w:val="single" w:color="auto" w:sz="4" w:space="0"/>
              <w:bottom w:val="single" w:color="auto" w:sz="4" w:space="0"/>
              <w:right w:val="single" w:color="auto" w:sz="4" w:space="0"/>
            </w:tcBorders>
            <w:noWrap/>
            <w:vAlign w:val="center"/>
          </w:tcPr>
          <w:p w14:paraId="049CD89D">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582.91</w:t>
            </w:r>
          </w:p>
        </w:tc>
      </w:tr>
      <w:tr w14:paraId="68D2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69414F5B">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三、年末结转结余</w:t>
            </w:r>
          </w:p>
        </w:tc>
        <w:tc>
          <w:tcPr>
            <w:tcW w:w="2266" w:type="dxa"/>
            <w:tcBorders>
              <w:top w:val="single" w:color="auto" w:sz="4" w:space="0"/>
              <w:left w:val="single" w:color="auto" w:sz="4" w:space="0"/>
              <w:bottom w:val="single" w:color="auto" w:sz="4" w:space="0"/>
              <w:right w:val="single" w:color="auto" w:sz="4" w:space="0"/>
            </w:tcBorders>
            <w:noWrap/>
            <w:vAlign w:val="center"/>
          </w:tcPr>
          <w:p w14:paraId="75DDA3BB">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c>
          <w:tcPr>
            <w:tcW w:w="2266" w:type="dxa"/>
            <w:tcBorders>
              <w:top w:val="single" w:color="auto" w:sz="4" w:space="0"/>
              <w:left w:val="single" w:color="auto" w:sz="4" w:space="0"/>
              <w:bottom w:val="single" w:color="auto" w:sz="4" w:space="0"/>
              <w:right w:val="single" w:color="auto" w:sz="4" w:space="0"/>
            </w:tcBorders>
            <w:noWrap/>
            <w:vAlign w:val="center"/>
          </w:tcPr>
          <w:p w14:paraId="4D91766D">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c>
          <w:tcPr>
            <w:tcW w:w="2264" w:type="dxa"/>
            <w:tcBorders>
              <w:top w:val="single" w:color="auto" w:sz="4" w:space="0"/>
              <w:left w:val="single" w:color="auto" w:sz="4" w:space="0"/>
              <w:bottom w:val="single" w:color="auto" w:sz="4" w:space="0"/>
              <w:right w:val="single" w:color="auto" w:sz="4" w:space="0"/>
            </w:tcBorders>
            <w:noWrap/>
            <w:vAlign w:val="center"/>
          </w:tcPr>
          <w:p w14:paraId="10674419">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r>
      <w:tr w14:paraId="4904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57" w:type="dxa"/>
            <w:tcBorders>
              <w:top w:val="single" w:color="auto" w:sz="4" w:space="0"/>
              <w:left w:val="single" w:color="auto" w:sz="4" w:space="0"/>
              <w:bottom w:val="single" w:color="auto" w:sz="4" w:space="0"/>
              <w:right w:val="single" w:color="auto" w:sz="4" w:space="0"/>
            </w:tcBorders>
            <w:noWrap/>
            <w:vAlign w:val="center"/>
          </w:tcPr>
          <w:p w14:paraId="6DFB2ACF">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合计</w:t>
            </w:r>
          </w:p>
        </w:tc>
        <w:tc>
          <w:tcPr>
            <w:tcW w:w="2266" w:type="dxa"/>
            <w:tcBorders>
              <w:top w:val="single" w:color="auto" w:sz="4" w:space="0"/>
              <w:left w:val="single" w:color="auto" w:sz="4" w:space="0"/>
              <w:bottom w:val="single" w:color="auto" w:sz="4" w:space="0"/>
              <w:right w:val="single" w:color="auto" w:sz="4" w:space="0"/>
            </w:tcBorders>
            <w:noWrap/>
            <w:vAlign w:val="center"/>
          </w:tcPr>
          <w:p w14:paraId="4798CCCB">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1419.59</w:t>
            </w:r>
          </w:p>
        </w:tc>
        <w:tc>
          <w:tcPr>
            <w:tcW w:w="2266" w:type="dxa"/>
            <w:tcBorders>
              <w:top w:val="single" w:color="auto" w:sz="4" w:space="0"/>
              <w:left w:val="single" w:color="auto" w:sz="4" w:space="0"/>
              <w:bottom w:val="single" w:color="auto" w:sz="4" w:space="0"/>
              <w:right w:val="single" w:color="auto" w:sz="4" w:space="0"/>
            </w:tcBorders>
            <w:noWrap/>
            <w:vAlign w:val="center"/>
          </w:tcPr>
          <w:p w14:paraId="5346E8A9">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258.25</w:t>
            </w:r>
          </w:p>
        </w:tc>
        <w:tc>
          <w:tcPr>
            <w:tcW w:w="2264" w:type="dxa"/>
            <w:tcBorders>
              <w:top w:val="single" w:color="auto" w:sz="4" w:space="0"/>
              <w:left w:val="single" w:color="auto" w:sz="4" w:space="0"/>
              <w:bottom w:val="single" w:color="auto" w:sz="4" w:space="0"/>
              <w:right w:val="single" w:color="auto" w:sz="4" w:space="0"/>
            </w:tcBorders>
            <w:noWrap/>
            <w:vAlign w:val="center"/>
          </w:tcPr>
          <w:p w14:paraId="71A411FB">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1677.84</w:t>
            </w:r>
          </w:p>
        </w:tc>
      </w:tr>
      <w:tr w14:paraId="0B52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53" w:type="dxa"/>
            <w:gridSpan w:val="4"/>
            <w:tcBorders>
              <w:top w:val="single" w:color="auto" w:sz="4" w:space="0"/>
              <w:left w:val="single" w:color="auto" w:sz="4" w:space="0"/>
              <w:bottom w:val="single" w:color="auto" w:sz="4" w:space="0"/>
              <w:right w:val="single" w:color="auto" w:sz="4" w:space="0"/>
            </w:tcBorders>
            <w:noWrap/>
            <w:vAlign w:val="center"/>
          </w:tcPr>
          <w:p w14:paraId="79FAEF08">
            <w:pPr>
              <w:keepNext w:val="0"/>
              <w:keepLines w:val="0"/>
              <w:widowControl/>
              <w:suppressLineNumbers w:val="0"/>
              <w:ind w:firstLine="400" w:firstLineChars="200"/>
              <w:jc w:val="left"/>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备注：正数为调整追加，负数为调整追减。</w:t>
            </w:r>
          </w:p>
        </w:tc>
      </w:tr>
    </w:tbl>
    <w:p w14:paraId="41778D51">
      <w:pPr>
        <w:pStyle w:val="2"/>
        <w:spacing w:before="185" w:line="279" w:lineRule="auto"/>
        <w:ind w:right="5" w:firstLine="814"/>
        <w:rPr>
          <w:rFonts w:hint="eastAsia" w:ascii="仿宋_GB2312" w:hAnsi="仿宋_GB2312" w:cs="仿宋_GB2312"/>
          <w:sz w:val="32"/>
          <w:szCs w:val="32"/>
          <w:lang w:val="en-US" w:eastAsia="zh-CN"/>
        </w:rPr>
      </w:pPr>
    </w:p>
    <w:p w14:paraId="4658DEF7">
      <w:pPr>
        <w:pStyle w:val="2"/>
        <w:spacing w:before="185" w:line="279" w:lineRule="auto"/>
        <w:ind w:right="5" w:firstLine="814"/>
        <w:rPr>
          <w:b w:val="0"/>
          <w:bCs w:val="0"/>
          <w:spacing w:val="10"/>
        </w:rPr>
      </w:pPr>
      <w:r>
        <w:rPr>
          <w:rFonts w:ascii="楷体" w:hAnsi="楷体" w:eastAsia="楷体" w:cs="楷体"/>
          <w:b w:val="0"/>
          <w:bCs w:val="0"/>
          <w:spacing w:val="10"/>
        </w:rPr>
        <w:t>(三)结余分配和结转结余情况</w:t>
      </w:r>
      <w:r>
        <w:rPr>
          <w:b w:val="0"/>
          <w:bCs w:val="0"/>
          <w:spacing w:val="10"/>
        </w:rPr>
        <w:t>。</w:t>
      </w:r>
    </w:p>
    <w:p w14:paraId="2AEFF5A9">
      <w:pPr>
        <w:pStyle w:val="2"/>
        <w:spacing w:before="185" w:line="279" w:lineRule="auto"/>
        <w:ind w:right="5" w:firstLine="814"/>
        <w:rPr>
          <w:spacing w:val="-13"/>
        </w:rPr>
      </w:pPr>
      <w:r>
        <w:rPr>
          <w:rFonts w:hint="eastAsia"/>
          <w:spacing w:val="-13"/>
          <w:lang w:val="en-US" w:eastAsia="zh-CN"/>
        </w:rPr>
        <w:t>根据决算报表，渠县东安镇人民政府2024年无结转结余。</w:t>
      </w:r>
    </w:p>
    <w:p w14:paraId="3AEABC24">
      <w:pPr>
        <w:pStyle w:val="2"/>
        <w:spacing w:before="167" w:line="272" w:lineRule="auto"/>
        <w:ind w:right="4" w:firstLine="814"/>
        <w:rPr>
          <w:rFonts w:ascii="黑体" w:hAnsi="黑体" w:eastAsia="黑体" w:cs="黑体"/>
          <w:sz w:val="33"/>
          <w:szCs w:val="33"/>
        </w:rPr>
      </w:pPr>
      <w:r>
        <w:rPr>
          <w:rFonts w:ascii="黑体" w:hAnsi="黑体" w:eastAsia="黑体" w:cs="黑体"/>
          <w:b/>
          <w:bCs/>
          <w:spacing w:val="-13"/>
          <w:sz w:val="33"/>
          <w:szCs w:val="33"/>
        </w:rPr>
        <w:t>三、部门预算绩效分析</w:t>
      </w:r>
    </w:p>
    <w:p w14:paraId="6A4C337F">
      <w:pPr>
        <w:pStyle w:val="2"/>
        <w:spacing w:before="182" w:line="299" w:lineRule="auto"/>
        <w:ind w:right="5" w:firstLine="814"/>
        <w:rPr>
          <w:rFonts w:hint="eastAsia" w:eastAsia="仿宋"/>
          <w:b w:val="0"/>
          <w:bCs w:val="0"/>
          <w:sz w:val="32"/>
          <w:szCs w:val="32"/>
          <w:lang w:eastAsia="zh-CN"/>
        </w:rPr>
      </w:pPr>
      <w:r>
        <w:rPr>
          <w:rFonts w:ascii="楷体" w:hAnsi="楷体" w:eastAsia="楷体" w:cs="楷体"/>
          <w:b w:val="0"/>
          <w:bCs w:val="0"/>
          <w:spacing w:val="-10"/>
        </w:rPr>
        <w:t>(一)部门预算总体绩效分析。</w:t>
      </w:r>
    </w:p>
    <w:p w14:paraId="2664D436">
      <w:pPr>
        <w:pStyle w:val="2"/>
        <w:spacing w:before="108" w:line="311" w:lineRule="auto"/>
        <w:ind w:left="9" w:right="20" w:firstLine="630"/>
        <w:rPr>
          <w:spacing w:val="-8"/>
          <w:sz w:val="32"/>
          <w:szCs w:val="32"/>
        </w:rPr>
      </w:pPr>
      <w:r>
        <w:rPr>
          <w:rFonts w:ascii="楷体" w:hAnsi="楷体" w:eastAsia="楷体" w:cs="楷体"/>
          <w:spacing w:val="-8"/>
          <w:sz w:val="32"/>
          <w:szCs w:val="32"/>
        </w:rPr>
        <w:t>1.履职效能</w:t>
      </w:r>
      <w:r>
        <w:rPr>
          <w:spacing w:val="-8"/>
          <w:sz w:val="32"/>
          <w:szCs w:val="32"/>
        </w:rPr>
        <w:t>。</w:t>
      </w:r>
    </w:p>
    <w:p w14:paraId="1893BBA9">
      <w:pPr>
        <w:pStyle w:val="2"/>
        <w:spacing w:before="108" w:line="311" w:lineRule="auto"/>
        <w:ind w:left="9" w:right="20" w:firstLine="630"/>
        <w:rPr>
          <w:rFonts w:hint="eastAsia"/>
          <w:sz w:val="32"/>
          <w:szCs w:val="32"/>
          <w:lang w:val="en-US" w:eastAsia="zh-CN"/>
        </w:rPr>
      </w:pPr>
      <w:r>
        <w:rPr>
          <w:rFonts w:hint="eastAsia"/>
          <w:sz w:val="32"/>
          <w:szCs w:val="32"/>
          <w:lang w:val="en-US" w:eastAsia="zh-CN"/>
        </w:rPr>
        <w:t>渠县东安镇人民政府的主要职能包括宣传和执行规章制度、开展各项活动、完成县人民政府交办和委托的其它工作。渠县东安镇人民政府始终围绕主要职能，开展各项工作。</w:t>
      </w:r>
    </w:p>
    <w:p w14:paraId="65358B53">
      <w:pPr>
        <w:pStyle w:val="2"/>
        <w:spacing w:before="108" w:line="311" w:lineRule="auto"/>
        <w:ind w:left="9" w:right="20" w:firstLine="630"/>
        <w:rPr>
          <w:rFonts w:hint="eastAsia"/>
          <w:sz w:val="32"/>
          <w:szCs w:val="32"/>
        </w:rPr>
      </w:pPr>
      <w:r>
        <w:rPr>
          <w:rFonts w:hint="eastAsia"/>
          <w:sz w:val="32"/>
          <w:szCs w:val="32"/>
        </w:rPr>
        <w:t>（1）进一步学习《</w:t>
      </w:r>
      <w:r>
        <w:rPr>
          <w:rFonts w:hint="eastAsia"/>
          <w:sz w:val="32"/>
          <w:szCs w:val="32"/>
          <w:lang w:val="en-US" w:eastAsia="zh-CN"/>
        </w:rPr>
        <w:t>中华人民共和国</w:t>
      </w:r>
      <w:r>
        <w:rPr>
          <w:rFonts w:hint="eastAsia"/>
          <w:sz w:val="32"/>
          <w:szCs w:val="32"/>
        </w:rPr>
        <w:t>预算法》，加强</w:t>
      </w:r>
      <w:r>
        <w:rPr>
          <w:rFonts w:hint="eastAsia"/>
          <w:sz w:val="32"/>
          <w:szCs w:val="32"/>
          <w:lang w:eastAsia="zh-CN"/>
        </w:rPr>
        <w:t>镇</w:t>
      </w:r>
      <w:r>
        <w:rPr>
          <w:rFonts w:hint="eastAsia"/>
          <w:sz w:val="32"/>
          <w:szCs w:val="32"/>
        </w:rPr>
        <w:t>财政预算资金管理，保障资金使用安全，提高资金使用效率，建立健全内部监督和控制制度，保证资金的合法性、安全性以及会计资料的真实性和完整性。确保各项工作的正确开展，保证政府机构的正常运转，坚持量入为出的原则，统筹合理地调度资金，把有限的资金</w:t>
      </w:r>
      <w:r>
        <w:rPr>
          <w:rFonts w:hint="eastAsia"/>
          <w:sz w:val="32"/>
          <w:szCs w:val="32"/>
          <w:lang w:eastAsia="zh-CN"/>
        </w:rPr>
        <w:t>用到</w:t>
      </w:r>
      <w:r>
        <w:rPr>
          <w:rFonts w:hint="eastAsia"/>
          <w:sz w:val="32"/>
          <w:szCs w:val="32"/>
        </w:rPr>
        <w:t>刀刃上，树立过紧日</w:t>
      </w:r>
      <w:r>
        <w:rPr>
          <w:rFonts w:hint="eastAsia"/>
          <w:sz w:val="32"/>
          <w:szCs w:val="32"/>
          <w:lang w:val="en-US" w:eastAsia="zh-CN"/>
        </w:rPr>
        <w:t>子</w:t>
      </w:r>
      <w:r>
        <w:rPr>
          <w:rFonts w:hint="eastAsia"/>
          <w:sz w:val="32"/>
          <w:szCs w:val="32"/>
        </w:rPr>
        <w:t>的思想，大力压缩非工资性支出，坚持日清月结，正确认清目前财政状况，</w:t>
      </w:r>
      <w:r>
        <w:rPr>
          <w:rFonts w:hint="eastAsia"/>
          <w:sz w:val="32"/>
          <w:szCs w:val="32"/>
          <w:lang w:val="en-US" w:eastAsia="zh-CN"/>
        </w:rPr>
        <w:t>及时</w:t>
      </w:r>
      <w:r>
        <w:rPr>
          <w:rFonts w:hint="eastAsia"/>
          <w:sz w:val="32"/>
          <w:szCs w:val="32"/>
        </w:rPr>
        <w:t>将财政信息</w:t>
      </w:r>
      <w:r>
        <w:rPr>
          <w:rFonts w:hint="eastAsia"/>
          <w:sz w:val="32"/>
          <w:szCs w:val="32"/>
          <w:lang w:val="en-US" w:eastAsia="zh-CN"/>
        </w:rPr>
        <w:t>和报表</w:t>
      </w:r>
      <w:r>
        <w:rPr>
          <w:rFonts w:hint="eastAsia"/>
          <w:sz w:val="32"/>
          <w:szCs w:val="32"/>
        </w:rPr>
        <w:t>上报财政部门，</w:t>
      </w:r>
      <w:r>
        <w:rPr>
          <w:rFonts w:hint="eastAsia"/>
          <w:sz w:val="32"/>
          <w:szCs w:val="32"/>
          <w:lang w:eastAsia="zh-CN"/>
        </w:rPr>
        <w:t>镇</w:t>
      </w:r>
      <w:r>
        <w:rPr>
          <w:rFonts w:hint="eastAsia"/>
          <w:sz w:val="32"/>
          <w:szCs w:val="32"/>
        </w:rPr>
        <w:t>领导也能及时</w:t>
      </w:r>
      <w:r>
        <w:rPr>
          <w:rFonts w:hint="eastAsia"/>
          <w:sz w:val="32"/>
          <w:szCs w:val="32"/>
          <w:lang w:val="en-US" w:eastAsia="zh-CN"/>
        </w:rPr>
        <w:t>掌握</w:t>
      </w:r>
      <w:r>
        <w:rPr>
          <w:rFonts w:hint="eastAsia"/>
          <w:sz w:val="32"/>
          <w:szCs w:val="32"/>
        </w:rPr>
        <w:t>第一手资料，以便研究相应的财务政策。</w:t>
      </w:r>
    </w:p>
    <w:p w14:paraId="50BDE63C">
      <w:pPr>
        <w:pStyle w:val="2"/>
        <w:spacing w:before="108" w:line="311" w:lineRule="auto"/>
        <w:ind w:left="9" w:right="20" w:firstLine="630"/>
        <w:rPr>
          <w:rFonts w:hint="eastAsia"/>
          <w:sz w:val="32"/>
          <w:szCs w:val="32"/>
        </w:rPr>
      </w:pPr>
      <w:r>
        <w:rPr>
          <w:rFonts w:hint="eastAsia"/>
          <w:sz w:val="32"/>
          <w:szCs w:val="32"/>
        </w:rPr>
        <w:t>（2）严格执行</w:t>
      </w:r>
      <w:r>
        <w:rPr>
          <w:rFonts w:hint="eastAsia"/>
          <w:sz w:val="32"/>
          <w:szCs w:val="32"/>
          <w:lang w:eastAsia="zh-CN"/>
        </w:rPr>
        <w:t>中央八项规定</w:t>
      </w:r>
      <w:r>
        <w:rPr>
          <w:rFonts w:hint="eastAsia"/>
          <w:sz w:val="32"/>
          <w:szCs w:val="32"/>
          <w:lang w:val="en-US" w:eastAsia="zh-CN"/>
        </w:rPr>
        <w:t>精神</w:t>
      </w:r>
      <w:bookmarkStart w:id="0" w:name="_GoBack"/>
      <w:bookmarkEnd w:id="0"/>
      <w:r>
        <w:rPr>
          <w:rFonts w:hint="eastAsia"/>
          <w:sz w:val="32"/>
          <w:szCs w:val="32"/>
        </w:rPr>
        <w:t>和坚决反对“四风”，按照</w:t>
      </w:r>
      <w:r>
        <w:rPr>
          <w:rFonts w:hint="eastAsia"/>
          <w:sz w:val="32"/>
          <w:szCs w:val="32"/>
          <w:lang w:eastAsia="zh-CN"/>
        </w:rPr>
        <w:t>县委、县政府</w:t>
      </w:r>
      <w:r>
        <w:rPr>
          <w:rFonts w:hint="eastAsia"/>
          <w:sz w:val="32"/>
          <w:szCs w:val="32"/>
        </w:rPr>
        <w:t>公务接待的规定要求，全面落实三公经费。进一步完善了公务接待管理制度，实行来人来客派餐登记，按人按标准并一律在</w:t>
      </w:r>
      <w:r>
        <w:rPr>
          <w:rFonts w:hint="eastAsia"/>
          <w:sz w:val="32"/>
          <w:szCs w:val="32"/>
          <w:lang w:eastAsia="zh-CN"/>
        </w:rPr>
        <w:t>镇</w:t>
      </w:r>
      <w:r>
        <w:rPr>
          <w:rFonts w:hint="eastAsia"/>
          <w:sz w:val="32"/>
          <w:szCs w:val="32"/>
        </w:rPr>
        <w:t>食堂就餐，办公用品财政集中采购制，大力压缩各种会议、差旅费、公务接待等非生产性开支，发扬艰苦朴素，勤俭节约的优良作风，节减行政成本。</w:t>
      </w:r>
    </w:p>
    <w:p w14:paraId="071E2AD1">
      <w:pPr>
        <w:pStyle w:val="2"/>
        <w:spacing w:before="108" w:line="311" w:lineRule="auto"/>
        <w:ind w:left="9" w:right="20" w:firstLine="630"/>
        <w:rPr>
          <w:rFonts w:hint="eastAsia"/>
          <w:sz w:val="32"/>
          <w:szCs w:val="32"/>
        </w:rPr>
      </w:pPr>
      <w:r>
        <w:rPr>
          <w:rFonts w:hint="eastAsia"/>
          <w:sz w:val="32"/>
          <w:szCs w:val="32"/>
        </w:rPr>
        <w:t>（3）切实做好农村公共服务运行维护机制建设及“一事一议”财政奖补工作。成立了农村公共服务运行维护机制建设工作领导小组，加强组织领导，办公室设在财政所，具体负责日常业务工作开展。大力宣传，精心组织。开好村组干部及村民会议，得到了广大群众的热烈欢迎和拥护。开展调查研究，制定实施方案，培训业务人员，组织村民民主议事，开展项目报批并精心组织实施，建成了一批农村公益事业项目，使农村面貌有了较大改善，使农民得到了实惠，有力地推进了社会主义新农村建设。</w:t>
      </w:r>
    </w:p>
    <w:p w14:paraId="6FD394C5">
      <w:pPr>
        <w:pStyle w:val="2"/>
        <w:spacing w:before="108" w:line="311" w:lineRule="auto"/>
        <w:ind w:left="9" w:right="20" w:firstLine="630"/>
        <w:rPr>
          <w:sz w:val="32"/>
          <w:szCs w:val="32"/>
        </w:rPr>
      </w:pPr>
      <w:r>
        <w:rPr>
          <w:rFonts w:hint="eastAsia"/>
          <w:sz w:val="32"/>
          <w:szCs w:val="32"/>
          <w:lang w:eastAsia="zh-CN"/>
        </w:rPr>
        <w:t>（</w:t>
      </w:r>
      <w:r>
        <w:rPr>
          <w:rFonts w:hint="eastAsia"/>
          <w:sz w:val="32"/>
          <w:szCs w:val="32"/>
          <w:lang w:val="en-US" w:eastAsia="zh-CN"/>
        </w:rPr>
        <w:t>4</w:t>
      </w:r>
      <w:r>
        <w:rPr>
          <w:rFonts w:hint="eastAsia"/>
          <w:sz w:val="32"/>
          <w:szCs w:val="32"/>
          <w:lang w:eastAsia="zh-CN"/>
        </w:rPr>
        <w:t>）</w:t>
      </w:r>
      <w:r>
        <w:rPr>
          <w:rFonts w:hint="eastAsia"/>
          <w:sz w:val="32"/>
          <w:szCs w:val="32"/>
        </w:rPr>
        <w:t>认真落实惠农资金补贴政策，做好耕地地力补贴工作，确保资金通过一卡通直达种粮农户的手中。全</w:t>
      </w:r>
      <w:r>
        <w:rPr>
          <w:rFonts w:hint="eastAsia"/>
          <w:sz w:val="32"/>
          <w:szCs w:val="32"/>
          <w:lang w:eastAsia="zh-CN"/>
        </w:rPr>
        <w:t>镇</w:t>
      </w:r>
      <w:r>
        <w:rPr>
          <w:rFonts w:hint="eastAsia"/>
          <w:sz w:val="32"/>
          <w:szCs w:val="32"/>
        </w:rPr>
        <w:t>无农户因补贴不到位上访，圆满完成耕地地力发放工作。</w:t>
      </w:r>
    </w:p>
    <w:p w14:paraId="38839638">
      <w:pPr>
        <w:pStyle w:val="2"/>
        <w:spacing w:before="78" w:line="311" w:lineRule="auto"/>
        <w:ind w:left="9" w:right="66" w:firstLine="630"/>
        <w:rPr>
          <w:rFonts w:ascii="楷体" w:hAnsi="楷体" w:eastAsia="楷体" w:cs="楷体"/>
          <w:spacing w:val="-5"/>
          <w:sz w:val="32"/>
          <w:szCs w:val="32"/>
        </w:rPr>
      </w:pPr>
      <w:r>
        <w:rPr>
          <w:rFonts w:ascii="宋体" w:hAnsi="宋体" w:eastAsia="宋体" w:cs="宋体"/>
          <w:spacing w:val="-5"/>
          <w:sz w:val="32"/>
          <w:szCs w:val="32"/>
        </w:rPr>
        <w:t>2.</w:t>
      </w:r>
      <w:r>
        <w:rPr>
          <w:rFonts w:ascii="楷体" w:hAnsi="楷体" w:eastAsia="楷体" w:cs="楷体"/>
          <w:spacing w:val="-5"/>
          <w:sz w:val="32"/>
          <w:szCs w:val="32"/>
        </w:rPr>
        <w:t>预算管理。</w:t>
      </w:r>
    </w:p>
    <w:p w14:paraId="5730AC45">
      <w:pPr>
        <w:pStyle w:val="2"/>
        <w:spacing w:before="78" w:line="311" w:lineRule="auto"/>
        <w:ind w:left="9" w:right="66" w:firstLine="630"/>
        <w:rPr>
          <w:rFonts w:hint="eastAsia"/>
          <w:sz w:val="32"/>
          <w:szCs w:val="32"/>
          <w:lang w:val="en-US" w:eastAsia="zh-CN"/>
        </w:rPr>
      </w:pPr>
      <w:r>
        <w:rPr>
          <w:rFonts w:hint="eastAsia"/>
          <w:sz w:val="32"/>
          <w:szCs w:val="32"/>
          <w:lang w:val="zh-CN" w:eastAsia="zh-CN"/>
        </w:rPr>
        <w:t>（</w:t>
      </w:r>
      <w:r>
        <w:rPr>
          <w:rFonts w:hint="eastAsia"/>
          <w:sz w:val="32"/>
          <w:szCs w:val="32"/>
          <w:lang w:val="en-US" w:eastAsia="zh-CN"/>
        </w:rPr>
        <w:t>1</w:t>
      </w:r>
      <w:r>
        <w:rPr>
          <w:rFonts w:hint="eastAsia"/>
          <w:sz w:val="32"/>
          <w:szCs w:val="32"/>
          <w:lang w:val="zh-CN" w:eastAsia="zh-CN"/>
        </w:rPr>
        <w:t>）预算编制质量：</w:t>
      </w:r>
      <w:r>
        <w:rPr>
          <w:rFonts w:hint="eastAsia"/>
          <w:sz w:val="32"/>
          <w:szCs w:val="32"/>
          <w:lang w:val="en-US" w:eastAsia="zh-CN"/>
        </w:rPr>
        <w:t>2024年渠县东安镇人民政府坚持围绕主要职能工作，科学谋划预算资金安排，依据规定程序和要求，及时完成部门预算编制申报，同时合理设定入库项目绩效指标、年度目标值，科学构建部门整体支出核心绩效指标体系和编报部门整体预算申请绩效报告，推动提高财政资金配置效益。2024年年初收入（支出）预算</w:t>
      </w:r>
      <w:r>
        <w:rPr>
          <w:rFonts w:hint="eastAsia" w:cs="仿宋"/>
          <w:snapToGrid w:val="0"/>
          <w:color w:val="000000"/>
          <w:spacing w:val="10"/>
          <w:kern w:val="0"/>
          <w:sz w:val="33"/>
          <w:szCs w:val="33"/>
          <w:lang w:val="en-US" w:eastAsia="zh-CN" w:bidi="ar-SA"/>
        </w:rPr>
        <w:t>1677.84</w:t>
      </w:r>
      <w:r>
        <w:rPr>
          <w:rFonts w:hint="eastAsia"/>
          <w:sz w:val="32"/>
          <w:szCs w:val="32"/>
          <w:lang w:val="en-US" w:eastAsia="zh-CN"/>
        </w:rPr>
        <w:t>万元，比上年减少712.78万元，原因系今年专项项目减少。</w:t>
      </w:r>
    </w:p>
    <w:p w14:paraId="08C8F197">
      <w:pPr>
        <w:pStyle w:val="2"/>
        <w:spacing w:before="78" w:line="311" w:lineRule="auto"/>
        <w:ind w:left="9" w:right="66" w:firstLine="630"/>
        <w:rPr>
          <w:rFonts w:hint="eastAsia"/>
          <w:sz w:val="32"/>
          <w:szCs w:val="32"/>
          <w:lang w:val="en-US" w:eastAsia="zh-CN"/>
        </w:rPr>
      </w:pPr>
      <w:r>
        <w:rPr>
          <w:rFonts w:hint="eastAsia"/>
          <w:sz w:val="32"/>
          <w:szCs w:val="32"/>
          <w:lang w:val="en-US" w:eastAsia="zh-CN"/>
        </w:rPr>
        <w:t>（2）预算年终结余：渠县东安镇人民政府2024年年末无预算结余。</w:t>
      </w:r>
    </w:p>
    <w:p w14:paraId="2E0DB65B">
      <w:pPr>
        <w:pStyle w:val="2"/>
        <w:spacing w:before="78" w:line="311" w:lineRule="auto"/>
        <w:ind w:left="9" w:right="66" w:firstLine="630"/>
        <w:rPr>
          <w:sz w:val="32"/>
          <w:szCs w:val="32"/>
        </w:rPr>
      </w:pPr>
      <w:r>
        <w:rPr>
          <w:rFonts w:hint="eastAsia"/>
          <w:sz w:val="32"/>
          <w:szCs w:val="32"/>
          <w:lang w:val="en-US" w:eastAsia="zh-CN"/>
        </w:rPr>
        <w:t>（3）严控一般性支出：2024年渠县东安镇人民政府“三公经费”5.7万元，较上年减少0.1万元，主要是因为公务接待次数减少；培训费1.35万元，较上年增加0.21万元，主要是因为新进人员培训支出，培训次数较多；会议费15.06万元，较上年增加0.32万元，主要是因为增加了内控制度、绩效管理及村级业务培训；2024年无办公设备购置和信息网络及软件购置更新支出。</w:t>
      </w:r>
    </w:p>
    <w:p w14:paraId="6EC72CD0">
      <w:pPr>
        <w:pStyle w:val="2"/>
        <w:spacing w:before="93" w:line="306" w:lineRule="auto"/>
        <w:ind w:left="9" w:right="109" w:firstLine="630"/>
        <w:rPr>
          <w:spacing w:val="-7"/>
          <w:sz w:val="32"/>
          <w:szCs w:val="32"/>
        </w:rPr>
      </w:pPr>
      <w:r>
        <w:rPr>
          <w:rFonts w:ascii="楷体" w:hAnsi="楷体" w:eastAsia="楷体" w:cs="楷体"/>
          <w:spacing w:val="-7"/>
          <w:sz w:val="32"/>
          <w:szCs w:val="32"/>
        </w:rPr>
        <w:t>3.财务管理</w:t>
      </w:r>
      <w:r>
        <w:rPr>
          <w:spacing w:val="-7"/>
          <w:sz w:val="32"/>
          <w:szCs w:val="32"/>
        </w:rPr>
        <w:t>。</w:t>
      </w:r>
    </w:p>
    <w:p w14:paraId="0D7FFB5D">
      <w:pPr>
        <w:pStyle w:val="2"/>
        <w:spacing w:before="93" w:line="306" w:lineRule="auto"/>
        <w:ind w:left="9" w:right="109" w:firstLine="630"/>
        <w:rPr>
          <w:rFonts w:hint="default"/>
          <w:sz w:val="32"/>
          <w:szCs w:val="32"/>
          <w:lang w:val="en-US" w:eastAsia="zh-CN"/>
        </w:rPr>
      </w:pPr>
      <w:r>
        <w:rPr>
          <w:rFonts w:hint="eastAsia"/>
          <w:sz w:val="32"/>
          <w:szCs w:val="32"/>
          <w:lang w:val="zh-CN" w:eastAsia="zh-CN"/>
        </w:rPr>
        <w:t>（</w:t>
      </w:r>
      <w:r>
        <w:rPr>
          <w:rFonts w:hint="eastAsia"/>
          <w:sz w:val="32"/>
          <w:szCs w:val="32"/>
          <w:lang w:val="en-US" w:eastAsia="zh-CN"/>
        </w:rPr>
        <w:t>1</w:t>
      </w:r>
      <w:r>
        <w:rPr>
          <w:rFonts w:hint="eastAsia"/>
          <w:sz w:val="32"/>
          <w:szCs w:val="32"/>
          <w:lang w:val="zh-CN" w:eastAsia="zh-CN"/>
        </w:rPr>
        <w:t>）</w:t>
      </w:r>
      <w:r>
        <w:rPr>
          <w:rFonts w:hint="eastAsia"/>
          <w:sz w:val="32"/>
          <w:szCs w:val="32"/>
          <w:lang w:val="en-US" w:eastAsia="zh-CN"/>
        </w:rPr>
        <w:t>绩效管理制度：渠县东安镇人民政府高度重视绩效管理工作，为贯彻落实预算绩效管理工作机制，本年度由单位主要领导组织召开了预算绩效管理工作会议，成立了绩效管理工作领导小组，并由单位分管负责人担任组长。随后，单位制定了《渠县东安镇人民政府预算绩效管理工作实施方案》和《渠县东安镇人民政府预算绩效管理工作考核方案》，建立了本单位绩效评价指标体系，明确了预算绩效管理工作职责，开展了绩效管理工作政策宣讲和业务培训，有效地推动了本单位的绩效管理工作。</w:t>
      </w:r>
    </w:p>
    <w:p w14:paraId="2E134A11">
      <w:pPr>
        <w:pStyle w:val="2"/>
        <w:spacing w:before="93" w:line="306" w:lineRule="auto"/>
        <w:ind w:left="9" w:right="109" w:firstLine="630"/>
        <w:rPr>
          <w:rFonts w:hint="eastAsia"/>
          <w:sz w:val="32"/>
          <w:szCs w:val="32"/>
          <w:lang w:val="en-US" w:eastAsia="zh-CN"/>
        </w:rPr>
      </w:pPr>
      <w:r>
        <w:rPr>
          <w:rFonts w:hint="eastAsia"/>
          <w:sz w:val="32"/>
          <w:szCs w:val="32"/>
          <w:lang w:val="en-US" w:eastAsia="zh-CN"/>
        </w:rPr>
        <w:t>（2）财务管理制度：财务管理工作上，渠县东安镇人民政府</w:t>
      </w:r>
      <w:r>
        <w:rPr>
          <w:rFonts w:hint="default"/>
          <w:sz w:val="32"/>
          <w:szCs w:val="32"/>
          <w:lang w:val="en-US" w:eastAsia="zh-CN"/>
        </w:rPr>
        <w:t>严格遵照预算计划执行，加强财务管理，杜绝一切不合理的开支。制定了详细的内部财务管理制度，规范财务行为，坚持收支两条线，加强财务核算和财务监督。在实际工作中做到各类流水</w:t>
      </w:r>
      <w:r>
        <w:rPr>
          <w:rFonts w:hint="eastAsia"/>
          <w:sz w:val="32"/>
          <w:szCs w:val="32"/>
          <w:lang w:val="en-US" w:eastAsia="zh-CN"/>
        </w:rPr>
        <w:t>账</w:t>
      </w:r>
      <w:r>
        <w:rPr>
          <w:rFonts w:hint="default"/>
          <w:sz w:val="32"/>
          <w:szCs w:val="32"/>
          <w:lang w:val="en-US" w:eastAsia="zh-CN"/>
        </w:rPr>
        <w:t>目日清月结。</w:t>
      </w:r>
      <w:r>
        <w:rPr>
          <w:rFonts w:hint="eastAsia"/>
          <w:sz w:val="32"/>
          <w:szCs w:val="32"/>
          <w:lang w:val="en-US" w:eastAsia="zh-CN"/>
        </w:rPr>
        <w:t>确保</w:t>
      </w:r>
      <w:r>
        <w:rPr>
          <w:rFonts w:hint="default"/>
          <w:sz w:val="32"/>
          <w:szCs w:val="32"/>
          <w:lang w:val="en-US" w:eastAsia="zh-CN"/>
        </w:rPr>
        <w:t>各项收支账账相符，账实相符</w:t>
      </w:r>
      <w:r>
        <w:rPr>
          <w:rFonts w:hint="eastAsia"/>
          <w:sz w:val="32"/>
          <w:szCs w:val="32"/>
          <w:lang w:val="en-US" w:eastAsia="zh-CN"/>
        </w:rPr>
        <w:t>。</w:t>
      </w:r>
      <w:r>
        <w:rPr>
          <w:rFonts w:hint="default"/>
          <w:sz w:val="32"/>
          <w:szCs w:val="32"/>
          <w:lang w:val="en-US" w:eastAsia="zh-CN"/>
        </w:rPr>
        <w:t>支出要考虑合理性，做到出有凭，入有据，费用报销具有实效性，做到监督有力。在实际工作中，对于</w:t>
      </w:r>
      <w:r>
        <w:rPr>
          <w:rFonts w:hint="eastAsia"/>
          <w:sz w:val="32"/>
          <w:szCs w:val="32"/>
          <w:lang w:val="en-US" w:eastAsia="zh-CN"/>
        </w:rPr>
        <w:t>“</w:t>
      </w:r>
      <w:r>
        <w:rPr>
          <w:rFonts w:hint="default"/>
          <w:sz w:val="32"/>
          <w:szCs w:val="32"/>
          <w:lang w:val="en-US" w:eastAsia="zh-CN"/>
        </w:rPr>
        <w:t>三公</w:t>
      </w:r>
      <w:r>
        <w:rPr>
          <w:rFonts w:hint="eastAsia"/>
          <w:sz w:val="32"/>
          <w:szCs w:val="32"/>
          <w:lang w:val="en-US" w:eastAsia="zh-CN"/>
        </w:rPr>
        <w:t>”</w:t>
      </w:r>
      <w:r>
        <w:rPr>
          <w:rFonts w:hint="default"/>
          <w:sz w:val="32"/>
          <w:szCs w:val="32"/>
          <w:lang w:val="en-US" w:eastAsia="zh-CN"/>
        </w:rPr>
        <w:t>经费支出做到，严格按照</w:t>
      </w:r>
      <w:r>
        <w:rPr>
          <w:rFonts w:hint="eastAsia"/>
          <w:sz w:val="32"/>
          <w:szCs w:val="32"/>
          <w:lang w:val="en-US" w:eastAsia="zh-CN"/>
        </w:rPr>
        <w:t>“</w:t>
      </w:r>
      <w:r>
        <w:rPr>
          <w:rFonts w:hint="default"/>
          <w:sz w:val="32"/>
          <w:szCs w:val="32"/>
          <w:lang w:val="en-US" w:eastAsia="zh-CN"/>
        </w:rPr>
        <w:t>三公</w:t>
      </w:r>
      <w:r>
        <w:rPr>
          <w:rFonts w:hint="eastAsia"/>
          <w:sz w:val="32"/>
          <w:szCs w:val="32"/>
          <w:lang w:val="en-US" w:eastAsia="zh-CN"/>
        </w:rPr>
        <w:t>”</w:t>
      </w:r>
      <w:r>
        <w:rPr>
          <w:rFonts w:hint="default"/>
          <w:sz w:val="32"/>
          <w:szCs w:val="32"/>
          <w:lang w:val="en-US" w:eastAsia="zh-CN"/>
        </w:rPr>
        <w:t>经费预算标准执行，报销金额与票据符合，对于不合理的开支完全杜绝。</w:t>
      </w:r>
    </w:p>
    <w:p w14:paraId="42EE6370">
      <w:pPr>
        <w:pStyle w:val="2"/>
        <w:spacing w:before="93" w:line="306" w:lineRule="auto"/>
        <w:ind w:left="9" w:right="109" w:firstLine="630"/>
        <w:rPr>
          <w:rFonts w:hint="default"/>
          <w:sz w:val="32"/>
          <w:szCs w:val="32"/>
          <w:lang w:val="en-US" w:eastAsia="zh-CN"/>
        </w:rPr>
      </w:pPr>
      <w:r>
        <w:rPr>
          <w:rFonts w:hint="eastAsia"/>
          <w:sz w:val="32"/>
          <w:szCs w:val="32"/>
          <w:lang w:val="en-US" w:eastAsia="zh-CN"/>
        </w:rPr>
        <w:t>（3）财务岗位设置：渠县东安镇人民政府设有出纳一名、会计一名，两个岗位互相分离、互相制约。</w:t>
      </w:r>
    </w:p>
    <w:p w14:paraId="5BE59E7A">
      <w:pPr>
        <w:pStyle w:val="2"/>
        <w:spacing w:before="93" w:line="306" w:lineRule="auto"/>
        <w:ind w:left="9" w:right="109" w:firstLine="630"/>
        <w:rPr>
          <w:rFonts w:hint="eastAsia"/>
          <w:sz w:val="32"/>
          <w:szCs w:val="32"/>
          <w:lang w:val="en-US" w:eastAsia="zh-CN"/>
        </w:rPr>
      </w:pPr>
      <w:r>
        <w:rPr>
          <w:rFonts w:hint="eastAsia"/>
          <w:sz w:val="32"/>
          <w:szCs w:val="32"/>
          <w:lang w:val="en-US" w:eastAsia="zh-CN"/>
        </w:rPr>
        <w:t>（4）资金使用规范：</w:t>
      </w:r>
    </w:p>
    <w:p w14:paraId="34ED2D41">
      <w:pPr>
        <w:pStyle w:val="2"/>
        <w:spacing w:before="93" w:line="306" w:lineRule="auto"/>
        <w:ind w:left="9" w:right="109" w:firstLine="630"/>
        <w:rPr>
          <w:rFonts w:hint="eastAsia"/>
          <w:sz w:val="32"/>
          <w:szCs w:val="32"/>
          <w:lang w:val="en-US" w:eastAsia="zh-CN"/>
        </w:rPr>
      </w:pPr>
      <w:r>
        <w:rPr>
          <w:rFonts w:hint="eastAsia"/>
          <w:sz w:val="32"/>
          <w:szCs w:val="32"/>
          <w:lang w:val="en-US" w:eastAsia="zh-CN"/>
        </w:rPr>
        <w:t>1.</w:t>
      </w:r>
      <w:r>
        <w:rPr>
          <w:rFonts w:hint="default"/>
          <w:sz w:val="32"/>
          <w:szCs w:val="32"/>
          <w:lang w:val="en-US" w:eastAsia="zh-CN"/>
        </w:rPr>
        <w:t>认真按照上级部门的统一部署，统一思想认识，强化资金使用绩效，狠抓责任落实，保证资金按时到位，专款专用。</w:t>
      </w:r>
    </w:p>
    <w:p w14:paraId="625493A7">
      <w:pPr>
        <w:pStyle w:val="2"/>
        <w:spacing w:before="93" w:line="306" w:lineRule="auto"/>
        <w:ind w:left="9" w:right="109" w:firstLine="630"/>
        <w:rPr>
          <w:rFonts w:hint="eastAsia"/>
          <w:sz w:val="32"/>
          <w:szCs w:val="32"/>
          <w:lang w:val="en-US" w:eastAsia="zh-CN"/>
        </w:rPr>
      </w:pPr>
      <w:r>
        <w:rPr>
          <w:rFonts w:hint="default"/>
          <w:sz w:val="32"/>
          <w:szCs w:val="32"/>
          <w:lang w:val="en-US" w:eastAsia="zh-CN"/>
        </w:rPr>
        <w:t>2.全面推行信息公开、公告、公示制度，确保资金的使用公正透明，确保项目实施达到预期的经济效益、社会效益</w:t>
      </w:r>
      <w:r>
        <w:rPr>
          <w:rFonts w:hint="eastAsia"/>
          <w:sz w:val="32"/>
          <w:szCs w:val="32"/>
          <w:lang w:val="en-US" w:eastAsia="zh-CN"/>
        </w:rPr>
        <w:t>。</w:t>
      </w:r>
    </w:p>
    <w:p w14:paraId="5A8C6264">
      <w:pPr>
        <w:pStyle w:val="2"/>
        <w:spacing w:before="93" w:line="306" w:lineRule="auto"/>
        <w:ind w:left="9" w:right="109" w:firstLine="630"/>
        <w:rPr>
          <w:sz w:val="32"/>
          <w:szCs w:val="32"/>
        </w:rPr>
      </w:pPr>
      <w:r>
        <w:rPr>
          <w:rFonts w:hint="default"/>
          <w:sz w:val="32"/>
          <w:szCs w:val="32"/>
          <w:lang w:val="en-US" w:eastAsia="zh-CN"/>
        </w:rPr>
        <w:t>3.项目资金支付形式，严格按照项目资金管理办法对资金进行计划申请、使用，及时、规范对收支进行账务处理和会计核算。</w:t>
      </w:r>
    </w:p>
    <w:p w14:paraId="4845791D">
      <w:pPr>
        <w:pStyle w:val="2"/>
        <w:spacing w:before="89" w:line="306" w:lineRule="auto"/>
        <w:ind w:left="9" w:right="86" w:firstLine="629"/>
        <w:rPr>
          <w:rFonts w:ascii="楷体" w:hAnsi="楷体" w:eastAsia="楷体" w:cs="楷体"/>
          <w:spacing w:val="-6"/>
          <w:sz w:val="32"/>
          <w:szCs w:val="32"/>
        </w:rPr>
      </w:pPr>
      <w:r>
        <w:rPr>
          <w:rFonts w:ascii="宋体" w:hAnsi="宋体" w:eastAsia="宋体" w:cs="宋体"/>
          <w:spacing w:val="-6"/>
          <w:sz w:val="32"/>
          <w:szCs w:val="32"/>
        </w:rPr>
        <w:t>4.</w:t>
      </w:r>
      <w:r>
        <w:rPr>
          <w:rFonts w:ascii="楷体" w:hAnsi="楷体" w:eastAsia="楷体" w:cs="楷体"/>
          <w:spacing w:val="-6"/>
          <w:sz w:val="32"/>
          <w:szCs w:val="32"/>
        </w:rPr>
        <w:t>资产管理。</w:t>
      </w:r>
    </w:p>
    <w:p w14:paraId="2DBED6B9">
      <w:pPr>
        <w:pStyle w:val="2"/>
        <w:spacing w:before="89" w:line="306" w:lineRule="auto"/>
        <w:ind w:left="9" w:right="86" w:firstLine="629"/>
        <w:rPr>
          <w:sz w:val="32"/>
          <w:szCs w:val="32"/>
        </w:rPr>
      </w:pPr>
      <w:r>
        <w:rPr>
          <w:rFonts w:hint="eastAsia" w:ascii="仿宋_GB2312" w:hAnsi="仿宋_GB2312" w:eastAsia="仿宋_GB2312" w:cs="仿宋_GB2312"/>
          <w:kern w:val="0"/>
          <w:sz w:val="32"/>
          <w:szCs w:val="32"/>
          <w:lang w:val="en-US" w:eastAsia="zh-CN" w:bidi="ar"/>
        </w:rPr>
        <w:t>2024年</w:t>
      </w:r>
      <w:r>
        <w:rPr>
          <w:rFonts w:hint="eastAsia" w:ascii="仿宋_GB2312" w:hAnsi="仿宋_GB2312" w:cs="仿宋_GB2312"/>
          <w:kern w:val="0"/>
          <w:sz w:val="32"/>
          <w:szCs w:val="32"/>
          <w:lang w:val="en-US" w:eastAsia="zh-CN" w:bidi="ar"/>
        </w:rPr>
        <w:t>渠县东安镇人民政府</w:t>
      </w:r>
      <w:r>
        <w:rPr>
          <w:rFonts w:hint="eastAsia" w:ascii="仿宋_GB2312" w:hAnsi="仿宋_GB2312" w:eastAsia="仿宋_GB2312" w:cs="仿宋_GB2312"/>
          <w:kern w:val="0"/>
          <w:sz w:val="32"/>
          <w:szCs w:val="32"/>
          <w:lang w:val="en-US" w:eastAsia="zh-CN" w:bidi="ar"/>
        </w:rPr>
        <w:t>按照“严控增量，盘活存量”的原则，全面深化资产集约化、规范化管理</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同时，扎实开展资产清查、盘点、房产确权登记等日常资产管理工作，确保账实相符、账账相符。</w:t>
      </w:r>
    </w:p>
    <w:p w14:paraId="136FEE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12" w:firstLineChars="200"/>
        <w:contextualSpacing/>
        <w:jc w:val="left"/>
        <w:textAlignment w:val="auto"/>
        <w:outlineLvl w:val="9"/>
        <w:rPr>
          <w:spacing w:val="-7"/>
          <w:sz w:val="32"/>
          <w:szCs w:val="32"/>
        </w:rPr>
      </w:pPr>
      <w:r>
        <w:rPr>
          <w:rFonts w:ascii="楷体" w:hAnsi="楷体" w:eastAsia="楷体" w:cs="楷体"/>
          <w:spacing w:val="-7"/>
          <w:sz w:val="32"/>
          <w:szCs w:val="32"/>
        </w:rPr>
        <w:t>5.采购管理</w:t>
      </w:r>
      <w:r>
        <w:rPr>
          <w:spacing w:val="-7"/>
          <w:sz w:val="32"/>
          <w:szCs w:val="32"/>
        </w:rPr>
        <w:t>。</w:t>
      </w:r>
    </w:p>
    <w:p w14:paraId="580BAE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kern w:val="0"/>
          <w:sz w:val="32"/>
          <w:szCs w:val="32"/>
          <w:lang w:val="zh-CN" w:eastAsia="zh-CN" w:bidi="ar"/>
        </w:rPr>
      </w:pPr>
      <w:r>
        <w:rPr>
          <w:rFonts w:hint="eastAsia" w:ascii="仿宋_GB2312" w:hAnsi="仿宋_GB2312" w:eastAsia="仿宋_GB2312" w:cs="仿宋_GB2312"/>
          <w:kern w:val="0"/>
          <w:sz w:val="32"/>
          <w:szCs w:val="32"/>
          <w:lang w:val="en-US" w:eastAsia="zh-CN" w:bidi="ar"/>
        </w:rPr>
        <w:t>渠县东安镇人民政府</w:t>
      </w:r>
      <w:r>
        <w:rPr>
          <w:rFonts w:hint="eastAsia" w:ascii="仿宋_GB2312" w:hAnsi="仿宋_GB2312" w:eastAsia="仿宋_GB2312" w:cs="仿宋_GB2312"/>
          <w:kern w:val="0"/>
          <w:sz w:val="32"/>
          <w:szCs w:val="32"/>
          <w:lang w:val="zh-CN" w:eastAsia="zh-CN" w:bidi="ar"/>
        </w:rPr>
        <w:t>严格按照政府采购相关规定以及预算批复开展政府采购，及时公开项目采购意向，进一步加大中小企业采购份额，并做好合同备案及信息公开工作。</w:t>
      </w:r>
    </w:p>
    <w:p w14:paraId="67593475">
      <w:pPr>
        <w:pStyle w:val="2"/>
        <w:spacing w:before="96" w:line="302" w:lineRule="auto"/>
        <w:ind w:left="9" w:right="109" w:firstLine="629"/>
        <w:rPr>
          <w:sz w:val="32"/>
          <w:szCs w:val="32"/>
        </w:rPr>
      </w:pPr>
      <w:r>
        <w:rPr>
          <w:rFonts w:hint="eastAsia" w:ascii="仿宋_GB2312" w:hAnsi="仿宋_GB2312" w:cs="仿宋_GB2312"/>
          <w:kern w:val="0"/>
          <w:sz w:val="32"/>
          <w:szCs w:val="32"/>
          <w:lang w:val="en-US" w:eastAsia="zh-CN" w:bidi="ar"/>
        </w:rPr>
        <w:t>2024年渠县东安镇人民政府无政府采购项目。</w:t>
      </w:r>
    </w:p>
    <w:p w14:paraId="3DE1E679">
      <w:pPr>
        <w:pStyle w:val="2"/>
        <w:spacing w:before="116" w:line="323" w:lineRule="auto"/>
        <w:ind w:left="9" w:firstLine="810"/>
        <w:jc w:val="both"/>
        <w:rPr>
          <w:sz w:val="32"/>
          <w:szCs w:val="32"/>
        </w:rPr>
      </w:pPr>
      <w:r>
        <w:rPr>
          <w:rFonts w:ascii="楷体" w:hAnsi="楷体" w:eastAsia="楷体" w:cs="楷体"/>
          <w:sz w:val="32"/>
          <w:szCs w:val="32"/>
        </w:rPr>
        <w:t>(二)部门预算项目绩效分析。</w:t>
      </w:r>
    </w:p>
    <w:p w14:paraId="621271E3">
      <w:pPr>
        <w:pStyle w:val="2"/>
        <w:spacing w:before="54" w:line="319" w:lineRule="auto"/>
        <w:ind w:left="9" w:right="86" w:firstLine="630"/>
        <w:jc w:val="both"/>
        <w:rPr>
          <w:sz w:val="32"/>
          <w:szCs w:val="32"/>
        </w:rPr>
      </w:pPr>
      <w:r>
        <w:rPr>
          <w:spacing w:val="3"/>
          <w:sz w:val="32"/>
          <w:szCs w:val="32"/>
        </w:rPr>
        <w:t>常年项目绩效分析。该类项目总数</w:t>
      </w:r>
      <w:r>
        <w:rPr>
          <w:rFonts w:hint="eastAsia"/>
          <w:spacing w:val="3"/>
          <w:sz w:val="32"/>
          <w:szCs w:val="32"/>
          <w:lang w:val="en-US" w:eastAsia="zh-CN"/>
        </w:rPr>
        <w:t>17</w:t>
      </w:r>
      <w:r>
        <w:rPr>
          <w:spacing w:val="3"/>
          <w:sz w:val="32"/>
          <w:szCs w:val="32"/>
        </w:rPr>
        <w:t>个，</w:t>
      </w:r>
      <w:r>
        <w:rPr>
          <w:spacing w:val="2"/>
          <w:sz w:val="32"/>
          <w:szCs w:val="32"/>
        </w:rPr>
        <w:t>涉及预算总金额</w:t>
      </w:r>
      <w:r>
        <w:rPr>
          <w:rFonts w:hint="eastAsia"/>
          <w:spacing w:val="2"/>
          <w:sz w:val="32"/>
          <w:szCs w:val="32"/>
          <w:lang w:val="en-US" w:eastAsia="zh-CN"/>
        </w:rPr>
        <w:t>345.86</w:t>
      </w:r>
      <w:r>
        <w:rPr>
          <w:spacing w:val="11"/>
          <w:sz w:val="32"/>
          <w:szCs w:val="32"/>
        </w:rPr>
        <w:t>万元，1—12月预算执行总体进度为</w:t>
      </w:r>
      <w:r>
        <w:rPr>
          <w:rFonts w:hint="eastAsia"/>
          <w:spacing w:val="11"/>
          <w:sz w:val="32"/>
          <w:szCs w:val="32"/>
          <w:lang w:val="en-US" w:eastAsia="zh-CN"/>
        </w:rPr>
        <w:t>100</w:t>
      </w:r>
      <w:r>
        <w:rPr>
          <w:spacing w:val="11"/>
          <w:sz w:val="32"/>
          <w:szCs w:val="32"/>
        </w:rPr>
        <w:t>%,其</w:t>
      </w:r>
      <w:r>
        <w:rPr>
          <w:spacing w:val="10"/>
          <w:sz w:val="32"/>
          <w:szCs w:val="32"/>
        </w:rPr>
        <w:t>中：预算结余率大</w:t>
      </w:r>
      <w:r>
        <w:rPr>
          <w:spacing w:val="11"/>
          <w:sz w:val="32"/>
          <w:szCs w:val="32"/>
        </w:rPr>
        <w:t>于10%的项目共计</w:t>
      </w:r>
      <w:r>
        <w:rPr>
          <w:rFonts w:hint="eastAsia"/>
          <w:spacing w:val="57"/>
          <w:sz w:val="32"/>
          <w:szCs w:val="32"/>
          <w:lang w:val="en-US" w:eastAsia="zh-CN"/>
        </w:rPr>
        <w:t>0</w:t>
      </w:r>
      <w:r>
        <w:rPr>
          <w:spacing w:val="11"/>
          <w:sz w:val="32"/>
          <w:szCs w:val="32"/>
        </w:rPr>
        <w:t>个。</w:t>
      </w:r>
    </w:p>
    <w:p w14:paraId="3AB415A7">
      <w:pPr>
        <w:pStyle w:val="2"/>
        <w:spacing w:before="74" w:line="320" w:lineRule="auto"/>
        <w:ind w:left="9" w:right="20" w:firstLine="630"/>
        <w:jc w:val="both"/>
        <w:rPr>
          <w:sz w:val="32"/>
          <w:szCs w:val="32"/>
        </w:rPr>
      </w:pPr>
      <w:r>
        <w:rPr>
          <w:spacing w:val="12"/>
          <w:sz w:val="32"/>
          <w:szCs w:val="32"/>
        </w:rPr>
        <w:t>阶段(一次性)项目绩效分析。该类项目总数</w:t>
      </w:r>
      <w:r>
        <w:rPr>
          <w:rFonts w:hint="eastAsia"/>
          <w:spacing w:val="52"/>
          <w:sz w:val="32"/>
          <w:szCs w:val="32"/>
          <w:lang w:val="en-US" w:eastAsia="zh-CN"/>
        </w:rPr>
        <w:t>13</w:t>
      </w:r>
      <w:r>
        <w:rPr>
          <w:spacing w:val="12"/>
          <w:sz w:val="32"/>
          <w:szCs w:val="32"/>
        </w:rPr>
        <w:t>个，涉及</w:t>
      </w:r>
      <w:r>
        <w:rPr>
          <w:sz w:val="32"/>
          <w:szCs w:val="32"/>
        </w:rPr>
        <w:t xml:space="preserve">  </w:t>
      </w:r>
      <w:r>
        <w:rPr>
          <w:spacing w:val="6"/>
          <w:sz w:val="32"/>
          <w:szCs w:val="32"/>
        </w:rPr>
        <w:t>预算总金额</w:t>
      </w:r>
      <w:r>
        <w:rPr>
          <w:rFonts w:hint="eastAsia"/>
          <w:spacing w:val="74"/>
          <w:sz w:val="32"/>
          <w:szCs w:val="32"/>
          <w:lang w:val="en-US" w:eastAsia="zh-CN"/>
        </w:rPr>
        <w:t>237.05</w:t>
      </w:r>
      <w:r>
        <w:rPr>
          <w:spacing w:val="6"/>
          <w:sz w:val="32"/>
          <w:szCs w:val="32"/>
        </w:rPr>
        <w:t>万元，1—12月预算执行总体进度为</w:t>
      </w:r>
      <w:r>
        <w:rPr>
          <w:rFonts w:hint="eastAsia"/>
          <w:spacing w:val="41"/>
          <w:sz w:val="32"/>
          <w:szCs w:val="32"/>
          <w:lang w:val="en-US" w:eastAsia="zh-CN"/>
        </w:rPr>
        <w:t>100</w:t>
      </w:r>
      <w:r>
        <w:rPr>
          <w:spacing w:val="6"/>
          <w:sz w:val="32"/>
          <w:szCs w:val="32"/>
        </w:rPr>
        <w:t>%</w:t>
      </w:r>
      <w:r>
        <w:rPr>
          <w:spacing w:val="5"/>
          <w:sz w:val="32"/>
          <w:szCs w:val="32"/>
        </w:rPr>
        <w:t>,其中：</w:t>
      </w:r>
      <w:r>
        <w:rPr>
          <w:spacing w:val="11"/>
          <w:sz w:val="32"/>
          <w:szCs w:val="32"/>
        </w:rPr>
        <w:t>预算结余率大于10%的项目共计</w:t>
      </w:r>
      <w:r>
        <w:rPr>
          <w:rFonts w:hint="eastAsia"/>
          <w:spacing w:val="39"/>
          <w:sz w:val="32"/>
          <w:szCs w:val="32"/>
          <w:lang w:val="en-US" w:eastAsia="zh-CN"/>
        </w:rPr>
        <w:t>0</w:t>
      </w:r>
      <w:r>
        <w:rPr>
          <w:spacing w:val="11"/>
          <w:sz w:val="32"/>
          <w:szCs w:val="32"/>
        </w:rPr>
        <w:t>个。</w:t>
      </w:r>
    </w:p>
    <w:p w14:paraId="0CB7AF61">
      <w:pPr>
        <w:keepNext w:val="0"/>
        <w:keepLines w:val="0"/>
        <w:pageBreakBefore w:val="0"/>
        <w:widowControl/>
        <w:kinsoku w:val="0"/>
        <w:wordWrap/>
        <w:overflowPunct/>
        <w:topLinePunct w:val="0"/>
        <w:autoSpaceDE w:val="0"/>
        <w:autoSpaceDN w:val="0"/>
        <w:bidi w:val="0"/>
        <w:adjustRightInd w:val="0"/>
        <w:snapToGrid w:val="0"/>
        <w:spacing w:line="252" w:lineRule="auto"/>
        <w:ind w:firstLine="620" w:firstLineChars="200"/>
        <w:textAlignment w:val="baseline"/>
        <w:rPr>
          <w:rFonts w:ascii="楷体" w:hAnsi="楷体" w:eastAsia="楷体" w:cs="楷体"/>
          <w:spacing w:val="-5"/>
          <w:sz w:val="32"/>
          <w:szCs w:val="32"/>
        </w:rPr>
      </w:pPr>
      <w:r>
        <w:rPr>
          <w:rFonts w:ascii="宋体" w:hAnsi="宋体" w:eastAsia="宋体" w:cs="宋体"/>
          <w:spacing w:val="-5"/>
          <w:sz w:val="32"/>
          <w:szCs w:val="32"/>
        </w:rPr>
        <w:t>1.</w:t>
      </w:r>
      <w:r>
        <w:rPr>
          <w:rFonts w:ascii="楷体" w:hAnsi="楷体" w:eastAsia="楷体" w:cs="楷体"/>
          <w:spacing w:val="-5"/>
          <w:sz w:val="32"/>
          <w:szCs w:val="32"/>
        </w:rPr>
        <w:t>项目决策。</w:t>
      </w:r>
    </w:p>
    <w:p w14:paraId="798C9E9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项目立项:立项依据充分性：项目立项符合法律法规、相关政策、发展规划以及部门职责，用以反映和考核项目立项依据情况；立项程序规范性：项目申请、设立过程符合相关要求，用以反映和考核项目立项的规范情况。</w:t>
      </w:r>
    </w:p>
    <w:p w14:paraId="3870CE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（2）前期工作：前期工作准备充分性</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各项前期工作按要求在计划的时间内完成；前期工作开展规范性：前期工作符合政府采购、招标投标的相关规定和程序，相关材料完整。</w:t>
      </w:r>
    </w:p>
    <w:p w14:paraId="753F3D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绩效目标：绩效目标合理性：项目所设定的绩效目标依据充分，符合客观实际，用以反映和考核项目绩效目标与项目实施的相符情况；绩效指标明确性：依据绩效目标设定的绩效指标清晰、细化、可衡量，用以反映和考核项目绩效目标的明细化。</w:t>
      </w:r>
    </w:p>
    <w:p w14:paraId="61F2AC7C">
      <w:pPr>
        <w:keepNext w:val="0"/>
        <w:keepLines w:val="0"/>
        <w:pageBreakBefore w:val="0"/>
        <w:widowControl/>
        <w:kinsoku w:val="0"/>
        <w:wordWrap/>
        <w:overflowPunct/>
        <w:topLinePunct w:val="0"/>
        <w:autoSpaceDE w:val="0"/>
        <w:autoSpaceDN w:val="0"/>
        <w:bidi w:val="0"/>
        <w:adjustRightInd w:val="0"/>
        <w:snapToGrid w:val="0"/>
        <w:spacing w:line="252" w:lineRule="auto"/>
        <w:ind w:firstLine="640" w:firstLineChars="200"/>
        <w:textAlignment w:val="baseline"/>
        <w:rPr>
          <w:rFonts w:ascii="Arial"/>
          <w:sz w:val="21"/>
        </w:rPr>
      </w:pPr>
      <w:r>
        <w:rPr>
          <w:rFonts w:hint="eastAsia" w:ascii="仿宋_GB2312" w:hAnsi="仿宋_GB2312" w:eastAsia="仿宋_GB2312" w:cs="仿宋_GB2312"/>
          <w:kern w:val="0"/>
          <w:sz w:val="32"/>
          <w:szCs w:val="32"/>
          <w:lang w:val="en-US" w:eastAsia="zh-CN" w:bidi="ar"/>
        </w:rPr>
        <w:t>（4）资金投入：项目投资计划科学性：项目预算编制经过科学论证、有明确标准，资金额度与年度目标相适应，用以反映和考核项目预算编制的科学性、合理性情况；资金安排合理性：项目预算资金分配依据测算依据，与实际情况相适应，用以反映和考核项目预算资金分配的科学性、合理性。</w:t>
      </w:r>
    </w:p>
    <w:p w14:paraId="550B9920">
      <w:pPr>
        <w:pStyle w:val="2"/>
        <w:spacing w:before="104" w:line="312" w:lineRule="auto"/>
        <w:ind w:right="133" w:firstLine="630"/>
        <w:rPr>
          <w:rFonts w:ascii="楷体" w:hAnsi="楷体" w:eastAsia="楷体" w:cs="楷体"/>
          <w:spacing w:val="-5"/>
          <w:sz w:val="32"/>
          <w:szCs w:val="32"/>
        </w:rPr>
      </w:pPr>
      <w:r>
        <w:rPr>
          <w:rFonts w:ascii="楷体" w:hAnsi="楷体" w:eastAsia="楷体" w:cs="楷体"/>
          <w:spacing w:val="-5"/>
          <w:sz w:val="32"/>
          <w:szCs w:val="32"/>
        </w:rPr>
        <w:t>2.项目执行</w:t>
      </w:r>
      <w:r>
        <w:rPr>
          <w:rFonts w:hint="eastAsia" w:ascii="楷体" w:hAnsi="楷体" w:eastAsia="楷体" w:cs="楷体"/>
          <w:spacing w:val="-5"/>
          <w:sz w:val="32"/>
          <w:szCs w:val="32"/>
          <w:lang w:val="en-US" w:eastAsia="zh-CN"/>
        </w:rPr>
        <w:t>组织实施</w:t>
      </w:r>
      <w:r>
        <w:rPr>
          <w:rFonts w:ascii="楷体" w:hAnsi="楷体" w:eastAsia="楷体" w:cs="楷体"/>
          <w:spacing w:val="-5"/>
          <w:sz w:val="32"/>
          <w:szCs w:val="32"/>
        </w:rPr>
        <w:t>。</w:t>
      </w:r>
    </w:p>
    <w:p w14:paraId="60168B4C">
      <w:pPr>
        <w:pStyle w:val="2"/>
        <w:spacing w:before="104" w:line="312" w:lineRule="auto"/>
        <w:ind w:right="133" w:firstLine="630"/>
        <w:rPr>
          <w:rFonts w:hint="eastAsia" w:eastAsia="仿宋"/>
          <w:sz w:val="32"/>
          <w:szCs w:val="32"/>
          <w:lang w:eastAsia="zh-CN"/>
        </w:rPr>
      </w:pPr>
      <w:r>
        <w:rPr>
          <w:rFonts w:hint="eastAsia" w:ascii="仿宋_GB2312" w:hAnsi="仿宋_GB2312" w:eastAsia="仿宋_GB2312" w:cs="仿宋_GB2312"/>
          <w:kern w:val="0"/>
          <w:sz w:val="32"/>
          <w:szCs w:val="32"/>
          <w:lang w:val="en-US" w:eastAsia="zh-CN" w:bidi="ar"/>
        </w:rPr>
        <w:t>管理制度健全性：项目实施单位的财务和业务管理制度健全，用以反映和考核财务和业务管理制度对项目顺利实施的保障情况；制度执行有效性：项目实施符合相关管理规定，用以反映和考核相关管理制度的有效执行情况。</w:t>
      </w:r>
    </w:p>
    <w:p w14:paraId="1350C5DD">
      <w:pPr>
        <w:pStyle w:val="2"/>
        <w:spacing w:before="60" w:line="328" w:lineRule="auto"/>
        <w:ind w:right="87" w:firstLine="699"/>
        <w:jc w:val="both"/>
        <w:rPr>
          <w:rFonts w:ascii="楷体" w:hAnsi="楷体" w:eastAsia="楷体" w:cs="楷体"/>
          <w:spacing w:val="-8"/>
          <w:sz w:val="32"/>
          <w:szCs w:val="32"/>
        </w:rPr>
      </w:pPr>
      <w:r>
        <w:rPr>
          <w:rFonts w:ascii="楷体" w:hAnsi="楷体" w:eastAsia="楷体" w:cs="楷体"/>
          <w:spacing w:val="-8"/>
          <w:sz w:val="32"/>
          <w:szCs w:val="32"/>
        </w:rPr>
        <w:t>3.</w:t>
      </w:r>
      <w:r>
        <w:rPr>
          <w:rFonts w:ascii="楷体" w:hAnsi="楷体" w:eastAsia="楷体" w:cs="楷体"/>
          <w:spacing w:val="-59"/>
          <w:sz w:val="32"/>
          <w:szCs w:val="32"/>
        </w:rPr>
        <w:t xml:space="preserve"> </w:t>
      </w:r>
      <w:r>
        <w:rPr>
          <w:rFonts w:ascii="楷体" w:hAnsi="楷体" w:eastAsia="楷体" w:cs="楷体"/>
          <w:spacing w:val="-8"/>
          <w:sz w:val="32"/>
          <w:szCs w:val="32"/>
        </w:rPr>
        <w:t>目标实现。</w:t>
      </w:r>
    </w:p>
    <w:p w14:paraId="4D5AE2DE">
      <w:pPr>
        <w:pStyle w:val="2"/>
        <w:spacing w:before="60" w:line="328" w:lineRule="auto"/>
        <w:ind w:right="87" w:firstLine="699"/>
        <w:jc w:val="both"/>
        <w:rPr>
          <w:sz w:val="32"/>
          <w:szCs w:val="32"/>
        </w:rPr>
      </w:pPr>
      <w:r>
        <w:rPr>
          <w:rFonts w:hint="eastAsia" w:ascii="仿宋_GB2312" w:hAnsi="仿宋_GB2312" w:eastAsia="仿宋_GB2312" w:cs="仿宋_GB2312"/>
          <w:b w:val="0"/>
          <w:kern w:val="0"/>
          <w:sz w:val="32"/>
          <w:szCs w:val="32"/>
          <w:lang w:val="en-US" w:eastAsia="zh-CN" w:bidi="ar"/>
        </w:rPr>
        <w:t>2024年渠县东安镇人民政府紧紧围绕年初制定的各项工作计划，切实加强组织领导，落实工作责任，全面完成了各项目标任务。</w:t>
      </w:r>
    </w:p>
    <w:p w14:paraId="1AA5CDA7">
      <w:pPr>
        <w:pStyle w:val="2"/>
        <w:spacing w:before="70" w:line="306" w:lineRule="auto"/>
        <w:ind w:right="127" w:firstLine="840"/>
        <w:rPr>
          <w:spacing w:val="11"/>
          <w:sz w:val="32"/>
          <w:szCs w:val="32"/>
        </w:rPr>
      </w:pPr>
      <w:r>
        <w:rPr>
          <w:rFonts w:ascii="楷体" w:hAnsi="楷体" w:eastAsia="楷体" w:cs="楷体"/>
          <w:spacing w:val="11"/>
          <w:sz w:val="32"/>
          <w:szCs w:val="32"/>
        </w:rPr>
        <w:t>(三)重点领域绩效分析</w:t>
      </w:r>
      <w:r>
        <w:rPr>
          <w:spacing w:val="11"/>
          <w:sz w:val="32"/>
          <w:szCs w:val="32"/>
        </w:rPr>
        <w:t>。</w:t>
      </w:r>
    </w:p>
    <w:p w14:paraId="46989D5A">
      <w:pPr>
        <w:pStyle w:val="2"/>
        <w:spacing w:before="70" w:line="306" w:lineRule="auto"/>
        <w:ind w:right="127" w:firstLine="840"/>
        <w:rPr>
          <w:rFonts w:hint="eastAsia" w:eastAsia="仿宋"/>
          <w:spacing w:val="11"/>
          <w:sz w:val="32"/>
          <w:szCs w:val="32"/>
          <w:lang w:val="en-US" w:eastAsia="zh-CN"/>
        </w:rPr>
      </w:pPr>
      <w:r>
        <w:rPr>
          <w:rFonts w:hint="eastAsia"/>
          <w:spacing w:val="11"/>
          <w:sz w:val="32"/>
          <w:szCs w:val="32"/>
          <w:lang w:val="en-US" w:eastAsia="zh-CN"/>
        </w:rPr>
        <w:t>无。</w:t>
      </w:r>
    </w:p>
    <w:p w14:paraId="2CD09893">
      <w:pPr>
        <w:pStyle w:val="2"/>
        <w:spacing w:before="226" w:line="283" w:lineRule="auto"/>
        <w:ind w:right="90" w:firstLine="840"/>
        <w:rPr>
          <w:rFonts w:ascii="楷体" w:hAnsi="楷体" w:eastAsia="楷体" w:cs="楷体"/>
          <w:sz w:val="32"/>
          <w:szCs w:val="32"/>
        </w:rPr>
      </w:pPr>
      <w:r>
        <w:rPr>
          <w:rFonts w:ascii="楷体" w:hAnsi="楷体" w:eastAsia="楷体" w:cs="楷体"/>
          <w:sz w:val="32"/>
          <w:szCs w:val="32"/>
        </w:rPr>
        <w:t>(四)绩效结果应用情况。</w:t>
      </w:r>
    </w:p>
    <w:p w14:paraId="4A802908">
      <w:pPr>
        <w:pStyle w:val="2"/>
        <w:spacing w:before="226" w:line="283" w:lineRule="auto"/>
        <w:ind w:right="90" w:firstLine="840"/>
        <w:rPr>
          <w:rFonts w:hint="eastAsia" w:eastAsia="仿宋"/>
          <w:sz w:val="32"/>
          <w:szCs w:val="32"/>
          <w:lang w:eastAsia="zh-CN"/>
        </w:rPr>
      </w:pPr>
      <w:r>
        <w:rPr>
          <w:rFonts w:hint="default" w:ascii="仿宋_GB2312" w:hAnsi="仿宋_GB2312" w:eastAsia="仿宋_GB2312" w:cs="仿宋_GB2312"/>
          <w:b w:val="0"/>
          <w:kern w:val="0"/>
          <w:sz w:val="32"/>
          <w:szCs w:val="32"/>
          <w:lang w:val="en-US" w:eastAsia="zh-CN" w:bidi="ar"/>
        </w:rPr>
        <w:t>通过整体支出及项目支出绩效自评，找出了预算编制、预算管理、预算执行、绩效指标体系等方面存在的问题，</w:t>
      </w:r>
      <w:r>
        <w:rPr>
          <w:rFonts w:hint="eastAsia" w:ascii="仿宋_GB2312" w:hAnsi="仿宋_GB2312" w:eastAsia="仿宋_GB2312" w:cs="仿宋_GB2312"/>
          <w:b w:val="0"/>
          <w:kern w:val="0"/>
          <w:sz w:val="32"/>
          <w:szCs w:val="32"/>
          <w:lang w:val="en-US" w:eastAsia="zh-CN" w:bidi="ar"/>
        </w:rPr>
        <w:t>渠县东安镇人民政府</w:t>
      </w:r>
      <w:r>
        <w:rPr>
          <w:rFonts w:hint="default" w:ascii="仿宋_GB2312" w:hAnsi="仿宋_GB2312" w:eastAsia="仿宋_GB2312" w:cs="仿宋_GB2312"/>
          <w:b w:val="0"/>
          <w:kern w:val="0"/>
          <w:sz w:val="32"/>
          <w:szCs w:val="32"/>
          <w:lang w:val="en-US" w:eastAsia="zh-CN" w:bidi="ar"/>
        </w:rPr>
        <w:t>将进一步加强预算管理，合理安排预算执行进度，提高预算资金使用效率；加强内部绩效体系建设，强化绩效引领，优化项目库建设，推进预算执行和绩效运行双监控，进一步完善全面实施预算绩效管理制度，坚决执行项目等资金，资金跟着项目走，项目紧盯绩效目标任务走的财政刚性政策。</w:t>
      </w:r>
    </w:p>
    <w:p w14:paraId="691A5437">
      <w:pPr>
        <w:spacing w:before="195" w:line="222" w:lineRule="auto"/>
        <w:ind w:left="694"/>
        <w:outlineLvl w:val="0"/>
        <w:rPr>
          <w:rFonts w:ascii="黑体" w:hAnsi="黑体" w:eastAsia="黑体" w:cs="黑体"/>
          <w:sz w:val="32"/>
          <w:szCs w:val="32"/>
        </w:rPr>
      </w:pPr>
      <w:r>
        <w:rPr>
          <w:rFonts w:ascii="黑体" w:hAnsi="黑体" w:eastAsia="黑体" w:cs="黑体"/>
          <w:b/>
          <w:bCs/>
          <w:spacing w:val="-16"/>
          <w:sz w:val="32"/>
          <w:szCs w:val="32"/>
        </w:rPr>
        <w:t>四</w:t>
      </w:r>
      <w:r>
        <w:rPr>
          <w:rFonts w:ascii="黑体" w:hAnsi="黑体" w:eastAsia="黑体" w:cs="黑体"/>
          <w:spacing w:val="-83"/>
          <w:sz w:val="32"/>
          <w:szCs w:val="32"/>
        </w:rPr>
        <w:t xml:space="preserve"> </w:t>
      </w:r>
      <w:r>
        <w:rPr>
          <w:rFonts w:ascii="黑体" w:hAnsi="黑体" w:eastAsia="黑体" w:cs="黑体"/>
          <w:b/>
          <w:bCs/>
          <w:spacing w:val="-16"/>
          <w:sz w:val="32"/>
          <w:szCs w:val="32"/>
        </w:rPr>
        <w:t>、评价结论及建议</w:t>
      </w:r>
    </w:p>
    <w:p w14:paraId="188F9E55">
      <w:pPr>
        <w:pStyle w:val="2"/>
        <w:spacing w:before="175" w:line="320" w:lineRule="auto"/>
        <w:ind w:right="118" w:firstLine="840"/>
        <w:rPr>
          <w:rFonts w:hint="eastAsia"/>
          <w:spacing w:val="-10"/>
          <w:sz w:val="32"/>
          <w:szCs w:val="32"/>
          <w:lang w:eastAsia="zh-CN"/>
        </w:rPr>
      </w:pPr>
      <w:r>
        <w:rPr>
          <w:rFonts w:ascii="楷体" w:hAnsi="楷体" w:eastAsia="楷体" w:cs="楷体"/>
          <w:spacing w:val="-5"/>
          <w:sz w:val="32"/>
          <w:szCs w:val="32"/>
        </w:rPr>
        <w:t>(一)评价结论。</w:t>
      </w:r>
    </w:p>
    <w:p w14:paraId="083C6D09">
      <w:pPr>
        <w:pStyle w:val="2"/>
        <w:spacing w:before="175" w:line="320" w:lineRule="auto"/>
        <w:ind w:right="118" w:firstLine="840"/>
        <w:rPr>
          <w:rFonts w:hint="default"/>
          <w:spacing w:val="-10"/>
          <w:sz w:val="32"/>
          <w:szCs w:val="32"/>
          <w:highlight w:val="none"/>
          <w:lang w:val="en-US" w:eastAsia="zh-CN"/>
        </w:rPr>
      </w:pPr>
      <w:r>
        <w:rPr>
          <w:rFonts w:hint="eastAsia" w:ascii="仿宋_GB2312" w:hAnsi="仿宋_GB2312" w:eastAsia="仿宋_GB2312" w:cs="仿宋_GB2312"/>
          <w:b w:val="0"/>
          <w:kern w:val="0"/>
          <w:sz w:val="32"/>
          <w:szCs w:val="32"/>
          <w:lang w:val="zh-CN" w:eastAsia="zh-CN" w:bidi="ar"/>
        </w:rPr>
        <w:t>2024年</w:t>
      </w:r>
      <w:r>
        <w:rPr>
          <w:rFonts w:hint="default" w:ascii="仿宋_GB2312" w:hAnsi="仿宋_GB2312" w:eastAsia="仿宋_GB2312" w:cs="仿宋_GB2312"/>
          <w:b w:val="0"/>
          <w:kern w:val="0"/>
          <w:sz w:val="32"/>
          <w:szCs w:val="32"/>
          <w:lang w:val="zh-CN" w:eastAsia="zh-CN" w:bidi="ar"/>
        </w:rPr>
        <w:t>，</w:t>
      </w:r>
      <w:r>
        <w:rPr>
          <w:rFonts w:hint="eastAsia" w:ascii="仿宋_GB2312" w:hAnsi="仿宋_GB2312" w:cs="仿宋_GB2312"/>
          <w:b w:val="0"/>
          <w:kern w:val="0"/>
          <w:sz w:val="32"/>
          <w:szCs w:val="32"/>
          <w:lang w:val="en-US" w:eastAsia="zh-CN" w:bidi="ar"/>
        </w:rPr>
        <w:t>渠县东安镇人民政府</w:t>
      </w:r>
      <w:r>
        <w:rPr>
          <w:rFonts w:hint="default" w:ascii="仿宋_GB2312" w:hAnsi="仿宋_GB2312" w:eastAsia="仿宋_GB2312" w:cs="仿宋_GB2312"/>
          <w:b w:val="0"/>
          <w:kern w:val="0"/>
          <w:sz w:val="32"/>
          <w:szCs w:val="32"/>
          <w:lang w:val="zh-CN" w:eastAsia="zh-CN" w:bidi="ar"/>
        </w:rPr>
        <w:t>坚决贯彻落实中央八项规定，厉行节约，严格遵守国家财经法律法规，所有经费实行“统一管理、集中支付、按权限审批”的模式，确保会计信息资料真实、完整、准确。</w:t>
      </w:r>
      <w:r>
        <w:rPr>
          <w:rFonts w:hint="eastAsia" w:ascii="仿宋_GB2312" w:hAnsi="仿宋_GB2312" w:eastAsia="仿宋_GB2312" w:cs="仿宋_GB2312"/>
          <w:b w:val="0"/>
          <w:kern w:val="0"/>
          <w:sz w:val="32"/>
          <w:szCs w:val="32"/>
          <w:lang w:val="en-US" w:eastAsia="zh-CN" w:bidi="ar"/>
        </w:rPr>
        <w:t>本单位</w:t>
      </w:r>
      <w:r>
        <w:rPr>
          <w:rFonts w:hint="default" w:ascii="仿宋_GB2312" w:hAnsi="仿宋_GB2312" w:eastAsia="仿宋_GB2312" w:cs="仿宋_GB2312"/>
          <w:b w:val="0"/>
          <w:kern w:val="0"/>
          <w:sz w:val="32"/>
          <w:szCs w:val="32"/>
          <w:lang w:val="zh-CN" w:eastAsia="zh-CN" w:bidi="ar"/>
        </w:rPr>
        <w:t>预决算信息，均按要求在门户网站上及时公开，保证公开数据的真实性、完整性。根据《部门</w:t>
      </w:r>
      <w:r>
        <w:rPr>
          <w:rFonts w:hint="eastAsia" w:ascii="仿宋_GB2312" w:hAnsi="仿宋_GB2312" w:cs="仿宋_GB2312"/>
          <w:b w:val="0"/>
          <w:kern w:val="0"/>
          <w:sz w:val="32"/>
          <w:szCs w:val="32"/>
          <w:lang w:val="en-US" w:eastAsia="zh-CN" w:bidi="ar"/>
        </w:rPr>
        <w:t>预算</w:t>
      </w:r>
      <w:r>
        <w:rPr>
          <w:rFonts w:hint="default" w:ascii="仿宋_GB2312" w:hAnsi="仿宋_GB2312" w:eastAsia="仿宋_GB2312" w:cs="仿宋_GB2312"/>
          <w:b w:val="0"/>
          <w:kern w:val="0"/>
          <w:sz w:val="32"/>
          <w:szCs w:val="32"/>
          <w:lang w:val="zh-CN" w:eastAsia="zh-CN" w:bidi="ar"/>
        </w:rPr>
        <w:t>绩效评价指标</w:t>
      </w:r>
      <w:r>
        <w:rPr>
          <w:rFonts w:hint="eastAsia" w:ascii="仿宋_GB2312" w:hAnsi="仿宋_GB2312" w:cs="仿宋_GB2312"/>
          <w:b w:val="0"/>
          <w:kern w:val="0"/>
          <w:sz w:val="32"/>
          <w:szCs w:val="32"/>
          <w:lang w:val="en-US" w:eastAsia="zh-CN" w:bidi="ar"/>
        </w:rPr>
        <w:t>体系表</w:t>
      </w:r>
      <w:r>
        <w:rPr>
          <w:rFonts w:hint="default" w:ascii="仿宋_GB2312" w:hAnsi="仿宋_GB2312" w:eastAsia="仿宋_GB2312" w:cs="仿宋_GB2312"/>
          <w:b w:val="0"/>
          <w:kern w:val="0"/>
          <w:sz w:val="32"/>
          <w:szCs w:val="32"/>
          <w:lang w:val="zh-CN" w:eastAsia="zh-CN" w:bidi="ar"/>
        </w:rPr>
        <w:t>》，逐项认真分析，准确计算，自评合计得分。本单位根据部门整体支出评价指标表作出的自评结果为9</w:t>
      </w:r>
      <w:r>
        <w:rPr>
          <w:rFonts w:hint="eastAsia" w:ascii="仿宋_GB2312" w:hAnsi="仿宋_GB2312" w:eastAsia="仿宋_GB2312" w:cs="仿宋_GB2312"/>
          <w:b w:val="0"/>
          <w:kern w:val="0"/>
          <w:sz w:val="32"/>
          <w:szCs w:val="32"/>
          <w:lang w:val="en-US" w:eastAsia="zh-CN" w:bidi="ar"/>
        </w:rPr>
        <w:t>1</w:t>
      </w:r>
      <w:r>
        <w:rPr>
          <w:rFonts w:hint="default" w:ascii="仿宋_GB2312" w:hAnsi="仿宋_GB2312" w:eastAsia="仿宋_GB2312" w:cs="仿宋_GB2312"/>
          <w:b w:val="0"/>
          <w:kern w:val="0"/>
          <w:sz w:val="32"/>
          <w:szCs w:val="32"/>
          <w:lang w:val="zh-CN" w:eastAsia="zh-CN" w:bidi="ar"/>
        </w:rPr>
        <w:t>分。</w:t>
      </w:r>
    </w:p>
    <w:p w14:paraId="37E4195B">
      <w:pPr>
        <w:pStyle w:val="4"/>
        <w:keepNext w:val="0"/>
        <w:keepLines w:val="0"/>
        <w:pageBreakBefore w:val="0"/>
        <w:widowControl/>
        <w:suppressLineNumbers w:val="0"/>
        <w:kinsoku/>
        <w:wordWrap/>
        <w:overflowPunct/>
        <w:topLinePunct w:val="0"/>
        <w:autoSpaceDE/>
        <w:autoSpaceDN/>
        <w:bidi w:val="0"/>
        <w:adjustRightInd/>
        <w:snapToGrid/>
        <w:spacing w:line="578" w:lineRule="exact"/>
        <w:ind w:firstLine="564" w:firstLineChars="200"/>
        <w:textAlignment w:val="auto"/>
        <w:rPr>
          <w:spacing w:val="-19"/>
          <w:sz w:val="32"/>
          <w:szCs w:val="32"/>
        </w:rPr>
      </w:pPr>
      <w:r>
        <w:rPr>
          <w:rFonts w:ascii="楷体" w:hAnsi="楷体" w:eastAsia="楷体" w:cs="楷体"/>
          <w:spacing w:val="-19"/>
          <w:sz w:val="32"/>
          <w:szCs w:val="32"/>
        </w:rPr>
        <w:t>(二)存在问题</w:t>
      </w:r>
      <w:r>
        <w:rPr>
          <w:spacing w:val="-19"/>
          <w:sz w:val="32"/>
          <w:szCs w:val="32"/>
        </w:rPr>
        <w:t>。</w:t>
      </w:r>
    </w:p>
    <w:p w14:paraId="4CA3BCB3">
      <w:pPr>
        <w:pStyle w:val="4"/>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kern w:val="0"/>
          <w:sz w:val="32"/>
          <w:szCs w:val="32"/>
          <w:lang w:val="zh-CN" w:eastAsia="zh-CN" w:bidi="ar"/>
        </w:rPr>
      </w:pPr>
      <w:r>
        <w:rPr>
          <w:rFonts w:hint="default" w:ascii="仿宋_GB2312" w:hAnsi="仿宋_GB2312" w:eastAsia="仿宋_GB2312" w:cs="仿宋_GB2312"/>
          <w:b w:val="0"/>
          <w:kern w:val="0"/>
          <w:sz w:val="32"/>
          <w:szCs w:val="32"/>
          <w:lang w:val="zh-CN" w:eastAsia="zh-CN" w:bidi="ar"/>
        </w:rPr>
        <w:t>一是对预算绩效评价工作的重要性认识有待进一步提高，绩效评价制度建设和规范化管理还有待加强。</w:t>
      </w:r>
    </w:p>
    <w:p w14:paraId="42257754">
      <w:pPr>
        <w:spacing w:line="224" w:lineRule="auto"/>
        <w:ind w:firstLine="640" w:firstLineChars="200"/>
        <w:rPr>
          <w:rFonts w:hint="eastAsia" w:eastAsia="宋体"/>
          <w:sz w:val="32"/>
          <w:szCs w:val="32"/>
          <w:highlight w:val="yellow"/>
          <w:lang w:eastAsia="zh-CN"/>
        </w:rPr>
      </w:pPr>
      <w:r>
        <w:rPr>
          <w:rFonts w:hint="default" w:ascii="仿宋_GB2312" w:hAnsi="仿宋_GB2312" w:eastAsia="仿宋_GB2312" w:cs="仿宋_GB2312"/>
          <w:b w:val="0"/>
          <w:kern w:val="0"/>
          <w:sz w:val="32"/>
          <w:szCs w:val="32"/>
          <w:lang w:val="zh-CN" w:eastAsia="zh-CN" w:bidi="ar"/>
        </w:rPr>
        <w:t>二是项目支出绩效评价指标体系不完善，不够明确、细化和量化。</w:t>
      </w:r>
    </w:p>
    <w:p w14:paraId="2A0F917A">
      <w:pPr>
        <w:pStyle w:val="4"/>
        <w:keepNext w:val="0"/>
        <w:keepLines w:val="0"/>
        <w:pageBreakBefore w:val="0"/>
        <w:widowControl/>
        <w:suppressLineNumbers w:val="0"/>
        <w:kinsoku/>
        <w:wordWrap/>
        <w:overflowPunct/>
        <w:topLinePunct w:val="0"/>
        <w:autoSpaceDE/>
        <w:autoSpaceDN/>
        <w:bidi w:val="0"/>
        <w:adjustRightInd/>
        <w:snapToGrid/>
        <w:spacing w:line="578" w:lineRule="exact"/>
        <w:ind w:firstLine="636" w:firstLineChars="200"/>
        <w:jc w:val="left"/>
        <w:textAlignment w:val="auto"/>
        <w:rPr>
          <w:rFonts w:ascii="楷体" w:hAnsi="楷体" w:eastAsia="楷体" w:cs="楷体"/>
          <w:spacing w:val="-1"/>
          <w:sz w:val="32"/>
          <w:szCs w:val="32"/>
        </w:rPr>
      </w:pPr>
      <w:r>
        <w:rPr>
          <w:rFonts w:ascii="楷体" w:hAnsi="楷体" w:eastAsia="楷体" w:cs="楷体"/>
          <w:spacing w:val="-1"/>
          <w:sz w:val="32"/>
          <w:szCs w:val="32"/>
        </w:rPr>
        <w:t>(三)改进建议。</w:t>
      </w:r>
    </w:p>
    <w:p w14:paraId="566EAB4D">
      <w:pPr>
        <w:pStyle w:val="4"/>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b w:val="0"/>
          <w:kern w:val="0"/>
          <w:sz w:val="32"/>
          <w:szCs w:val="32"/>
          <w:lang w:val="zh-CN" w:eastAsia="zh-CN" w:bidi="ar"/>
        </w:rPr>
      </w:pPr>
      <w:r>
        <w:rPr>
          <w:rFonts w:hint="default" w:ascii="仿宋_GB2312" w:hAnsi="仿宋_GB2312" w:eastAsia="仿宋_GB2312" w:cs="仿宋_GB2312"/>
          <w:b w:val="0"/>
          <w:kern w:val="0"/>
          <w:sz w:val="32"/>
          <w:szCs w:val="32"/>
          <w:lang w:val="zh-CN" w:eastAsia="zh-CN" w:bidi="ar"/>
        </w:rPr>
        <w:t>一是加强对绩效评价学习和培训，提升对绩效评价工作认知；强化内部预算支出管理，完善绩效评价制度建设。</w:t>
      </w:r>
    </w:p>
    <w:p w14:paraId="64B981B9">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宋体"/>
          <w:sz w:val="32"/>
          <w:szCs w:val="32"/>
          <w:lang w:eastAsia="zh-CN"/>
        </w:rPr>
      </w:pPr>
      <w:r>
        <w:rPr>
          <w:rFonts w:hint="default" w:ascii="仿宋_GB2312" w:hAnsi="仿宋_GB2312" w:eastAsia="仿宋_GB2312" w:cs="仿宋_GB2312"/>
          <w:b w:val="0"/>
          <w:kern w:val="0"/>
          <w:sz w:val="32"/>
          <w:szCs w:val="32"/>
          <w:lang w:val="zh-CN" w:eastAsia="zh-CN" w:bidi="ar"/>
        </w:rPr>
        <w:t>二是认真做好预算绩效目标的编制。严格按照绩效目标编制的相关制度和要求，绩效目标尽可能地全面、细化，量化，进一步提高绩效目标设立的科学性。</w:t>
      </w:r>
    </w:p>
    <w:p w14:paraId="74F3AD6E">
      <w:pPr>
        <w:spacing w:line="282" w:lineRule="auto"/>
        <w:rPr>
          <w:rFonts w:ascii="Arial"/>
          <w:sz w:val="21"/>
        </w:rPr>
      </w:pPr>
    </w:p>
    <w:p w14:paraId="37ECAD7F">
      <w:pPr>
        <w:spacing w:line="282" w:lineRule="auto"/>
        <w:rPr>
          <w:rFonts w:ascii="Arial"/>
          <w:sz w:val="21"/>
        </w:rPr>
      </w:pPr>
    </w:p>
    <w:p w14:paraId="4CB5706D">
      <w:pPr>
        <w:spacing w:line="282" w:lineRule="auto"/>
        <w:rPr>
          <w:rFonts w:ascii="Arial"/>
          <w:sz w:val="21"/>
        </w:rPr>
      </w:pPr>
    </w:p>
    <w:p w14:paraId="371C24DE">
      <w:pPr>
        <w:spacing w:line="282" w:lineRule="auto"/>
        <w:rPr>
          <w:rFonts w:ascii="Arial"/>
          <w:sz w:val="21"/>
        </w:rPr>
      </w:pPr>
    </w:p>
    <w:p w14:paraId="7C62D2E4">
      <w:pPr>
        <w:spacing w:line="282" w:lineRule="auto"/>
        <w:rPr>
          <w:rFonts w:hint="default" w:ascii="Arial" w:eastAsia="宋体"/>
          <w:sz w:val="21"/>
          <w:lang w:val="en-US" w:eastAsia="zh-CN"/>
        </w:rPr>
      </w:pPr>
      <w:r>
        <w:rPr>
          <w:rFonts w:hint="eastAsia" w:eastAsia="宋体"/>
          <w:sz w:val="21"/>
          <w:lang w:val="en-US" w:eastAsia="zh-CN"/>
        </w:rPr>
        <w:t xml:space="preserve">                                                                                        </w:t>
      </w:r>
      <w:r>
        <w:rPr>
          <w:rFonts w:hint="eastAsia" w:ascii="仿宋" w:hAnsi="仿宋" w:eastAsia="仿宋" w:cs="仿宋"/>
          <w:snapToGrid w:val="0"/>
          <w:color w:val="000000"/>
          <w:spacing w:val="-2"/>
          <w:kern w:val="0"/>
          <w:sz w:val="32"/>
          <w:szCs w:val="32"/>
          <w:lang w:val="en-US" w:eastAsia="zh-CN" w:bidi="ar-SA"/>
        </w:rPr>
        <w:t xml:space="preserve">     2025年6月10日</w:t>
      </w:r>
    </w:p>
    <w:p w14:paraId="158ADB13">
      <w:pPr>
        <w:spacing w:line="282" w:lineRule="auto"/>
        <w:rPr>
          <w:rFonts w:ascii="Arial"/>
          <w:sz w:val="21"/>
        </w:rPr>
      </w:pPr>
    </w:p>
    <w:p w14:paraId="4FA66926">
      <w:pPr>
        <w:spacing w:line="282" w:lineRule="auto"/>
        <w:rPr>
          <w:rFonts w:ascii="Arial"/>
          <w:sz w:val="21"/>
        </w:rPr>
      </w:pPr>
    </w:p>
    <w:p w14:paraId="2F7CD3A4">
      <w:pPr>
        <w:spacing w:line="282" w:lineRule="auto"/>
        <w:rPr>
          <w:rFonts w:ascii="Arial"/>
          <w:sz w:val="21"/>
        </w:rPr>
      </w:pPr>
    </w:p>
    <w:p w14:paraId="38B5F0BA">
      <w:pPr>
        <w:pStyle w:val="2"/>
        <w:spacing w:before="104" w:line="222" w:lineRule="auto"/>
        <w:ind w:left="690"/>
        <w:rPr>
          <w:spacing w:val="-2"/>
          <w:sz w:val="32"/>
          <w:szCs w:val="32"/>
        </w:rPr>
      </w:pPr>
      <w:r>
        <w:rPr>
          <w:spacing w:val="-2"/>
          <w:sz w:val="32"/>
          <w:szCs w:val="32"/>
        </w:rPr>
        <w:t>附表</w:t>
      </w:r>
      <w:r>
        <w:rPr>
          <w:rFonts w:hint="eastAsia"/>
          <w:spacing w:val="-2"/>
          <w:sz w:val="32"/>
          <w:szCs w:val="32"/>
          <w:lang w:val="en-US" w:eastAsia="zh-CN"/>
        </w:rPr>
        <w:t>1</w:t>
      </w:r>
      <w:r>
        <w:rPr>
          <w:spacing w:val="-2"/>
          <w:sz w:val="32"/>
          <w:szCs w:val="32"/>
        </w:rPr>
        <w:t>：部门整体支出绩效目标完成情况自评表</w:t>
      </w:r>
    </w:p>
    <w:p w14:paraId="116C49EC">
      <w:pPr>
        <w:pStyle w:val="2"/>
        <w:spacing w:before="104" w:line="222" w:lineRule="auto"/>
        <w:ind w:left="690"/>
        <w:rPr>
          <w:spacing w:val="-2"/>
          <w:sz w:val="32"/>
          <w:szCs w:val="32"/>
        </w:rPr>
      </w:pPr>
    </w:p>
    <w:p w14:paraId="51035858">
      <w:pPr>
        <w:spacing w:line="222" w:lineRule="auto"/>
        <w:rPr>
          <w:rFonts w:hint="default" w:eastAsia="宋体"/>
          <w:sz w:val="32"/>
          <w:szCs w:val="32"/>
          <w:lang w:val="en-US" w:eastAsia="zh-CN"/>
        </w:rPr>
      </w:pPr>
      <w:r>
        <w:rPr>
          <w:rFonts w:hint="eastAsia" w:eastAsia="宋体"/>
          <w:sz w:val="32"/>
          <w:szCs w:val="32"/>
          <w:lang w:val="en-US" w:eastAsia="zh-CN"/>
        </w:rPr>
        <w:t xml:space="preserve">        </w:t>
      </w:r>
      <w:r>
        <w:rPr>
          <w:rFonts w:hint="eastAsia" w:ascii="仿宋" w:hAnsi="仿宋" w:eastAsia="仿宋" w:cs="仿宋"/>
          <w:snapToGrid w:val="0"/>
          <w:color w:val="000000"/>
          <w:spacing w:val="-2"/>
          <w:kern w:val="0"/>
          <w:sz w:val="32"/>
          <w:szCs w:val="32"/>
          <w:lang w:val="en-US" w:eastAsia="zh-CN" w:bidi="ar-SA"/>
        </w:rPr>
        <w:t>附表2：部门预算绩效评价指标体系</w:t>
      </w:r>
    </w:p>
    <w:p w14:paraId="11CCD854">
      <w:pPr>
        <w:spacing w:line="222" w:lineRule="auto"/>
        <w:rPr>
          <w:rFonts w:hint="default" w:ascii="仿宋" w:hAnsi="仿宋" w:eastAsia="仿宋" w:cs="仿宋"/>
          <w:snapToGrid w:val="0"/>
          <w:color w:val="000000"/>
          <w:spacing w:val="-2"/>
          <w:kern w:val="0"/>
          <w:sz w:val="32"/>
          <w:szCs w:val="32"/>
          <w:lang w:val="en-US" w:eastAsia="zh-CN" w:bidi="ar-SA"/>
        </w:rPr>
      </w:pPr>
    </w:p>
    <w:p w14:paraId="56F52116">
      <w:pPr>
        <w:spacing w:line="222" w:lineRule="auto"/>
        <w:rPr>
          <w:rFonts w:hint="default" w:ascii="仿宋" w:hAnsi="仿宋" w:eastAsia="仿宋" w:cs="仿宋"/>
          <w:snapToGrid w:val="0"/>
          <w:color w:val="000000"/>
          <w:spacing w:val="-2"/>
          <w:kern w:val="0"/>
          <w:sz w:val="32"/>
          <w:szCs w:val="32"/>
          <w:lang w:val="en-US" w:eastAsia="zh-CN" w:bidi="ar-SA"/>
        </w:rPr>
      </w:pPr>
    </w:p>
    <w:p w14:paraId="2B769A84">
      <w:pPr>
        <w:spacing w:line="222" w:lineRule="auto"/>
        <w:rPr>
          <w:rFonts w:hint="default" w:ascii="仿宋" w:hAnsi="仿宋" w:eastAsia="仿宋" w:cs="仿宋"/>
          <w:snapToGrid w:val="0"/>
          <w:color w:val="000000"/>
          <w:spacing w:val="-2"/>
          <w:kern w:val="0"/>
          <w:sz w:val="32"/>
          <w:szCs w:val="32"/>
          <w:lang w:val="en-US" w:eastAsia="zh-CN" w:bidi="ar-SA"/>
        </w:rPr>
      </w:pPr>
    </w:p>
    <w:p w14:paraId="1E131B22">
      <w:pPr>
        <w:spacing w:line="257" w:lineRule="auto"/>
        <w:rPr>
          <w:rFonts w:ascii="Arial"/>
          <w:sz w:val="21"/>
        </w:rPr>
      </w:pPr>
    </w:p>
    <w:p w14:paraId="4033C8B6">
      <w:pPr>
        <w:spacing w:line="257" w:lineRule="auto"/>
        <w:rPr>
          <w:rFonts w:ascii="Arial"/>
          <w:sz w:val="21"/>
        </w:rPr>
      </w:pPr>
    </w:p>
    <w:p w14:paraId="770EFBBA">
      <w:pPr>
        <w:spacing w:line="258" w:lineRule="auto"/>
        <w:rPr>
          <w:rFonts w:ascii="Arial"/>
          <w:sz w:val="21"/>
        </w:rPr>
      </w:pPr>
    </w:p>
    <w:p w14:paraId="63797E38">
      <w:pPr>
        <w:spacing w:line="258" w:lineRule="auto"/>
        <w:rPr>
          <w:rFonts w:ascii="Arial"/>
          <w:sz w:val="21"/>
        </w:rPr>
      </w:pPr>
    </w:p>
    <w:p w14:paraId="12F3AB76">
      <w:pPr>
        <w:spacing w:line="258" w:lineRule="auto"/>
        <w:rPr>
          <w:rFonts w:ascii="Arial"/>
          <w:sz w:val="21"/>
        </w:rPr>
      </w:pPr>
    </w:p>
    <w:p w14:paraId="062B04CF">
      <w:pPr>
        <w:spacing w:line="258" w:lineRule="auto"/>
        <w:rPr>
          <w:rFonts w:ascii="Arial"/>
          <w:sz w:val="21"/>
        </w:rPr>
      </w:pPr>
    </w:p>
    <w:p w14:paraId="65E0DC4E">
      <w:pPr>
        <w:spacing w:line="258" w:lineRule="auto"/>
        <w:rPr>
          <w:rFonts w:ascii="Arial"/>
          <w:sz w:val="21"/>
        </w:rPr>
      </w:pPr>
    </w:p>
    <w:p w14:paraId="6CE6B709">
      <w:pPr>
        <w:spacing w:line="258" w:lineRule="auto"/>
        <w:rPr>
          <w:rFonts w:ascii="Arial"/>
          <w:sz w:val="21"/>
        </w:rPr>
      </w:pPr>
    </w:p>
    <w:p w14:paraId="155E2B8F">
      <w:pPr>
        <w:spacing w:before="98" w:line="223" w:lineRule="auto"/>
        <w:ind w:left="839"/>
        <w:rPr>
          <w:rFonts w:ascii="黑体" w:hAnsi="黑体" w:eastAsia="黑体" w:cs="黑体"/>
          <w:sz w:val="30"/>
          <w:szCs w:val="30"/>
        </w:rPr>
      </w:pPr>
      <w:r>
        <w:rPr>
          <w:rFonts w:ascii="黑体" w:hAnsi="黑体" w:eastAsia="黑体" w:cs="黑体"/>
          <w:b/>
          <w:bCs/>
          <w:spacing w:val="13"/>
          <w:sz w:val="30"/>
          <w:szCs w:val="30"/>
        </w:rPr>
        <w:t>附表</w:t>
      </w:r>
    </w:p>
    <w:tbl>
      <w:tblPr>
        <w:tblStyle w:val="5"/>
        <w:tblW w:w="9885" w:type="dxa"/>
        <w:tblInd w:w="0" w:type="dxa"/>
        <w:tblLayout w:type="fixed"/>
        <w:tblCellMar>
          <w:top w:w="0" w:type="dxa"/>
          <w:left w:w="0" w:type="dxa"/>
          <w:bottom w:w="0" w:type="dxa"/>
          <w:right w:w="0" w:type="dxa"/>
        </w:tblCellMar>
      </w:tblPr>
      <w:tblGrid>
        <w:gridCol w:w="794"/>
        <w:gridCol w:w="1199"/>
        <w:gridCol w:w="1095"/>
        <w:gridCol w:w="2830"/>
        <w:gridCol w:w="885"/>
        <w:gridCol w:w="690"/>
        <w:gridCol w:w="750"/>
        <w:gridCol w:w="780"/>
        <w:gridCol w:w="862"/>
      </w:tblGrid>
      <w:tr w14:paraId="59B940A6">
        <w:tblPrEx>
          <w:tblCellMar>
            <w:top w:w="0" w:type="dxa"/>
            <w:left w:w="0" w:type="dxa"/>
            <w:bottom w:w="0" w:type="dxa"/>
            <w:right w:w="0" w:type="dxa"/>
          </w:tblCellMar>
        </w:tblPrEx>
        <w:trPr>
          <w:trHeight w:val="904" w:hRule="atLeast"/>
        </w:trPr>
        <w:tc>
          <w:tcPr>
            <w:tcW w:w="9885" w:type="dxa"/>
            <w:gridSpan w:val="9"/>
            <w:tcBorders>
              <w:top w:val="nil"/>
              <w:left w:val="nil"/>
              <w:bottom w:val="nil"/>
              <w:right w:val="nil"/>
            </w:tcBorders>
            <w:noWrap w:val="0"/>
            <w:tcMar>
              <w:top w:w="15" w:type="dxa"/>
              <w:left w:w="15" w:type="dxa"/>
              <w:right w:w="15" w:type="dxa"/>
            </w:tcMar>
            <w:vAlign w:val="center"/>
          </w:tcPr>
          <w:p w14:paraId="6DB0C7C3">
            <w:pPr>
              <w:keepNext w:val="0"/>
              <w:keepLines w:val="0"/>
              <w:widowControl/>
              <w:suppressLineNumbers w:val="0"/>
              <w:jc w:val="center"/>
              <w:textAlignment w:val="center"/>
              <w:rPr>
                <w:rFonts w:hint="default" w:ascii="黑体" w:hAnsi="宋体" w:eastAsia="黑体" w:cs="黑体"/>
                <w:i w:val="0"/>
                <w:color w:val="000000"/>
                <w:sz w:val="30"/>
                <w:szCs w:val="30"/>
                <w:u w:val="none"/>
                <w:lang w:val="en-US"/>
              </w:rPr>
            </w:pPr>
            <w:r>
              <w:rPr>
                <w:rFonts w:hint="eastAsia" w:ascii="黑体" w:hAnsi="宋体" w:eastAsia="黑体" w:cs="黑体"/>
                <w:i w:val="0"/>
                <w:snapToGrid w:val="0"/>
                <w:color w:val="000000"/>
                <w:kern w:val="0"/>
                <w:sz w:val="30"/>
                <w:szCs w:val="30"/>
                <w:u w:val="none"/>
                <w:lang w:val="en-US" w:eastAsia="zh-CN" w:bidi="ar"/>
              </w:rPr>
              <w:t>部门整体支出绩效目标完成情况自评表</w:t>
            </w:r>
          </w:p>
        </w:tc>
      </w:tr>
      <w:tr w14:paraId="12F3B196">
        <w:tblPrEx>
          <w:tblCellMar>
            <w:top w:w="0" w:type="dxa"/>
            <w:left w:w="0" w:type="dxa"/>
            <w:bottom w:w="0" w:type="dxa"/>
            <w:right w:w="0" w:type="dxa"/>
          </w:tblCellMar>
        </w:tblPrEx>
        <w:trPr>
          <w:trHeight w:val="286" w:hRule="atLeast"/>
        </w:trPr>
        <w:tc>
          <w:tcPr>
            <w:tcW w:w="9885" w:type="dxa"/>
            <w:gridSpan w:val="9"/>
            <w:tcBorders>
              <w:top w:val="nil"/>
              <w:left w:val="nil"/>
              <w:bottom w:val="nil"/>
              <w:right w:val="nil"/>
            </w:tcBorders>
            <w:noWrap w:val="0"/>
            <w:tcMar>
              <w:top w:w="15" w:type="dxa"/>
              <w:left w:w="15" w:type="dxa"/>
              <w:right w:w="15" w:type="dxa"/>
            </w:tcMar>
            <w:vAlign w:val="center"/>
          </w:tcPr>
          <w:p w14:paraId="7043B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（202</w:t>
            </w:r>
            <w:r>
              <w:rPr>
                <w:rFonts w:hint="eastAsia" w:ascii="宋体" w:hAnsi="宋体" w:eastAsia="宋体" w:cs="宋体"/>
                <w:i w:val="0"/>
                <w:snapToGrid w:val="0"/>
                <w:color w:val="000000"/>
                <w:kern w:val="0"/>
                <w:sz w:val="18"/>
                <w:szCs w:val="18"/>
                <w:u w:val="none"/>
                <w:lang w:val="en-US" w:eastAsia="zh-CN" w:bidi="ar"/>
              </w:rPr>
              <w:t>5</w:t>
            </w:r>
            <w:r>
              <w:rPr>
                <w:rFonts w:ascii="宋体" w:hAnsi="宋体" w:eastAsia="宋体" w:cs="宋体"/>
                <w:i w:val="0"/>
                <w:snapToGrid w:val="0"/>
                <w:color w:val="000000"/>
                <w:kern w:val="0"/>
                <w:sz w:val="18"/>
                <w:szCs w:val="18"/>
                <w:u w:val="none"/>
                <w:lang w:val="en-US" w:eastAsia="zh-CN" w:bidi="ar"/>
              </w:rPr>
              <w:t>年度）</w:t>
            </w:r>
          </w:p>
        </w:tc>
      </w:tr>
      <w:tr w14:paraId="237B48EF">
        <w:tblPrEx>
          <w:tblCellMar>
            <w:top w:w="0" w:type="dxa"/>
            <w:left w:w="0" w:type="dxa"/>
            <w:bottom w:w="0" w:type="dxa"/>
            <w:right w:w="0" w:type="dxa"/>
          </w:tblCellMar>
        </w:tblPrEx>
        <w:trPr>
          <w:trHeight w:val="286" w:hRule="atLeast"/>
        </w:trPr>
        <w:tc>
          <w:tcPr>
            <w:tcW w:w="9885" w:type="dxa"/>
            <w:gridSpan w:val="9"/>
            <w:tcBorders>
              <w:top w:val="nil"/>
              <w:left w:val="nil"/>
              <w:bottom w:val="single" w:color="000000" w:sz="4" w:space="0"/>
              <w:right w:val="nil"/>
            </w:tcBorders>
            <w:noWrap w:val="0"/>
            <w:tcMar>
              <w:top w:w="15" w:type="dxa"/>
              <w:left w:w="15" w:type="dxa"/>
              <w:right w:w="15" w:type="dxa"/>
            </w:tcMar>
            <w:vAlign w:val="center"/>
          </w:tcPr>
          <w:p w14:paraId="0EF660E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金额单位：万元</w:t>
            </w:r>
          </w:p>
        </w:tc>
      </w:tr>
      <w:tr w14:paraId="16EA0B7D">
        <w:tblPrEx>
          <w:tblCellMar>
            <w:top w:w="0" w:type="dxa"/>
            <w:left w:w="0" w:type="dxa"/>
            <w:bottom w:w="0" w:type="dxa"/>
            <w:right w:w="0" w:type="dxa"/>
          </w:tblCellMar>
        </w:tblPrEx>
        <w:trPr>
          <w:trHeight w:val="569" w:hRule="atLeast"/>
        </w:trPr>
        <w:tc>
          <w:tcPr>
            <w:tcW w:w="30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B2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部门名称</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98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渠县东安镇人民政府部门</w:t>
            </w:r>
          </w:p>
        </w:tc>
      </w:tr>
      <w:tr w14:paraId="0AF90974">
        <w:tblPrEx>
          <w:tblCellMar>
            <w:top w:w="0" w:type="dxa"/>
            <w:left w:w="0" w:type="dxa"/>
            <w:bottom w:w="0" w:type="dxa"/>
            <w:right w:w="0" w:type="dxa"/>
          </w:tblCellMar>
        </w:tblPrEx>
        <w:trPr>
          <w:trHeight w:val="398"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C8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年度部门整体支出预算</w:t>
            </w: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5EF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资金总额</w:t>
            </w:r>
          </w:p>
        </w:tc>
        <w:tc>
          <w:tcPr>
            <w:tcW w:w="37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E45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财政拨款</w:t>
            </w:r>
          </w:p>
        </w:tc>
        <w:tc>
          <w:tcPr>
            <w:tcW w:w="308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89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其他资金</w:t>
            </w:r>
          </w:p>
        </w:tc>
      </w:tr>
      <w:tr w14:paraId="426D347B">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30E83">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CF7BD">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ascii="宋体" w:hAnsi="宋体" w:eastAsia="宋体" w:cs="宋体"/>
                <w:i w:val="0"/>
                <w:snapToGrid w:val="0"/>
                <w:color w:val="000000"/>
                <w:kern w:val="0"/>
                <w:sz w:val="18"/>
                <w:szCs w:val="18"/>
                <w:u w:val="none"/>
                <w:lang w:val="en-US" w:eastAsia="zh-CN" w:bidi="ar"/>
              </w:rPr>
              <w:t>1,419.</w:t>
            </w:r>
            <w:r>
              <w:rPr>
                <w:rFonts w:hint="eastAsia" w:ascii="宋体" w:hAnsi="宋体" w:eastAsia="宋体" w:cs="宋体"/>
                <w:i w:val="0"/>
                <w:snapToGrid w:val="0"/>
                <w:color w:val="000000"/>
                <w:kern w:val="0"/>
                <w:sz w:val="18"/>
                <w:szCs w:val="18"/>
                <w:u w:val="none"/>
                <w:lang w:val="en-US" w:eastAsia="zh-CN" w:bidi="ar"/>
              </w:rPr>
              <w:t>59</w:t>
            </w:r>
          </w:p>
        </w:tc>
        <w:tc>
          <w:tcPr>
            <w:tcW w:w="37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6E3D5">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ascii="宋体" w:hAnsi="宋体" w:eastAsia="宋体" w:cs="宋体"/>
                <w:i w:val="0"/>
                <w:snapToGrid w:val="0"/>
                <w:color w:val="000000"/>
                <w:kern w:val="0"/>
                <w:sz w:val="18"/>
                <w:szCs w:val="18"/>
                <w:u w:val="none"/>
                <w:lang w:val="en-US" w:eastAsia="zh-CN" w:bidi="ar"/>
              </w:rPr>
              <w:t>1,419.</w:t>
            </w:r>
            <w:r>
              <w:rPr>
                <w:rFonts w:hint="eastAsia" w:ascii="宋体" w:hAnsi="宋体" w:eastAsia="宋体" w:cs="宋体"/>
                <w:i w:val="0"/>
                <w:snapToGrid w:val="0"/>
                <w:color w:val="000000"/>
                <w:kern w:val="0"/>
                <w:sz w:val="18"/>
                <w:szCs w:val="18"/>
                <w:u w:val="none"/>
                <w:lang w:val="en-US" w:eastAsia="zh-CN" w:bidi="ar"/>
              </w:rPr>
              <w:t>59</w:t>
            </w:r>
          </w:p>
        </w:tc>
        <w:tc>
          <w:tcPr>
            <w:tcW w:w="308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692CC">
            <w:pPr>
              <w:jc w:val="right"/>
              <w:rPr>
                <w:rFonts w:hint="eastAsia" w:ascii="宋体" w:hAnsi="宋体" w:eastAsia="宋体" w:cs="宋体"/>
                <w:i w:val="0"/>
                <w:color w:val="000000"/>
                <w:sz w:val="18"/>
                <w:szCs w:val="18"/>
                <w:u w:val="none"/>
              </w:rPr>
            </w:pPr>
          </w:p>
        </w:tc>
      </w:tr>
      <w:tr w14:paraId="3B92C519">
        <w:tblPrEx>
          <w:tblCellMar>
            <w:top w:w="0" w:type="dxa"/>
            <w:left w:w="0" w:type="dxa"/>
            <w:bottom w:w="0" w:type="dxa"/>
            <w:right w:w="0" w:type="dxa"/>
          </w:tblCellMar>
        </w:tblPrEx>
        <w:trPr>
          <w:trHeight w:val="3165" w:hRule="atLeast"/>
        </w:trPr>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59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年度总体目标</w:t>
            </w:r>
          </w:p>
        </w:tc>
        <w:tc>
          <w:tcPr>
            <w:tcW w:w="90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48B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全面贯彻落实党中央、省、市、县相关会议精神，认真落实</w:t>
            </w:r>
            <w:r>
              <w:rPr>
                <w:rFonts w:hint="eastAsia" w:ascii="宋体" w:hAnsi="宋体" w:eastAsia="宋体" w:cs="宋体"/>
                <w:i w:val="0"/>
                <w:snapToGrid w:val="0"/>
                <w:color w:val="000000"/>
                <w:kern w:val="0"/>
                <w:sz w:val="18"/>
                <w:szCs w:val="18"/>
                <w:u w:val="none"/>
                <w:lang w:val="en-US" w:eastAsia="zh-CN" w:bidi="ar"/>
              </w:rPr>
              <w:t>习近平总书记系列重要讲话精神</w:t>
            </w:r>
            <w:r>
              <w:rPr>
                <w:rFonts w:ascii="宋体" w:hAnsi="宋体" w:eastAsia="宋体" w:cs="宋体"/>
                <w:i w:val="0"/>
                <w:snapToGrid w:val="0"/>
                <w:color w:val="000000"/>
                <w:kern w:val="0"/>
                <w:sz w:val="18"/>
                <w:szCs w:val="18"/>
                <w:u w:val="none"/>
                <w:lang w:val="en-US" w:eastAsia="zh-CN" w:bidi="ar"/>
              </w:rPr>
              <w:t>，完成县委、县政府各项中心工作。1.切实加强党的基层建设，抓好党的自身建设，提高执政能力；2.组织人大代表视察、调研，审议经济发展和重要建设活动；3.积极引导政协委员开展调研工作，参与议案；4.严格执行党风廉政建设责任制的一系列制度规定；5.遵循共青团工作规律，围绕团组织规范化、服务大局、助力成长、发挥职能等四项工作领域整体推进；6.提高妇女总体素质为重点，加大维权力度，大力发展妇女儿童之家，为妇女群体提供法律援助；7.认真做好关爱下一代工作；8.切实为广大残疾人解决康复、教育、就业、扶贫等方面的实际困难和问题，进一步改善残疾人生活状况和维护社会稳定发挥积极作用；9.全面完成全镇养老保险缴存任务和到龄人员信息采集工作；10.关心关爱老年人，积极开展形式多样、丰富多彩的体育健身活动；11.防范遏制生产安全事故为重点，狠抓改革创新、依法治理、基础建设、专项整治和安全宣传教育，落实隐患排查治理体系、风险预防控制体系和社会共治体系建设等工作；12.扎实开展道路交通安全管理工作，文明劝导，确保道路交通平安和畅通；13.以创新社会管理为目标，实施四清六治，大力创建四好村建设；14.处置各种自然灾害，排除影响群众生产生活的隐患，加强应急处突能力；15.加强社会治安防控体系，加强群防群治和社会巡逻，严格网格员参与能力，提高群众安全感，创建平安乡镇；16.免费对外开放文化书屋，丰富农村文化生活，提高人民群众文化知识水平；17.坚持以打造满意中心、效能中心、服务中心、一流中心为核心，努力使便民服务中心成为为民服务的综合平台、开展公共服务的窗口和推进政务公开的载体；18.开展统计工作，有效提升统计工作能力，为科学发展提供有效、真实、科学、合理的数据；19.巩固基层政权建设，为基层工会提供经费保障；20.支持下辖村社区发展产业，提高经济收入，巩固脱贫成果，壮大发展集体经济。</w:t>
            </w:r>
          </w:p>
        </w:tc>
      </w:tr>
      <w:tr w14:paraId="454415E0">
        <w:tblPrEx>
          <w:tblCellMar>
            <w:top w:w="0" w:type="dxa"/>
            <w:left w:w="0" w:type="dxa"/>
            <w:bottom w:w="0" w:type="dxa"/>
            <w:right w:w="0" w:type="dxa"/>
          </w:tblCellMar>
        </w:tblPrEx>
        <w:trPr>
          <w:trHeight w:val="569"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CE4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年度主要任务</w:t>
            </w: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1C5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任务名称</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D8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主要内容</w:t>
            </w:r>
          </w:p>
        </w:tc>
      </w:tr>
      <w:tr w14:paraId="40CF725A">
        <w:tblPrEx>
          <w:tblCellMar>
            <w:top w:w="0" w:type="dxa"/>
            <w:left w:w="0" w:type="dxa"/>
            <w:bottom w:w="0" w:type="dxa"/>
            <w:right w:w="0" w:type="dxa"/>
          </w:tblCellMar>
        </w:tblPrEx>
        <w:trPr>
          <w:trHeight w:val="904"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CAEFA">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5A0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综合事务</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7C2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负责起草或审核以镇党委、政府办公室名义发布的公文；做好镇党委、政府与上级各部门文件的传阅、拟转、拟办和保密清退工作；围绕镇各个时期的中心任务进行调查研究，及时提出对策建议；负责对所属单位贯彻执行党和国家法律、法规、规章、方针政策的情况进行检查监督。</w:t>
            </w:r>
          </w:p>
        </w:tc>
      </w:tr>
      <w:tr w14:paraId="7B629434">
        <w:tblPrEx>
          <w:tblCellMar>
            <w:top w:w="0" w:type="dxa"/>
            <w:left w:w="0" w:type="dxa"/>
            <w:bottom w:w="0" w:type="dxa"/>
            <w:right w:w="0" w:type="dxa"/>
          </w:tblCellMar>
        </w:tblPrEx>
        <w:trPr>
          <w:trHeight w:val="678"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8AA3C">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460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森林防灭火工作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C02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一是加强宣传，张贴标语拉横幅条，宣传车深入各村组院落；二是建立镇村两级的防灭火队伍，并对新上任的护林员开展防灭火知识的培训；三是每周开展森林防灭 火工作督查，确保所有工作人员在岗在位，所有制度运行有序。</w:t>
            </w:r>
          </w:p>
        </w:tc>
      </w:tr>
      <w:tr w14:paraId="4342FBAB">
        <w:tblPrEx>
          <w:tblCellMar>
            <w:top w:w="0" w:type="dxa"/>
            <w:left w:w="0" w:type="dxa"/>
            <w:bottom w:w="0" w:type="dxa"/>
            <w:right w:w="0" w:type="dxa"/>
          </w:tblCellMar>
        </w:tblPrEx>
        <w:trPr>
          <w:trHeight w:val="678"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91DC0">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38B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安全生产工作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06C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认真落实安全生产责任制，切实提高应对突发事件的各项准备工作，同时加强抓好道路安全和处置突发性公共安全事件的能力和水平，提前做好防汛抗旱、交通安全、食品药品监管等工作。</w:t>
            </w:r>
          </w:p>
        </w:tc>
      </w:tr>
      <w:tr w14:paraId="1946CC43">
        <w:tblPrEx>
          <w:tblCellMar>
            <w:top w:w="0" w:type="dxa"/>
            <w:left w:w="0" w:type="dxa"/>
            <w:bottom w:w="0" w:type="dxa"/>
            <w:right w:w="0" w:type="dxa"/>
          </w:tblCellMar>
        </w:tblPrEx>
        <w:trPr>
          <w:trHeight w:val="904"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39736">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B2F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基础设施与公用设施建设与管理工作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FE7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持续推进农村基础设施建设。由过去重点解决贫困人口出村难、饮水难、用电难、住房不安全等问题，转到大力实施乡村振兴行动、全面改善镇村人居环境上来。继续加大力度加快中低产田改造、高标准农田建设，进一步完善水、电、路、房、通讯等基础设施，提高农业综合生产能力，为农民增收创造条件。</w:t>
            </w:r>
          </w:p>
        </w:tc>
      </w:tr>
      <w:tr w14:paraId="2C2407EB">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C5F6D">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F31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社会管理工作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5F9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突出“基层、农村、重点行业、镇村建设领域和黄赌毒社会乱象”等五大重点，深入 推进扫黑除恶。深入开展“扫黄打非”行动。</w:t>
            </w:r>
          </w:p>
        </w:tc>
      </w:tr>
      <w:tr w14:paraId="479C825B">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74E8">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F92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农业产业管理</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FE4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对镇辖区玉加豆种植、水稻基地等产业的管护和优化。</w:t>
            </w:r>
          </w:p>
        </w:tc>
      </w:tr>
      <w:tr w14:paraId="433C5089">
        <w:tblPrEx>
          <w:tblCellMar>
            <w:top w:w="0" w:type="dxa"/>
            <w:left w:w="0" w:type="dxa"/>
            <w:bottom w:w="0" w:type="dxa"/>
            <w:right w:w="0" w:type="dxa"/>
          </w:tblCellMar>
        </w:tblPrEx>
        <w:trPr>
          <w:trHeight w:val="904"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EAC0">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004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生态环境保护工作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DB0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牢固树立保护至上的理念，坚定不移地抓好生态环境保护工作。要把农村人居环境整治作为乡村振兴的重中之重来抓，重点落实好镇村道路沿线、河道等公共区域及农户室内外卫生的日常保洁，继续加大农村改厕力度，在全镇范围内真正实现天蓝、山青、水绿、气新，实现农村人居环境优美、村容村貌整洁、宜居宜业、人民生活幸福甜美。</w:t>
            </w:r>
          </w:p>
        </w:tc>
      </w:tr>
      <w:tr w14:paraId="3E1ECC8F">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CCE14">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323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文化建设工作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851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组织开展文化下乡和公益电影放映。积极培养文艺骨干，指导乡村开展文化活动。扎实开展全面体育建设活动，促进竞技体育与群众体育协调发展。</w:t>
            </w:r>
          </w:p>
        </w:tc>
      </w:tr>
      <w:tr w14:paraId="27673993">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ECBB8">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CEC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任务名称</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623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主要内容</w:t>
            </w:r>
          </w:p>
        </w:tc>
      </w:tr>
      <w:tr w14:paraId="2E9F0010">
        <w:tblPrEx>
          <w:tblCellMar>
            <w:top w:w="0" w:type="dxa"/>
            <w:left w:w="0" w:type="dxa"/>
            <w:bottom w:w="0" w:type="dxa"/>
            <w:right w:w="0" w:type="dxa"/>
          </w:tblCellMar>
        </w:tblPrEx>
        <w:trPr>
          <w:trHeight w:val="180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9CC20">
            <w:pPr>
              <w:jc w:val="center"/>
              <w:rPr>
                <w:rFonts w:hint="eastAsia" w:ascii="宋体" w:hAnsi="宋体" w:eastAsia="宋体" w:cs="宋体"/>
                <w:i w:val="0"/>
                <w:color w:val="000000"/>
                <w:sz w:val="18"/>
                <w:szCs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AE3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基层组织建设工作</w:t>
            </w:r>
          </w:p>
        </w:tc>
        <w:tc>
          <w:tcPr>
            <w:tcW w:w="67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7A0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积极完成全镇党支部党费收缴工作加强基层组织建设；2、加深乡村干部党建知识学习，开展干部教育培训，努力消除干部的旧思想、旧观念、旧思维、旧习惯，培养战略眼光、全局思维、创新精神、实干作风，克服“本领恐慌”,不断提高服务群众的本领，配强配优村级干部</w:t>
            </w:r>
            <w:r>
              <w:rPr>
                <w:rFonts w:hint="eastAsia" w:ascii="宋体" w:hAnsi="宋体" w:eastAsia="宋体" w:cs="宋体"/>
                <w:i w:val="0"/>
                <w:snapToGrid w:val="0"/>
                <w:color w:val="000000"/>
                <w:kern w:val="0"/>
                <w:sz w:val="18"/>
                <w:szCs w:val="18"/>
                <w:u w:val="none"/>
                <w:lang w:val="en-US" w:eastAsia="zh-CN" w:bidi="ar"/>
              </w:rPr>
              <w:t>队伍</w:t>
            </w:r>
            <w:r>
              <w:rPr>
                <w:rFonts w:ascii="宋体" w:hAnsi="宋体" w:eastAsia="宋体" w:cs="宋体"/>
                <w:i w:val="0"/>
                <w:snapToGrid w:val="0"/>
                <w:color w:val="000000"/>
                <w:kern w:val="0"/>
                <w:sz w:val="18"/>
                <w:szCs w:val="18"/>
                <w:u w:val="none"/>
                <w:lang w:val="en-US" w:eastAsia="zh-CN" w:bidi="ar"/>
              </w:rPr>
              <w:t>，不断提高村级组织带领群众致富、建设社会主义新农村的本领。推进两个专项整治活动常态化、长效化，促进反腐倡廉工作深入开展，营造和谐的干群关系；3.加强干部队伍建设。加大对干部队伍的建设力度，培养一批思想好、本能强、业绩优、形象佳的干部，形成一种向上风气，让干事的干部有荣誉感，让不干事的干部有危机感，激励干部想干事、敢干事、能干事、干成事，由此带动全镇形成一股汹涌</w:t>
            </w:r>
            <w:r>
              <w:rPr>
                <w:rFonts w:hint="eastAsia" w:ascii="宋体" w:hAnsi="宋体" w:eastAsia="宋体" w:cs="宋体"/>
                <w:i w:val="0"/>
                <w:snapToGrid w:val="0"/>
                <w:color w:val="000000"/>
                <w:kern w:val="0"/>
                <w:sz w:val="18"/>
                <w:szCs w:val="18"/>
                <w:u w:val="none"/>
                <w:lang w:val="en-US" w:eastAsia="zh-CN" w:bidi="ar"/>
              </w:rPr>
              <w:t>澎湃</w:t>
            </w:r>
            <w:r>
              <w:rPr>
                <w:rFonts w:ascii="宋体" w:hAnsi="宋体" w:eastAsia="宋体" w:cs="宋体"/>
                <w:i w:val="0"/>
                <w:snapToGrid w:val="0"/>
                <w:color w:val="000000"/>
                <w:kern w:val="0"/>
                <w:sz w:val="18"/>
                <w:szCs w:val="18"/>
                <w:u w:val="none"/>
                <w:lang w:val="en-US" w:eastAsia="zh-CN" w:bidi="ar"/>
              </w:rPr>
              <w:t>的干事创业激流。</w:t>
            </w:r>
          </w:p>
        </w:tc>
      </w:tr>
      <w:tr w14:paraId="04B49053">
        <w:tblPrEx>
          <w:tblCellMar>
            <w:top w:w="0" w:type="dxa"/>
            <w:left w:w="0" w:type="dxa"/>
            <w:bottom w:w="0" w:type="dxa"/>
            <w:right w:w="0" w:type="dxa"/>
          </w:tblCellMar>
        </w:tblPrEx>
        <w:trPr>
          <w:trHeight w:val="569"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82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年度绩效指标</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49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A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二级指标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57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69B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绩效指标性质</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89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绩效指标值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9F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绩效度量单位</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8B6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权重</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7D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实际完成指标值</w:t>
            </w:r>
          </w:p>
        </w:tc>
      </w:tr>
      <w:tr w14:paraId="1B1369D7">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6BC33">
            <w:pPr>
              <w:jc w:val="center"/>
              <w:rPr>
                <w:rFonts w:hint="eastAsia" w:ascii="宋体" w:hAnsi="宋体" w:eastAsia="宋体" w:cs="宋体"/>
                <w:i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692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产出指标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538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数量指标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E2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青年创业、就业扶持宣传、招聘会活动开展次数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9D1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9A9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758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3EA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C12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14:paraId="1A55195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71E7B">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1C8E">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C1FE1">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F5F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维护妇女权益教育培训工作会开展场次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197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C3C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EB4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F46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073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14:paraId="7B304D9E">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FDA77">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8B202">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5EF3B">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3B7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文化室免费开放个数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D14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2E4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593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E98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00B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r>
      <w:tr w14:paraId="07DB61F3">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ED7D3">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12318">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868E8">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5DE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文明劝导活动开展人次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6A4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18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30F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7CB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AD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500</w:t>
            </w:r>
          </w:p>
        </w:tc>
      </w:tr>
      <w:tr w14:paraId="53D8ABD7">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C698D">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81F4">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48A60">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4B9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乡风文明宣传活动宣传开展次数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B35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176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969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E14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065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14:paraId="1C3D6208">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60521">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9BA3">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CB661">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4E4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校园安全隐患排查次数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BA6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CBF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59B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A3E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DD3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6</w:t>
            </w:r>
          </w:p>
        </w:tc>
      </w:tr>
      <w:tr w14:paraId="04BCEC5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3EFAC">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1E3C9">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39D69">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27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协助公安机关开展禁毒扫黑维稳巡逻次数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009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B74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DA7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0F4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EC7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30</w:t>
            </w:r>
          </w:p>
        </w:tc>
      </w:tr>
      <w:tr w14:paraId="166B1FCE">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142FA">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22C01">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68C9C">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A3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畜牧防疫次数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79E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382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945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A36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E57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w:t>
            </w:r>
          </w:p>
        </w:tc>
      </w:tr>
      <w:tr w14:paraId="3EE35E7A">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BC6F7">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0A42D">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823E7">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C3F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便民服务中心入驻人数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964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BB5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E51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F60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78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14:paraId="47F80D33">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FE77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C27D9">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7FB95">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E85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村、社区劝导员人数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16C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791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FD9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40C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2E1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w:t>
            </w:r>
          </w:p>
        </w:tc>
      </w:tr>
      <w:tr w14:paraId="7E117D29">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540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F7B26">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FE02D">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17A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道路交通安全专宣传活动次数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598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6A6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1D7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DA3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EA7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24</w:t>
            </w:r>
          </w:p>
        </w:tc>
      </w:tr>
      <w:tr w14:paraId="396D7416">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A38AC">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5C2F4">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93CA7">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409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防灾应急、消防演练活动开展次数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69A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EE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779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009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316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14:paraId="28AEFB9C">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A2C23">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2699F">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6CF56">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F5E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关心下一代及老人活动次数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600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E0F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401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26F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442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r>
      <w:tr w14:paraId="497E0F81">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4F95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B71FF">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BD954">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524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环境维护、治理改善次数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C88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919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9FC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97B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20B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36</w:t>
            </w:r>
          </w:p>
        </w:tc>
      </w:tr>
      <w:tr w14:paraId="34B31908">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549B4">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889EB">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F4995">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71C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机关住读人数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DBB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A6F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B3E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B38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132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48</w:t>
            </w:r>
          </w:p>
        </w:tc>
      </w:tr>
      <w:tr w14:paraId="4AA6D6D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3B7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408BC">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1C08A">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11C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纪检监察警示培训次数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314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1F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A07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3FB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A94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14:paraId="61911DE2">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21596">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4821C">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0646">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25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接待群众来访人次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AA6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068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D7D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E99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39F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168</w:t>
            </w:r>
          </w:p>
        </w:tc>
      </w:tr>
      <w:tr w14:paraId="169CBBB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DFA5C">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E5DAC">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E8C50">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6C9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开展法律服务次数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29F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8F3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C86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04F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081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r>
      <w:tr w14:paraId="56EDD4BE">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53922">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BE8CE">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7E7FB">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362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开展河道巡查次数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D70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F47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75C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779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8B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24</w:t>
            </w:r>
          </w:p>
        </w:tc>
      </w:tr>
      <w:tr w14:paraId="6CB0A81D">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2C30C">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84C2D">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0A29D">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619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开展上党课、党员教育次数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FB7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157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B59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A6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2CB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r>
      <w:tr w14:paraId="7EDBBA6E">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E62E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9AE76">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0F6FE">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599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两代会参加代表人数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322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B88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47B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BCC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276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210</w:t>
            </w:r>
          </w:p>
        </w:tc>
      </w:tr>
      <w:tr w14:paraId="66E45644">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28F72">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C2160">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FD245">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4F7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残疾人技能培训开展次数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B4B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987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64E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5B2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6DE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14:paraId="64C5D6CB">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6FA9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6EE08">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E190F">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043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派驻驻村队员人数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BC6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865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1F6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E16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F45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r>
      <w:tr w14:paraId="709F4CE0">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5FED2">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BA06E">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41808">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285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平安建设宣传活动开展场次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C86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EB7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4E2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场次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29C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3A9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r>
      <w:tr w14:paraId="1708ADAA">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96355">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7DB5A">
            <w:pPr>
              <w:jc w:val="left"/>
              <w:rPr>
                <w:rFonts w:hint="eastAsia" w:ascii="宋体" w:hAnsi="宋体" w:eastAsia="宋体" w:cs="宋体"/>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E1A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质量指标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9D97F">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snapToGrid w:val="0"/>
                <w:color w:val="000000"/>
                <w:kern w:val="0"/>
                <w:sz w:val="18"/>
                <w:szCs w:val="18"/>
                <w:u w:val="none"/>
                <w:lang w:val="en-US" w:eastAsia="zh-CN" w:bidi="ar"/>
              </w:rPr>
              <w:t>镇机关及村社干部警示教育与法纪宣传覆盖率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F13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AD6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D4D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E40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B1D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r>
      <w:tr w14:paraId="2BACDE3C">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1725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02B23">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A9D87">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884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便民服务中心人员出勤率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FF2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9BE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0CC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F9C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799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227B4AFC">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C5461">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76243">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65BA4">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9AC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场镇清洁维护覆盖率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D23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1AD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18E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961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82A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93</w:t>
            </w:r>
          </w:p>
        </w:tc>
      </w:tr>
      <w:tr w14:paraId="1EE3B972">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1AEEE">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DBEC6">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BBA51">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BF5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村（社区）第一书记、驻村队员出勤率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A46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102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E1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8A9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BB9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34B08624">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5729">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E7FAF">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44DA2">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D8E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党建教育活动党员参会率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BAB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5F5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6F6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439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8E0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01BC0BDC">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D68B9">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9CADA">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1939F">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6BF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活动事故发生率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28F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950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8AF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54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783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0</w:t>
            </w:r>
          </w:p>
        </w:tc>
      </w:tr>
      <w:tr w14:paraId="22407C17">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5119">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F2F32">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9C344">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04B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机关住读人员到位率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909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A63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EBD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5AC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C1B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05A7AC61">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D00B5">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D9503">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92F09">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585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两代会代表参会率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CDC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686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AA2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3A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453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96</w:t>
            </w:r>
          </w:p>
        </w:tc>
      </w:tr>
      <w:tr w14:paraId="0F9DB24F">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E0B17">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1BB9B">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C178E">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16B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矛盾纠纷、信访事件化解率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FFE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EA1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D70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FD5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1F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45FD2CA4">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32B5A">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02A15">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0EAE9">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28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文化站免费开放率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DE3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7F0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558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3AC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81F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r>
      <w:tr w14:paraId="1140120F">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5D7B0">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D748D">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3FEA5">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22B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乡（镇）、村（社区）劝导员到位出勤率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C79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621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9D7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918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28D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95</w:t>
            </w:r>
          </w:p>
        </w:tc>
      </w:tr>
      <w:tr w14:paraId="082BFC8A">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0FB68">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B6232">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9D600">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ECB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新型农村合作医疗参保率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06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1C1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DC5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F7E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F5E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786E6F3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A64F2">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4E1D7">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D5307">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27F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养老保险缴存和到龄人员数据采集率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037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5DF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B16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067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71D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90</w:t>
            </w:r>
          </w:p>
        </w:tc>
      </w:tr>
      <w:tr w14:paraId="5D5B5C6C">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4DB9D">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47E0B">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36E0B">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EB6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重点养殖户防疫检查、督查率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683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DAD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8AC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E74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8A5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w:t>
            </w:r>
          </w:p>
        </w:tc>
      </w:tr>
      <w:tr w14:paraId="20BB9EFB">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C86F6">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1BFA4">
            <w:pPr>
              <w:jc w:val="lef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42E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时效指标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0D7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各项工作任务完成时限</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991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485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033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月</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AD0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2.5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C4B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12</w:t>
            </w:r>
          </w:p>
        </w:tc>
      </w:tr>
      <w:tr w14:paraId="2CEDF4D0">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47E96">
            <w:pPr>
              <w:jc w:val="center"/>
              <w:rPr>
                <w:rFonts w:hint="eastAsia" w:ascii="宋体" w:hAnsi="宋体" w:eastAsia="宋体" w:cs="宋体"/>
                <w:i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ED5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效益指标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602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社会效益指标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0DE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保障人民群众的知情权、参与权和表达权</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B17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A87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1640A">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399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2A1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提高</w:t>
            </w:r>
          </w:p>
        </w:tc>
      </w:tr>
      <w:tr w14:paraId="15EA6589">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8AAC9">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F3DD2">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926AA">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D2B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扶老爱幼的社会氛围</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D90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985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B510D">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9F6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B50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提升</w:t>
            </w:r>
          </w:p>
        </w:tc>
      </w:tr>
      <w:tr w14:paraId="2631DB2E">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03BE6">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645A9">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10983">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A54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改善人居环境</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681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E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持续改善</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7384B">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AD3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36A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持续改善</w:t>
            </w:r>
          </w:p>
        </w:tc>
      </w:tr>
      <w:tr w14:paraId="0C009F1C">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1CC72">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BAD2F">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CD73C">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DD9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减少违法犯罪发生率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3F3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CE2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减少</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C2377">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D0D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841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减少</w:t>
            </w:r>
          </w:p>
        </w:tc>
      </w:tr>
      <w:tr w14:paraId="4033CA4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4B51D">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C5E4E">
            <w:pPr>
              <w:jc w:val="left"/>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ABB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可持续发展指标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4EE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工作长效机制健全性</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EEA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2B1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健全</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80667">
            <w:pPr>
              <w:jc w:val="left"/>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5D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743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健全</w:t>
            </w:r>
          </w:p>
        </w:tc>
      </w:tr>
      <w:tr w14:paraId="03F85525">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A2E6F">
            <w:pPr>
              <w:jc w:val="center"/>
              <w:rPr>
                <w:rFonts w:hint="eastAsia" w:ascii="宋体" w:hAnsi="宋体" w:eastAsia="宋体" w:cs="宋体"/>
                <w:i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FC1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D88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满意度指标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A5E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单位职工满意度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F76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489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A8B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A4F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84C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97</w:t>
            </w:r>
          </w:p>
        </w:tc>
      </w:tr>
      <w:tr w14:paraId="1944EB18">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E3746">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EB1B">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F17E4">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787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辖区群众满意度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51D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104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759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5C2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812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93</w:t>
            </w:r>
          </w:p>
        </w:tc>
      </w:tr>
      <w:tr w14:paraId="7E23560F">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1256A">
            <w:pPr>
              <w:jc w:val="center"/>
              <w:rPr>
                <w:rFonts w:hint="eastAsia" w:ascii="宋体" w:hAnsi="宋体" w:eastAsia="宋体" w:cs="宋体"/>
                <w:i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895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成本指标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E0E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经济成本指标</w:t>
            </w: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127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公用经费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463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F0B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76.4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F18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594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596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76.4</w:t>
            </w:r>
          </w:p>
        </w:tc>
      </w:tr>
      <w:tr w14:paraId="5B35EDC6">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C691D">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30EAE">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F5D00">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5C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人员经费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ABF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51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1008.98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D7E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D17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B85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1008.98</w:t>
            </w:r>
          </w:p>
        </w:tc>
      </w:tr>
      <w:tr w14:paraId="2D1C7C1E">
        <w:tblPrEx>
          <w:tblCellMar>
            <w:top w:w="0" w:type="dxa"/>
            <w:left w:w="0" w:type="dxa"/>
            <w:bottom w:w="0" w:type="dxa"/>
            <w:right w:w="0" w:type="dxa"/>
          </w:tblCellMar>
        </w:tblPrEx>
        <w:trPr>
          <w:trHeight w:val="569"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3CEFF">
            <w:pPr>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204F2">
            <w:pPr>
              <w:jc w:val="left"/>
              <w:rPr>
                <w:rFonts w:hint="eastAsia" w:ascii="宋体" w:hAnsi="宋体" w:eastAsia="宋体" w:cs="宋体"/>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117AF">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4BF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项目经费</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929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6B5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340.86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C27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CB4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EB5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snapToGrid w:val="0"/>
                <w:color w:val="000000"/>
                <w:kern w:val="0"/>
                <w:sz w:val="18"/>
                <w:szCs w:val="18"/>
                <w:u w:val="none"/>
                <w:lang w:val="en-US" w:eastAsia="zh-CN" w:bidi="ar"/>
              </w:rPr>
              <w:t>340.86</w:t>
            </w:r>
          </w:p>
        </w:tc>
      </w:tr>
    </w:tbl>
    <w:p w14:paraId="1226DB08">
      <w:pPr>
        <w:rPr>
          <w:rFonts w:ascii="Arial"/>
          <w:sz w:val="21"/>
          <w:highlight w:val="none"/>
        </w:rPr>
      </w:pPr>
    </w:p>
    <w:p w14:paraId="282CFB12">
      <w:pPr>
        <w:spacing w:line="222" w:lineRule="auto"/>
        <w:rPr>
          <w:rFonts w:hint="default" w:ascii="仿宋" w:hAnsi="仿宋" w:eastAsia="仿宋" w:cs="仿宋"/>
          <w:snapToGrid w:val="0"/>
          <w:color w:val="000000"/>
          <w:spacing w:val="-2"/>
          <w:kern w:val="0"/>
          <w:sz w:val="32"/>
          <w:szCs w:val="32"/>
          <w:lang w:val="en-US" w:eastAsia="zh-CN" w:bidi="ar-SA"/>
        </w:rPr>
        <w:sectPr>
          <w:footerReference r:id="rId5" w:type="default"/>
          <w:pgSz w:w="11990" w:h="16870"/>
          <w:pgMar w:top="1433" w:right="1564" w:bottom="1154" w:left="1589" w:header="0" w:footer="837" w:gutter="0"/>
          <w:cols w:space="720" w:num="1"/>
        </w:sectPr>
      </w:pPr>
    </w:p>
    <w:p w14:paraId="1D3526E3">
      <w:pPr>
        <w:rPr>
          <w:rFonts w:ascii="Arial"/>
          <w:sz w:val="21"/>
          <w:highlight w:val="none"/>
        </w:rPr>
      </w:pPr>
    </w:p>
    <w:sectPr>
      <w:footerReference r:id="rId6" w:type="default"/>
      <w:pgSz w:w="12010" w:h="16870"/>
      <w:pgMar w:top="1433" w:right="675" w:bottom="1158" w:left="775" w:header="0" w:footer="8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32CF">
    <w:pPr>
      <w:spacing w:line="177" w:lineRule="auto"/>
      <w:rPr>
        <w:rFonts w:ascii="宋体" w:hAnsi="宋体" w:eastAsia="宋体" w:cs="宋体"/>
        <w:sz w:val="32"/>
        <w:szCs w:val="32"/>
      </w:rPr>
    </w:pPr>
    <w:r>
      <w:rPr>
        <w:rFonts w:ascii="宋体" w:hAnsi="宋体" w:eastAsia="宋体" w:cs="宋体"/>
        <w:spacing w:val="-19"/>
        <w:w w:val="99"/>
        <w:sz w:val="32"/>
        <w:szCs w:val="32"/>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CAE2">
    <w:pPr>
      <w:spacing w:line="175" w:lineRule="auto"/>
      <w:ind w:left="8565"/>
      <w:rPr>
        <w:rFonts w:ascii="宋体" w:hAnsi="宋体" w:eastAsia="宋体" w:cs="宋体"/>
        <w:sz w:val="30"/>
        <w:szCs w:val="30"/>
      </w:rPr>
    </w:pPr>
    <w:r>
      <w:rPr>
        <w:rFonts w:ascii="宋体" w:hAnsi="宋体" w:eastAsia="宋体" w:cs="宋体"/>
        <w:spacing w:val="-10"/>
        <w:sz w:val="30"/>
        <w:szCs w:val="3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mExMTkwMGU5NjFlYmNkOWI4YTU1YWQ2ZmQ0YmI4NDMifQ=="/>
  </w:docVars>
  <w:rsids>
    <w:rsidRoot w:val="00000000"/>
    <w:rsid w:val="00C2077E"/>
    <w:rsid w:val="01DD3C4D"/>
    <w:rsid w:val="02365500"/>
    <w:rsid w:val="025468B3"/>
    <w:rsid w:val="02810A7C"/>
    <w:rsid w:val="029D0646"/>
    <w:rsid w:val="02C36BA7"/>
    <w:rsid w:val="03962305"/>
    <w:rsid w:val="03C240D6"/>
    <w:rsid w:val="03FC0AFB"/>
    <w:rsid w:val="040556DD"/>
    <w:rsid w:val="04802CE4"/>
    <w:rsid w:val="057C552B"/>
    <w:rsid w:val="0847418A"/>
    <w:rsid w:val="085F360E"/>
    <w:rsid w:val="08DF1A43"/>
    <w:rsid w:val="08E41D65"/>
    <w:rsid w:val="095073FA"/>
    <w:rsid w:val="09A777B0"/>
    <w:rsid w:val="0AB13FC6"/>
    <w:rsid w:val="0ABE01E0"/>
    <w:rsid w:val="0AE93662"/>
    <w:rsid w:val="0B48482D"/>
    <w:rsid w:val="0BD63CD5"/>
    <w:rsid w:val="0D752412"/>
    <w:rsid w:val="0E5C239D"/>
    <w:rsid w:val="0EB6385C"/>
    <w:rsid w:val="110034B4"/>
    <w:rsid w:val="11447845"/>
    <w:rsid w:val="11E608FC"/>
    <w:rsid w:val="12380A2C"/>
    <w:rsid w:val="12D15108"/>
    <w:rsid w:val="13031039"/>
    <w:rsid w:val="13D4482A"/>
    <w:rsid w:val="141168F3"/>
    <w:rsid w:val="145002AE"/>
    <w:rsid w:val="15235651"/>
    <w:rsid w:val="1599549B"/>
    <w:rsid w:val="161E1FF2"/>
    <w:rsid w:val="16C21A5D"/>
    <w:rsid w:val="17152750"/>
    <w:rsid w:val="1771382D"/>
    <w:rsid w:val="177E5132"/>
    <w:rsid w:val="17C23271"/>
    <w:rsid w:val="17F37BC0"/>
    <w:rsid w:val="180C0990"/>
    <w:rsid w:val="18E54BB3"/>
    <w:rsid w:val="198C7FDB"/>
    <w:rsid w:val="19D13C3F"/>
    <w:rsid w:val="1A930EF5"/>
    <w:rsid w:val="1B570174"/>
    <w:rsid w:val="1C533032"/>
    <w:rsid w:val="1CD557F5"/>
    <w:rsid w:val="1D631052"/>
    <w:rsid w:val="1D743260"/>
    <w:rsid w:val="1D835251"/>
    <w:rsid w:val="1DB23D88"/>
    <w:rsid w:val="1E69474C"/>
    <w:rsid w:val="1E7B061E"/>
    <w:rsid w:val="1EE066D3"/>
    <w:rsid w:val="1F2E743E"/>
    <w:rsid w:val="1F775289"/>
    <w:rsid w:val="1FA63478"/>
    <w:rsid w:val="1FB21E1D"/>
    <w:rsid w:val="1FB55BA4"/>
    <w:rsid w:val="203171E6"/>
    <w:rsid w:val="205253AE"/>
    <w:rsid w:val="20621A95"/>
    <w:rsid w:val="20F867E0"/>
    <w:rsid w:val="21296470"/>
    <w:rsid w:val="2157293E"/>
    <w:rsid w:val="21CB5544"/>
    <w:rsid w:val="21F879CD"/>
    <w:rsid w:val="22370A19"/>
    <w:rsid w:val="224026D3"/>
    <w:rsid w:val="22AC524A"/>
    <w:rsid w:val="22FD0B13"/>
    <w:rsid w:val="23B720F8"/>
    <w:rsid w:val="24864CD7"/>
    <w:rsid w:val="26EB3E67"/>
    <w:rsid w:val="2838172D"/>
    <w:rsid w:val="285C501C"/>
    <w:rsid w:val="287D0AC2"/>
    <w:rsid w:val="2ABA24CE"/>
    <w:rsid w:val="2B5B15BB"/>
    <w:rsid w:val="2C1E1468"/>
    <w:rsid w:val="2C8D7985"/>
    <w:rsid w:val="2D2C0701"/>
    <w:rsid w:val="2DC93154"/>
    <w:rsid w:val="2DFD7CA4"/>
    <w:rsid w:val="30D77936"/>
    <w:rsid w:val="311F1FA2"/>
    <w:rsid w:val="31D420C7"/>
    <w:rsid w:val="329126C7"/>
    <w:rsid w:val="33010C9A"/>
    <w:rsid w:val="33B15246"/>
    <w:rsid w:val="359E4EC6"/>
    <w:rsid w:val="35FC0710"/>
    <w:rsid w:val="361433DA"/>
    <w:rsid w:val="362A675A"/>
    <w:rsid w:val="363C023B"/>
    <w:rsid w:val="36D74EA0"/>
    <w:rsid w:val="375A54C6"/>
    <w:rsid w:val="380B3301"/>
    <w:rsid w:val="38284F1B"/>
    <w:rsid w:val="388F2F70"/>
    <w:rsid w:val="38C64383"/>
    <w:rsid w:val="39535FC7"/>
    <w:rsid w:val="3A1439A9"/>
    <w:rsid w:val="3A1C72B7"/>
    <w:rsid w:val="3AE8273F"/>
    <w:rsid w:val="3B2A2D58"/>
    <w:rsid w:val="3BBD83E9"/>
    <w:rsid w:val="3C800180"/>
    <w:rsid w:val="3D74650C"/>
    <w:rsid w:val="3DAA29BA"/>
    <w:rsid w:val="3DC456E6"/>
    <w:rsid w:val="3DF0268F"/>
    <w:rsid w:val="3E66679D"/>
    <w:rsid w:val="3E7624FA"/>
    <w:rsid w:val="3E8B6203"/>
    <w:rsid w:val="3EB56DDC"/>
    <w:rsid w:val="3F2521B4"/>
    <w:rsid w:val="3F8A07FD"/>
    <w:rsid w:val="4051580E"/>
    <w:rsid w:val="406C796F"/>
    <w:rsid w:val="40FC63F3"/>
    <w:rsid w:val="4133239F"/>
    <w:rsid w:val="414865FC"/>
    <w:rsid w:val="41E023A2"/>
    <w:rsid w:val="42447D64"/>
    <w:rsid w:val="42E87E65"/>
    <w:rsid w:val="44C9538F"/>
    <w:rsid w:val="44F3065E"/>
    <w:rsid w:val="456B1C4B"/>
    <w:rsid w:val="45D3296A"/>
    <w:rsid w:val="45FD2125"/>
    <w:rsid w:val="4755115C"/>
    <w:rsid w:val="475A49C5"/>
    <w:rsid w:val="47CB7671"/>
    <w:rsid w:val="484D449A"/>
    <w:rsid w:val="49631BE5"/>
    <w:rsid w:val="497521C3"/>
    <w:rsid w:val="49DD73A3"/>
    <w:rsid w:val="4B490FD8"/>
    <w:rsid w:val="4B766A70"/>
    <w:rsid w:val="4C6065D9"/>
    <w:rsid w:val="4C765DFD"/>
    <w:rsid w:val="4C7958ED"/>
    <w:rsid w:val="4CF65190"/>
    <w:rsid w:val="4D2717ED"/>
    <w:rsid w:val="4D2E751A"/>
    <w:rsid w:val="4D6E2F78"/>
    <w:rsid w:val="4E5A1C6A"/>
    <w:rsid w:val="4E7B594C"/>
    <w:rsid w:val="4FF9121F"/>
    <w:rsid w:val="50343E93"/>
    <w:rsid w:val="50BD7CCB"/>
    <w:rsid w:val="51705535"/>
    <w:rsid w:val="51C55131"/>
    <w:rsid w:val="524A1E1B"/>
    <w:rsid w:val="52636E23"/>
    <w:rsid w:val="52E07522"/>
    <w:rsid w:val="5314011E"/>
    <w:rsid w:val="53807BF6"/>
    <w:rsid w:val="54134955"/>
    <w:rsid w:val="54146EC2"/>
    <w:rsid w:val="54990207"/>
    <w:rsid w:val="55164621"/>
    <w:rsid w:val="554A7ADE"/>
    <w:rsid w:val="554E5EE5"/>
    <w:rsid w:val="562B5EAA"/>
    <w:rsid w:val="576B029A"/>
    <w:rsid w:val="579161E1"/>
    <w:rsid w:val="57FB28B2"/>
    <w:rsid w:val="58030698"/>
    <w:rsid w:val="58242BB1"/>
    <w:rsid w:val="588539E9"/>
    <w:rsid w:val="58A00076"/>
    <w:rsid w:val="5991071A"/>
    <w:rsid w:val="59BC3B9D"/>
    <w:rsid w:val="5ADC7773"/>
    <w:rsid w:val="5B7B51DE"/>
    <w:rsid w:val="5C425CFC"/>
    <w:rsid w:val="5C533A65"/>
    <w:rsid w:val="5DB0123F"/>
    <w:rsid w:val="5F3F4774"/>
    <w:rsid w:val="5F7A57AC"/>
    <w:rsid w:val="60114363"/>
    <w:rsid w:val="6151078F"/>
    <w:rsid w:val="61D75138"/>
    <w:rsid w:val="637864A7"/>
    <w:rsid w:val="63D77671"/>
    <w:rsid w:val="64C86FBA"/>
    <w:rsid w:val="651D49A7"/>
    <w:rsid w:val="65EE47FE"/>
    <w:rsid w:val="661321B2"/>
    <w:rsid w:val="664E33E9"/>
    <w:rsid w:val="666C2594"/>
    <w:rsid w:val="66AB26EF"/>
    <w:rsid w:val="66CA526B"/>
    <w:rsid w:val="66CF3A22"/>
    <w:rsid w:val="675264B1"/>
    <w:rsid w:val="682B1D3A"/>
    <w:rsid w:val="69B04DAA"/>
    <w:rsid w:val="69DD1747"/>
    <w:rsid w:val="6A7A0D56"/>
    <w:rsid w:val="6A7A3CF4"/>
    <w:rsid w:val="6B00125C"/>
    <w:rsid w:val="6BF93001"/>
    <w:rsid w:val="6C9E52FF"/>
    <w:rsid w:val="6D5C5D95"/>
    <w:rsid w:val="6D8B6DD7"/>
    <w:rsid w:val="6E31797E"/>
    <w:rsid w:val="6E405E13"/>
    <w:rsid w:val="6E8977BA"/>
    <w:rsid w:val="6FDD36CC"/>
    <w:rsid w:val="706B3E82"/>
    <w:rsid w:val="7134080B"/>
    <w:rsid w:val="719B59DA"/>
    <w:rsid w:val="71EE431C"/>
    <w:rsid w:val="72AE233B"/>
    <w:rsid w:val="72B34E05"/>
    <w:rsid w:val="73014ED1"/>
    <w:rsid w:val="731B06AF"/>
    <w:rsid w:val="74962C31"/>
    <w:rsid w:val="74A25132"/>
    <w:rsid w:val="751678CE"/>
    <w:rsid w:val="757A7E5C"/>
    <w:rsid w:val="75EF084A"/>
    <w:rsid w:val="7621652A"/>
    <w:rsid w:val="76733229"/>
    <w:rsid w:val="77672662"/>
    <w:rsid w:val="77AB254F"/>
    <w:rsid w:val="78414C61"/>
    <w:rsid w:val="78BB2C66"/>
    <w:rsid w:val="793149C1"/>
    <w:rsid w:val="79577B50"/>
    <w:rsid w:val="7961380D"/>
    <w:rsid w:val="79B25E17"/>
    <w:rsid w:val="7B1D3764"/>
    <w:rsid w:val="7B7470FC"/>
    <w:rsid w:val="7BC41E31"/>
    <w:rsid w:val="7C00607E"/>
    <w:rsid w:val="7C594C70"/>
    <w:rsid w:val="7C893140"/>
    <w:rsid w:val="7C950E2A"/>
    <w:rsid w:val="7CAF571D"/>
    <w:rsid w:val="7CB4634A"/>
    <w:rsid w:val="7CEE0851"/>
    <w:rsid w:val="7CFE75C5"/>
    <w:rsid w:val="7D605B8A"/>
    <w:rsid w:val="7E9E48A6"/>
    <w:rsid w:val="7EBE0DBA"/>
    <w:rsid w:val="7F8F6934"/>
    <w:rsid w:val="EE4A71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Plain Text"/>
    <w:basedOn w:val="1"/>
    <w:qFormat/>
    <w:uiPriority w:val="0"/>
    <w:rPr>
      <w:rFonts w:ascii="宋体" w:hAnsi="Courier New" w:cs="Courier New"/>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6837</Words>
  <Characters>7202</Characters>
  <TotalTime>2</TotalTime>
  <ScaleCrop>false</ScaleCrop>
  <LinksUpToDate>false</LinksUpToDate>
  <CharactersWithSpaces>7317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2024-07-25T10:15:00Z</dcterms:created>
  <dc:creator>Kingsoft-PDF</dc:creator>
  <cp:lastModifiedBy>钟耀辉</cp:lastModifiedBy>
  <dcterms:modified xsi:type="dcterms:W3CDTF">2025-10-30T00:47:15Z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2024-07-24T10:15:34Z</vt:filetime>
  </property>
  <property fmtid="{D5CDD505-2E9C-101B-9397-08002B2CF9AE}" pid="4" name="UsrData">
    <vt:lpwstr>66a063c13342bc001f4dcb65wl</vt:lpwstr>
  </property>
  <property fmtid="{D5CDD505-2E9C-101B-9397-08002B2CF9AE}" pid="5" name="KSOProductBuildVer">
    <vt:lpwstr>2052-12.1.0.21915</vt:lpwstr>
  </property>
  <property fmtid="{D5CDD505-2E9C-101B-9397-08002B2CF9AE}" pid="6" name="ICV">
    <vt:lpwstr>0E48DF3A3D0C4007BD666C6F999C34BB_13</vt:lpwstr>
  </property>
  <property fmtid="{D5CDD505-2E9C-101B-9397-08002B2CF9AE}" pid="7" name="KSOTemplateDocerSaveRecord">
    <vt:lpwstr>eyJoZGlkIjoiYzRhZTZlN2M0NGU3NmUyYTMyYThlOWNjODAxMTc4NjgiLCJ1c2VySWQiOiIxNzEzMjE3MzA5In0=</vt:lpwstr>
  </property>
</Properties>
</file>