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6780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黑体" w:hAnsi="黑体" w:eastAsia="黑体" w:cs="黑体"/>
          <w:b/>
          <w:bCs w:val="0"/>
          <w:sz w:val="52"/>
          <w:szCs w:val="52"/>
          <w:highlight w:val="none"/>
          <w:shd w:val="clear" w:color="auto" w:fill="FFFFFF"/>
          <w:lang w:eastAsia="zh-CN"/>
        </w:rPr>
      </w:pPr>
      <w:bookmarkStart w:id="0" w:name="_Toc15377226"/>
      <w:r>
        <w:rPr>
          <w:rFonts w:hint="eastAsia" w:ascii="黑体" w:hAnsi="黑体" w:eastAsia="黑体" w:cs="黑体"/>
          <w:b/>
          <w:bCs w:val="0"/>
          <w:sz w:val="52"/>
          <w:szCs w:val="52"/>
          <w:highlight w:val="none"/>
          <w:shd w:val="clear" w:color="auto" w:fill="FFFFFF"/>
          <w:lang w:eastAsia="zh-CN"/>
        </w:rPr>
        <w:t>渠县定远镇人民政府</w:t>
      </w:r>
    </w:p>
    <w:p w14:paraId="1537705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黑体" w:hAnsi="黑体" w:eastAsia="黑体" w:cs="黑体"/>
          <w:b/>
          <w:bCs w:val="0"/>
          <w:sz w:val="52"/>
          <w:szCs w:val="52"/>
          <w:highlight w:val="none"/>
          <w:shd w:val="clear" w:color="auto" w:fill="FFFFFF"/>
        </w:rPr>
      </w:pPr>
      <w:r>
        <w:rPr>
          <w:rFonts w:hint="eastAsia" w:ascii="黑体" w:hAnsi="黑体" w:eastAsia="黑体" w:cs="黑体"/>
          <w:b/>
          <w:bCs w:val="0"/>
          <w:sz w:val="52"/>
          <w:szCs w:val="52"/>
          <w:highlight w:val="none"/>
          <w:shd w:val="clear" w:color="auto" w:fill="FFFFFF"/>
        </w:rPr>
        <w:t>部门</w:t>
      </w:r>
      <w:r>
        <w:rPr>
          <w:rFonts w:hint="eastAsia" w:ascii="黑体" w:hAnsi="黑体" w:eastAsia="黑体" w:cs="黑体"/>
          <w:b/>
          <w:bCs w:val="0"/>
          <w:sz w:val="52"/>
          <w:szCs w:val="52"/>
          <w:highlight w:val="none"/>
          <w:shd w:val="clear" w:color="auto" w:fill="FFFFFF"/>
          <w:lang w:eastAsia="zh-CN"/>
        </w:rPr>
        <w:t>预算整体</w:t>
      </w:r>
      <w:r>
        <w:rPr>
          <w:rFonts w:hint="eastAsia" w:ascii="黑体" w:hAnsi="黑体" w:eastAsia="黑体" w:cs="黑体"/>
          <w:b/>
          <w:bCs w:val="0"/>
          <w:sz w:val="52"/>
          <w:szCs w:val="52"/>
          <w:highlight w:val="none"/>
          <w:shd w:val="clear" w:color="auto" w:fill="FFFFFF"/>
        </w:rPr>
        <w:t>绩效</w:t>
      </w:r>
      <w:r>
        <w:rPr>
          <w:rFonts w:hint="eastAsia" w:ascii="黑体" w:hAnsi="黑体" w:eastAsia="黑体" w:cs="黑体"/>
          <w:b/>
          <w:bCs w:val="0"/>
          <w:sz w:val="52"/>
          <w:szCs w:val="52"/>
          <w:highlight w:val="none"/>
          <w:shd w:val="clear" w:color="auto" w:fill="FFFFFF"/>
          <w:lang w:eastAsia="zh-CN"/>
        </w:rPr>
        <w:t>评价</w:t>
      </w:r>
      <w:r>
        <w:rPr>
          <w:rFonts w:hint="eastAsia" w:ascii="黑体" w:hAnsi="黑体" w:eastAsia="黑体" w:cs="黑体"/>
          <w:b/>
          <w:bCs w:val="0"/>
          <w:sz w:val="52"/>
          <w:szCs w:val="52"/>
          <w:highlight w:val="none"/>
          <w:shd w:val="clear" w:color="auto" w:fill="FFFFFF"/>
        </w:rPr>
        <w:t>报告</w:t>
      </w:r>
    </w:p>
    <w:p w14:paraId="3BAF8871">
      <w:pPr>
        <w:pStyle w:val="2"/>
        <w:rPr>
          <w:rFonts w:hint="default" w:ascii="Times New Roman" w:hAnsi="Times New Roman" w:cs="Times New Roman"/>
        </w:rPr>
      </w:pPr>
    </w:p>
    <w:p w14:paraId="53C8A2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44"/>
          <w:szCs w:val="44"/>
          <w:highlight w:val="none"/>
          <w:shd w:val="clear" w:color="auto" w:fill="FFFFFF"/>
          <w:lang w:val="zh-CN"/>
        </w:rPr>
      </w:pPr>
      <w:r>
        <w:rPr>
          <w:rFonts w:hint="default" w:ascii="Times New Roman" w:hAnsi="Times New Roman" w:eastAsia="黑体" w:cs="Times New Roman"/>
          <w:b/>
          <w:bCs/>
          <w:color w:val="000000"/>
          <w:kern w:val="0"/>
          <w:sz w:val="44"/>
          <w:szCs w:val="44"/>
          <w:highlight w:val="none"/>
          <w:shd w:val="clear" w:color="auto" w:fill="FFFFFF"/>
          <w:lang w:val="zh-CN"/>
        </w:rPr>
        <w:t>一、部门（单位）基本情况</w:t>
      </w:r>
    </w:p>
    <w:p w14:paraId="2976E4F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val="0"/>
          <w:color w:val="auto"/>
          <w:sz w:val="32"/>
          <w:szCs w:val="32"/>
          <w:highlight w:val="none"/>
          <w:lang w:val="zh-CN"/>
        </w:rPr>
        <w:t>（一）机构组成。</w:t>
      </w:r>
      <w:r>
        <w:rPr>
          <w:rFonts w:hint="eastAsia" w:ascii="仿宋_GB2312" w:hAnsi="仿宋_GB2312" w:eastAsia="仿宋_GB2312" w:cs="仿宋_GB2312"/>
          <w:sz w:val="32"/>
          <w:szCs w:val="32"/>
        </w:rPr>
        <w:t>渠县</w:t>
      </w:r>
      <w:r>
        <w:rPr>
          <w:rFonts w:hint="eastAsia" w:ascii="仿宋_GB2312" w:hAnsi="仿宋_GB2312" w:eastAsia="仿宋_GB2312" w:cs="仿宋_GB2312"/>
          <w:sz w:val="32"/>
          <w:szCs w:val="32"/>
          <w:lang w:eastAsia="zh-CN"/>
        </w:rPr>
        <w:t>定远镇</w:t>
      </w:r>
      <w:r>
        <w:rPr>
          <w:rFonts w:hint="eastAsia" w:ascii="仿宋_GB2312" w:hAnsi="仿宋_GB2312" w:eastAsia="仿宋_GB2312" w:cs="仿宋_GB2312"/>
          <w:sz w:val="32"/>
          <w:szCs w:val="32"/>
        </w:rPr>
        <w:t>人民政府为独立核算的行政单位，是一级预算单位。根据编委核定，我镇内设机构11个：包括党政综合办事机构、党建办公室、综合执法办公室、经济发展办公室、社会事务办公室、应急管理办公室、财政所、农民工服务中心、农业综合服务中心、村镇建设综合服务中心、便民服务中心。</w:t>
      </w:r>
    </w:p>
    <w:p w14:paraId="2164628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val="0"/>
          <w:color w:val="auto"/>
          <w:sz w:val="32"/>
          <w:szCs w:val="32"/>
          <w:highlight w:val="none"/>
          <w:lang w:val="zh-CN"/>
        </w:rPr>
      </w:pPr>
      <w:r>
        <w:rPr>
          <w:rFonts w:hint="eastAsia" w:ascii="仿宋_GB2312" w:hAnsi="仿宋_GB2312" w:eastAsia="仿宋_GB2312" w:cs="仿宋_GB2312"/>
          <w:b/>
          <w:bCs w:val="0"/>
          <w:color w:val="auto"/>
          <w:sz w:val="32"/>
          <w:szCs w:val="32"/>
          <w:highlight w:val="none"/>
          <w:lang w:val="zh-CN"/>
        </w:rPr>
        <w:t>（二）机构职能。</w:t>
      </w:r>
    </w:p>
    <w:p w14:paraId="7A86DB0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1.落实政策。宣传、落实好党的路线、方针、政策和国家的法律、法规，稳定农村基本经济制度，坚持依法行政，推进政务公开，加强对村民委员会的指导，培育和提高村民委员会自治能力。</w:t>
      </w:r>
    </w:p>
    <w:p w14:paraId="07A8218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2.促进发展。</w:t>
      </w:r>
      <w:r>
        <w:rPr>
          <w:rFonts w:hint="eastAsia" w:ascii="仿宋_GB2312" w:hAnsi="仿宋_GB2312" w:eastAsia="仿宋_GB2312" w:cs="仿宋_GB2312"/>
          <w:sz w:val="32"/>
          <w:szCs w:val="32"/>
          <w:lang w:val="en-US" w:eastAsia="zh-CN"/>
        </w:rPr>
        <w:t xml:space="preserve">科学制定发展规划，营造农村经济发展环境，加强农村市场监督、监管，培育和提升市场功能，搞活市场流通，推广农业技术，完善农业社会化服务体系，引导农民发展现代农业，调整产业结构，加强农村劳动力技能培训,引导农村劳动力转移和就业，不断提高乡村振兴水平。 </w:t>
      </w:r>
    </w:p>
    <w:p w14:paraId="31871C7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3.维护稳定。</w:t>
      </w:r>
      <w:r>
        <w:rPr>
          <w:rFonts w:hint="eastAsia" w:ascii="仿宋_GB2312" w:hAnsi="仿宋_GB2312" w:eastAsia="仿宋_GB2312" w:cs="仿宋_GB2312"/>
          <w:sz w:val="32"/>
          <w:szCs w:val="32"/>
          <w:lang w:val="en-US" w:eastAsia="zh-CN"/>
        </w:rPr>
        <w:t>坚持“立党为公，执政为民”，紧紧围绕实现和维护群众利益开展工作，着力解决人民群众最关心、最直接、最现实的利益问题。加强和巩固农村基层政权建设和民主法制建设，加强社会治安综合治理，加强对突发事件的预警和管理，建立、健全各种应急机制，加强民事纠纷调解，化解农村社会矛盾，开展农村扶贫和社会救助，切实保障人民群众合法权益，维护农村社会稳定。</w:t>
      </w:r>
    </w:p>
    <w:p w14:paraId="35E3124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4.加强管理。</w:t>
      </w:r>
      <w:r>
        <w:rPr>
          <w:rFonts w:hint="eastAsia" w:ascii="仿宋_GB2312" w:hAnsi="仿宋_GB2312" w:eastAsia="仿宋_GB2312" w:cs="仿宋_GB2312"/>
          <w:sz w:val="32"/>
          <w:szCs w:val="32"/>
          <w:lang w:val="en-US" w:eastAsia="zh-CN"/>
        </w:rPr>
        <w:t>加强民政、教育、科技、文化、卫生健康、安全生产、劳动保障和乡村规划等社会管理，加强社会主义精神文明建设，做好防灾减灾工作，加强环境保护，改善农村人居环境，提高农村人口素质和农民生活质量。</w:t>
      </w:r>
    </w:p>
    <w:p w14:paraId="629AB00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val="0"/>
          <w:bCs w:val="0"/>
          <w:sz w:val="32"/>
          <w:szCs w:val="32"/>
          <w:lang w:val="en-US" w:eastAsia="zh-CN"/>
        </w:rPr>
        <w:t>5.提供服务。</w:t>
      </w:r>
      <w:r>
        <w:rPr>
          <w:rFonts w:hint="eastAsia" w:ascii="仿宋_GB2312" w:hAnsi="仿宋_GB2312" w:eastAsia="仿宋_GB2312" w:cs="仿宋_GB2312"/>
          <w:sz w:val="32"/>
          <w:szCs w:val="32"/>
          <w:lang w:val="en-US" w:eastAsia="zh-CN"/>
        </w:rPr>
        <w:t>进一步发展和完善农业社会化服务体系,引导各类协会和农村专业合作经济组织发展,充分发挥其作用,促进农村社会公益事业和集体公益事业发展，加强农村基础设施建设，增加公共产品，提供政策、科技、市场信息和社会救济、救助服务，及时向上级党委、政府反映社情民意，进一步密切党和政府与人民群众的关系。</w:t>
      </w:r>
    </w:p>
    <w:p w14:paraId="3D19510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（三）人员概况。</w:t>
      </w:r>
      <w:r>
        <w:rPr>
          <w:rFonts w:hint="eastAsia" w:ascii="仿宋_GB2312" w:hAnsi="仿宋_GB2312" w:eastAsia="仿宋_GB2312" w:cs="仿宋_GB2312"/>
          <w:sz w:val="32"/>
          <w:szCs w:val="32"/>
          <w:lang w:val="en-US" w:eastAsia="zh-CN"/>
        </w:rPr>
        <w:t>截至2024年末，渠县定远镇人民政府核定编制人数 43人，其中行政编制22人，事业编制19人，工勤编制2人。实际财政供养人员在职39人，其中：行政在职人员25人；事业在职人员14名。</w:t>
      </w:r>
    </w:p>
    <w:p w14:paraId="70BE9F9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b/>
          <w:bCs/>
          <w:color w:val="000000"/>
          <w:kern w:val="0"/>
          <w:sz w:val="44"/>
          <w:szCs w:val="44"/>
          <w:highlight w:val="none"/>
          <w:shd w:val="clear" w:color="auto" w:fill="FFFFFF"/>
          <w:lang w:val="zh-CN" w:eastAsia="zh-CN"/>
        </w:rPr>
      </w:pPr>
      <w:r>
        <w:rPr>
          <w:rFonts w:hint="default" w:ascii="Times New Roman" w:hAnsi="Times New Roman" w:eastAsia="黑体" w:cs="Times New Roman"/>
          <w:b/>
          <w:bCs/>
          <w:color w:val="000000"/>
          <w:kern w:val="0"/>
          <w:sz w:val="44"/>
          <w:szCs w:val="44"/>
          <w:highlight w:val="none"/>
          <w:shd w:val="clear" w:color="auto" w:fill="FFFFFF"/>
          <w:lang w:val="zh-CN" w:eastAsia="zh-CN"/>
        </w:rPr>
        <w:t>二、部门资金收支情况</w:t>
      </w:r>
    </w:p>
    <w:p w14:paraId="589E5B8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color w:val="auto"/>
          <w:kern w:val="2"/>
          <w:sz w:val="32"/>
          <w:szCs w:val="32"/>
          <w:highlight w:val="none"/>
          <w:lang w:val="en-US" w:eastAsia="zh-CN" w:bidi="ar-SA"/>
        </w:rPr>
        <w:t>定远镇</w:t>
      </w:r>
      <w:r>
        <w:rPr>
          <w:rFonts w:hint="eastAsia" w:ascii="仿宋_GB2312" w:hAnsi="仿宋_GB2312" w:eastAsia="仿宋_GB2312" w:cs="仿宋_GB2312"/>
          <w:sz w:val="32"/>
          <w:szCs w:val="32"/>
          <w:lang w:val="en-US" w:eastAsia="zh-CN"/>
        </w:rPr>
        <w:t>2024年年初预算收入情况、决算报表收入情况。</w:t>
      </w:r>
    </w:p>
    <w:p w14:paraId="4F9E9EF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定远镇2024年年初预算收入合计954.99万元。年中调整预算收入71.78万元，调整后财政拨款收入1026.77万元。其中：一般公共预算财政拨款收入970.77万元，占94.55%；政府性基金预算财政拨款收入56万元，占5.45%；预算收入执行率达100%。</w:t>
      </w:r>
    </w:p>
    <w:p w14:paraId="3800855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color w:val="auto"/>
          <w:kern w:val="2"/>
          <w:sz w:val="32"/>
          <w:szCs w:val="32"/>
          <w:highlight w:val="none"/>
          <w:lang w:val="en-US" w:eastAsia="zh-CN" w:bidi="ar-SA"/>
        </w:rPr>
        <w:t>定远镇2024年年初预算支出情况、决算报表支出情况。</w:t>
      </w:r>
    </w:p>
    <w:p w14:paraId="7B4EF61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定远镇2024年部门决算支出1026.77万元。其中：基本支出787.14万元，占76.66%；项目支出239.63万元，占23.34%；预算支出执行率达100%。</w:t>
      </w:r>
    </w:p>
    <w:p w14:paraId="779B0A7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（三）结余分配和结转结余情况</w:t>
      </w:r>
      <w:r>
        <w:rPr>
          <w:rFonts w:hint="eastAsia" w:ascii="仿宋_GB2312" w:hAnsi="仿宋_GB2312" w:eastAsia="仿宋_GB2312" w:cs="仿宋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2"/>
          <w:sz w:val="32"/>
          <w:szCs w:val="32"/>
          <w:highlight w:val="none"/>
          <w:lang w:val="en-US" w:eastAsia="zh-CN" w:bidi="ar-SA"/>
        </w:rPr>
        <w:t>定远镇2024年决算报表结转结余情况。</w:t>
      </w:r>
    </w:p>
    <w:p w14:paraId="1D8D43E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2024年定远镇决算收入金额为1026.77万元，支出金额为1026.77万元，年末结转结余0万元。</w:t>
      </w:r>
    </w:p>
    <w:p w14:paraId="4E8A7FE2">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黑体" w:hAnsi="黑体" w:eastAsia="黑体" w:cs="黑体"/>
          <w:b w:val="0"/>
          <w:bCs w:val="0"/>
          <w:color w:val="000000"/>
          <w:kern w:val="0"/>
          <w:sz w:val="44"/>
          <w:szCs w:val="44"/>
          <w:highlight w:val="none"/>
          <w:shd w:val="clear" w:color="auto" w:fill="FFFFFF"/>
          <w:lang w:val="zh-CN" w:eastAsia="zh-CN"/>
        </w:rPr>
      </w:pPr>
      <w:r>
        <w:rPr>
          <w:rFonts w:hint="eastAsia" w:ascii="黑体" w:hAnsi="黑体" w:eastAsia="黑体" w:cs="黑体"/>
          <w:b w:val="0"/>
          <w:bCs w:val="0"/>
          <w:color w:val="000000"/>
          <w:kern w:val="0"/>
          <w:sz w:val="44"/>
          <w:szCs w:val="44"/>
          <w:highlight w:val="none"/>
          <w:shd w:val="clear" w:color="auto" w:fill="FFFFFF"/>
          <w:lang w:val="zh-CN" w:eastAsia="zh-CN"/>
        </w:rPr>
        <w:t>三、部门预算绩效分析</w:t>
      </w:r>
    </w:p>
    <w:p w14:paraId="5443542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auto"/>
          <w:kern w:val="2"/>
          <w:sz w:val="32"/>
          <w:szCs w:val="32"/>
          <w:highlight w:val="none"/>
          <w:lang w:val="zh-CN"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p>
    <w:p w14:paraId="556DDE6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rPr>
        <w:t>履职效能（</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15分）</w:t>
      </w:r>
    </w:p>
    <w:p w14:paraId="430D09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sz w:val="32"/>
          <w:szCs w:val="32"/>
        </w:rPr>
        <w:t>预算编审</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履职效果</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p>
    <w:p w14:paraId="67F69CB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一是单位预算编制完整，收入来源编报齐全，编报数据准确。二是项目绩效目标编制完整合理；明确量化，覆盖率达到年度要求。</w:t>
      </w:r>
    </w:p>
    <w:p w14:paraId="1F828C4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2)预算执行履职效果</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p>
    <w:p w14:paraId="5D267CA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一是2024年年初预算资金954.99万元，预算完成率100%，二是2024年实际执行金额1026.77万元，调整后预算完成率为100%。尽管年初预算不够准确，但通过年中调整确保了调整后预算执行率达到100%。三是“三公”经费预算金额为2.25万元，实际支出2.25万元，“三公”经费支出控制在预算内。</w:t>
      </w:r>
    </w:p>
    <w:p w14:paraId="48ECC3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(3)预决算信息公开履职效果</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p>
    <w:p w14:paraId="140B93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一是我镇已按规定内容和时限公开预决算信息；二是我镇提供的基础数据信息和会计信息资料真实、完整、准确。</w:t>
      </w:r>
    </w:p>
    <w:p w14:paraId="340A147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预算管理（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25分）</w:t>
      </w:r>
    </w:p>
    <w:p w14:paraId="0647A9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auto"/>
          <w:sz w:val="32"/>
          <w:szCs w:val="32"/>
          <w:lang w:val="en-US" w:eastAsia="zh-CN"/>
        </w:rPr>
        <w:t>预算编制质量</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8分）</w:t>
      </w:r>
    </w:p>
    <w:p w14:paraId="5BD7970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编制预算。严格落实过紧日子要求，推进预算安排与绩效目标深度融合，综合衡量政策和项目预算资金使用结果，大力削减低效无效资金。单位预算的编制采用零基预算方法。在预算编制时，根据上年度的预算执行情况和本年度经济发展情况，综合考虑各方面因素，编制本部门预算。</w:t>
      </w:r>
    </w:p>
    <w:p w14:paraId="7D98ACE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(2)单位收入统筹</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3B19AD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1280" w:firstLineChars="4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2024年本单位无自有收入</w:t>
      </w:r>
    </w:p>
    <w:p w14:paraId="64D9B4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(3)支出执行进度</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6分）</w:t>
      </w:r>
    </w:p>
    <w:p w14:paraId="1C5EF5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我单位1-6月预算执行786.50万元，调整后预算执行率76.6%;1-9月预算执行876.86万元，调整后预算执行率85.4%。1-12月预算执行1026.77万元，调整后预算执行率100%。</w:t>
      </w:r>
    </w:p>
    <w:p w14:paraId="0B1D46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预算年终结余（</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2分）</w:t>
      </w:r>
    </w:p>
    <w:p w14:paraId="4C9FB4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2024年定远镇决算收入金额为1026.77万元，支出金额为1026.77万元，部门整体年末结转结余0万元。</w:t>
      </w:r>
    </w:p>
    <w:p w14:paraId="32124E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val="zh-CN"/>
        </w:rPr>
        <w:t>严控一般性支出（</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p>
    <w:p w14:paraId="682D758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2024年我单位“三公”经费预算安排2.25万元，实际执行2.25万元，比上年减少9.3%，完成预算数的100%。具体情况如下：</w:t>
      </w:r>
    </w:p>
    <w:tbl>
      <w:tblPr>
        <w:tblStyle w:val="16"/>
        <w:tblW w:w="82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5"/>
        <w:gridCol w:w="1128"/>
        <w:gridCol w:w="1480"/>
        <w:gridCol w:w="1400"/>
        <w:gridCol w:w="1110"/>
      </w:tblGrid>
      <w:tr w14:paraId="17A8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13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174404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指标</w:t>
            </w:r>
          </w:p>
        </w:tc>
        <w:tc>
          <w:tcPr>
            <w:tcW w:w="112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756CEC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2024年度</w:t>
            </w:r>
          </w:p>
        </w:tc>
        <w:tc>
          <w:tcPr>
            <w:tcW w:w="14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B1FA70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2023年度</w:t>
            </w:r>
          </w:p>
        </w:tc>
        <w:tc>
          <w:tcPr>
            <w:tcW w:w="1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3A2863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比上年减少</w:t>
            </w:r>
          </w:p>
        </w:tc>
        <w:tc>
          <w:tcPr>
            <w:tcW w:w="11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36398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下降%</w:t>
            </w:r>
          </w:p>
        </w:tc>
      </w:tr>
      <w:tr w14:paraId="457B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185636">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“三公”经费支出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CF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2.25万元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16C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2.48万元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F67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0.23万元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C68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9.3</w:t>
            </w:r>
            <w:r>
              <w:rPr>
                <w:rFonts w:hint="eastAsia" w:ascii="仿宋_GB2312" w:hAnsi="仿宋_GB2312" w:eastAsia="仿宋_GB2312" w:cs="仿宋_GB2312"/>
                <w:i w:val="0"/>
                <w:iCs w:val="0"/>
                <w:color w:val="auto"/>
                <w:kern w:val="0"/>
                <w:sz w:val="21"/>
                <w:szCs w:val="21"/>
                <w:u w:val="none"/>
                <w:lang w:val="en-US" w:eastAsia="zh-CN" w:bidi="ar"/>
              </w:rPr>
              <w:t>%</w:t>
            </w:r>
          </w:p>
        </w:tc>
      </w:tr>
      <w:tr w14:paraId="1003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9C4851">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其中：因公出国（境）费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42D">
            <w:pPr>
              <w:jc w:val="center"/>
              <w:rPr>
                <w:rFonts w:hint="eastAsia" w:ascii="仿宋_GB2312" w:hAnsi="仿宋_GB2312" w:eastAsia="仿宋_GB2312" w:cs="仿宋_GB2312"/>
                <w:i w:val="0"/>
                <w:iCs w:val="0"/>
                <w:color w:val="auto"/>
                <w:sz w:val="21"/>
                <w:szCs w:val="21"/>
                <w:u w:val="none"/>
                <w:lang w:val="en-US" w:eastAsia="zh-CN"/>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938B">
            <w:pPr>
              <w:jc w:val="center"/>
              <w:rPr>
                <w:rFonts w:hint="eastAsia" w:ascii="仿宋_GB2312" w:hAnsi="仿宋_GB2312" w:eastAsia="仿宋_GB2312" w:cs="仿宋_GB2312"/>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ECFE">
            <w:pPr>
              <w:jc w:val="center"/>
              <w:rPr>
                <w:rFonts w:hint="eastAsia" w:ascii="仿宋_GB2312" w:hAnsi="仿宋_GB2312" w:eastAsia="仿宋_GB2312" w:cs="仿宋_GB2312"/>
                <w:i w:val="0"/>
                <w:iCs w:val="0"/>
                <w:color w:val="auto"/>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7D6">
            <w:pPr>
              <w:jc w:val="center"/>
              <w:rPr>
                <w:rFonts w:hint="eastAsia" w:ascii="仿宋_GB2312" w:hAnsi="仿宋_GB2312" w:eastAsia="仿宋_GB2312" w:cs="仿宋_GB2312"/>
                <w:i w:val="0"/>
                <w:iCs w:val="0"/>
                <w:color w:val="auto"/>
                <w:sz w:val="21"/>
                <w:szCs w:val="21"/>
                <w:u w:val="none"/>
              </w:rPr>
            </w:pPr>
          </w:p>
        </w:tc>
      </w:tr>
      <w:tr w14:paraId="37A8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BBEE38">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 xml:space="preserve"> 公务用车购置及运行维护费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36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1.70万元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06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1B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0.18万元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1DD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9.6%</w:t>
            </w:r>
          </w:p>
        </w:tc>
      </w:tr>
      <w:tr w14:paraId="53DE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C6556">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 xml:space="preserve">  其中：公务用车购置费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D3FD">
            <w:pPr>
              <w:jc w:val="center"/>
              <w:rPr>
                <w:rFonts w:hint="eastAsia" w:ascii="仿宋_GB2312" w:hAnsi="仿宋_GB2312" w:eastAsia="仿宋_GB2312" w:cs="仿宋_GB2312"/>
                <w:i w:val="0"/>
                <w:iCs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892">
            <w:pPr>
              <w:jc w:val="center"/>
              <w:rPr>
                <w:rFonts w:hint="eastAsia" w:ascii="仿宋_GB2312" w:hAnsi="仿宋_GB2312" w:eastAsia="仿宋_GB2312" w:cs="仿宋_GB2312"/>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E8B">
            <w:pPr>
              <w:jc w:val="center"/>
              <w:rPr>
                <w:rFonts w:hint="eastAsia" w:ascii="仿宋_GB2312" w:hAnsi="仿宋_GB2312" w:eastAsia="仿宋_GB2312" w:cs="仿宋_GB2312"/>
                <w:i w:val="0"/>
                <w:iCs w:val="0"/>
                <w:color w:val="auto"/>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194A">
            <w:pPr>
              <w:jc w:val="center"/>
              <w:rPr>
                <w:rFonts w:hint="eastAsia" w:ascii="仿宋_GB2312" w:hAnsi="仿宋_GB2312" w:eastAsia="仿宋_GB2312" w:cs="仿宋_GB2312"/>
                <w:i w:val="0"/>
                <w:iCs w:val="0"/>
                <w:color w:val="auto"/>
                <w:sz w:val="21"/>
                <w:szCs w:val="21"/>
                <w:u w:val="none"/>
              </w:rPr>
            </w:pPr>
          </w:p>
        </w:tc>
      </w:tr>
      <w:tr w14:paraId="5AFB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4F9BA">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 xml:space="preserve">  公务用车运行维护费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AC0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1.70万元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791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0.18万元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411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9.6%</w:t>
            </w:r>
          </w:p>
        </w:tc>
      </w:tr>
      <w:tr w14:paraId="3AF1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4CC96">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 xml:space="preserve">  公务接待费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A1C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0.55万元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477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0.6万元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8C2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0.05万元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82D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8.33%</w:t>
            </w:r>
          </w:p>
        </w:tc>
      </w:tr>
    </w:tbl>
    <w:p w14:paraId="75DDA8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财务管理（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10分）</w:t>
      </w:r>
    </w:p>
    <w:p w14:paraId="2B7831F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(1)管理制度健全性</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7321B48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我镇已制定预算资金管理办法、内控财务管理制度、会计核算制度、政府采购制度、国有资产管理办法、绩效评估内部控制制度等相关制度，规章制度合法、合规、完整，均得到有效执行。</w:t>
      </w:r>
    </w:p>
    <w:p w14:paraId="7FA30B2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财</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务岗位设置</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2分）</w:t>
      </w:r>
    </w:p>
    <w:p w14:paraId="32B6C23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按照相关财务管理制度要求，明确责任分工，建立内部制衡机制。根据工作需要，按照不相容岗位不能一人兼任的原则，设置了财务、业务、审核等，在其内部再进行岗位细分，并建立岗位责任制度，形成责任明确、相互制约的内部制衡机制。</w:t>
      </w:r>
    </w:p>
    <w:p w14:paraId="3FAE7C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(3)资金使用合规性</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756AF4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严格按照《中华人民共和国</w:t>
      </w:r>
      <w:bookmarkStart w:id="2" w:name="_GoBack"/>
      <w:bookmarkEnd w:id="2"/>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会计法》《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有完整的审批程序和手续，项目的重大开支均经过评估论证，符合部门预算批复的用途，不存在截留、挤占、挪用、虚列支出等情况。</w:t>
      </w:r>
    </w:p>
    <w:p w14:paraId="413869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资产管理（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9分）</w:t>
      </w:r>
    </w:p>
    <w:p w14:paraId="236F9F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资产保存完整、配置合理、处置规范，资产账务管理合规，账实相符,资产有偿使用及处置收入均及时足额上缴。</w:t>
      </w:r>
    </w:p>
    <w:p w14:paraId="2CF108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rPr>
        <w:t>人均资产变化率（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p>
    <w:p w14:paraId="786AF583">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2024年年末固定资产金额492.02万元，比2023年492.02万元，增（减）0万元，政府机关在职干部2024年39人，2024年人均占有固定资产12.61万元，比2023年人均占有固定资产增加0.31万元，增长2.52%。</w:t>
      </w:r>
    </w:p>
    <w:p w14:paraId="6B784143">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)固定</w:t>
      </w:r>
      <w:r>
        <w:rPr>
          <w:rFonts w:hint="eastAsia" w:ascii="仿宋_GB2312" w:hAnsi="仿宋_GB2312" w:eastAsia="仿宋_GB2312" w:cs="仿宋_GB2312"/>
          <w:b w:val="0"/>
          <w:bCs w:val="0"/>
          <w:sz w:val="32"/>
          <w:szCs w:val="32"/>
          <w:lang w:eastAsia="zh-CN"/>
        </w:rPr>
        <w:t>资产</w:t>
      </w:r>
      <w:r>
        <w:rPr>
          <w:rFonts w:hint="eastAsia" w:ascii="仿宋_GB2312" w:hAnsi="仿宋_GB2312" w:eastAsia="仿宋_GB2312" w:cs="仿宋_GB2312"/>
          <w:b w:val="0"/>
          <w:bCs w:val="0"/>
          <w:sz w:val="32"/>
          <w:szCs w:val="32"/>
        </w:rPr>
        <w:t>利用率</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p>
    <w:p w14:paraId="179E1D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w:t>
      </w:r>
      <w:r>
        <w:rPr>
          <w:rFonts w:hint="eastAsia" w:ascii="仿宋_GB2312" w:hAnsi="仿宋_GB2312" w:eastAsia="仿宋_GB2312" w:cs="仿宋_GB2312"/>
          <w:b w:val="0"/>
          <w:bCs w:val="0"/>
          <w:sz w:val="32"/>
          <w:szCs w:val="32"/>
          <w:lang w:eastAsia="zh-CN"/>
        </w:rPr>
        <w:t>至2024年</w:t>
      </w:r>
      <w:r>
        <w:rPr>
          <w:rFonts w:hint="eastAsia" w:ascii="仿宋_GB2312" w:hAnsi="仿宋_GB2312" w:eastAsia="仿宋_GB2312" w:cs="仿宋_GB2312"/>
          <w:b w:val="0"/>
          <w:bCs w:val="0"/>
          <w:sz w:val="32"/>
          <w:szCs w:val="32"/>
        </w:rPr>
        <w:t>12月底，土地、房屋及构筑物账面价值</w:t>
      </w:r>
      <w:r>
        <w:rPr>
          <w:rFonts w:hint="eastAsia" w:ascii="仿宋_GB2312" w:hAnsi="仿宋_GB2312" w:eastAsia="仿宋_GB2312" w:cs="仿宋_GB2312"/>
          <w:b w:val="0"/>
          <w:bCs w:val="0"/>
          <w:sz w:val="32"/>
          <w:szCs w:val="32"/>
          <w:lang w:val="en-US" w:eastAsia="zh-CN"/>
        </w:rPr>
        <w:t>440.55万</w:t>
      </w:r>
      <w:r>
        <w:rPr>
          <w:rFonts w:hint="eastAsia" w:ascii="仿宋_GB2312" w:hAnsi="仿宋_GB2312" w:eastAsia="仿宋_GB2312" w:cs="仿宋_GB2312"/>
          <w:b w:val="0"/>
          <w:bCs w:val="0"/>
          <w:sz w:val="32"/>
          <w:szCs w:val="32"/>
        </w:rPr>
        <w:t>元，资产利用率100%。通用设备账面价值</w:t>
      </w:r>
      <w:r>
        <w:rPr>
          <w:rFonts w:hint="eastAsia" w:ascii="仿宋_GB2312" w:hAnsi="仿宋_GB2312" w:eastAsia="仿宋_GB2312" w:cs="仿宋_GB2312"/>
          <w:b w:val="0"/>
          <w:bCs w:val="0"/>
          <w:sz w:val="32"/>
          <w:szCs w:val="32"/>
          <w:lang w:val="en-US" w:eastAsia="zh-CN"/>
        </w:rPr>
        <w:t>33.73万</w:t>
      </w:r>
      <w:r>
        <w:rPr>
          <w:rFonts w:hint="eastAsia" w:ascii="仿宋_GB2312" w:hAnsi="仿宋_GB2312" w:eastAsia="仿宋_GB2312" w:cs="仿宋_GB2312"/>
          <w:b w:val="0"/>
          <w:bCs w:val="0"/>
          <w:sz w:val="32"/>
          <w:szCs w:val="32"/>
        </w:rPr>
        <w:t>元，资产利用率100%。家具、用具、装具账面价值</w:t>
      </w:r>
      <w:r>
        <w:rPr>
          <w:rFonts w:hint="eastAsia" w:ascii="仿宋_GB2312" w:hAnsi="仿宋_GB2312" w:eastAsia="仿宋_GB2312" w:cs="仿宋_GB2312"/>
          <w:b w:val="0"/>
          <w:bCs w:val="0"/>
          <w:sz w:val="32"/>
          <w:szCs w:val="32"/>
          <w:lang w:val="en-US" w:eastAsia="zh-CN"/>
        </w:rPr>
        <w:t>17.73万</w:t>
      </w:r>
      <w:r>
        <w:rPr>
          <w:rFonts w:hint="eastAsia" w:ascii="仿宋_GB2312" w:hAnsi="仿宋_GB2312" w:eastAsia="仿宋_GB2312" w:cs="仿宋_GB2312"/>
          <w:b w:val="0"/>
          <w:bCs w:val="0"/>
          <w:sz w:val="32"/>
          <w:szCs w:val="32"/>
        </w:rPr>
        <w:t>元，资产利用率100%。</w:t>
      </w:r>
    </w:p>
    <w:p w14:paraId="0BE930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color w:val="000000"/>
          <w:kern w:val="0"/>
          <w:sz w:val="32"/>
          <w:szCs w:val="32"/>
          <w:highlight w:val="none"/>
          <w:shd w:val="clear" w:color="auto" w:fill="FFFFFF"/>
          <w:lang w:val="zh-CN"/>
        </w:rPr>
        <w:t>资产盘活率（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p>
    <w:p w14:paraId="182E538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截至2024年12月底，本单位无闲置资产。盘活率100%.</w:t>
      </w:r>
    </w:p>
    <w:p w14:paraId="2F3C425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val="zh-CN"/>
        </w:rPr>
        <w:t>采购管理。（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6分）</w:t>
      </w:r>
    </w:p>
    <w:p w14:paraId="19386B7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(1)支持中小企业发展</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p>
    <w:p w14:paraId="64E7ADB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我镇2024年严格执行政府采购支持中小企业发展管理办法。</w:t>
      </w:r>
    </w:p>
    <w:p w14:paraId="0C8CAAB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(2)采购执行率</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p>
    <w:p w14:paraId="494FC01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我镇2024年无政府采购预算。</w:t>
      </w:r>
    </w:p>
    <w:p w14:paraId="4E5E346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p>
    <w:p w14:paraId="2E8457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 xml:space="preserve"> 17</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228.14万</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元，</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000000"/>
          <w:kern w:val="0"/>
          <w:sz w:val="32"/>
          <w:szCs w:val="32"/>
          <w:highlight w:val="none"/>
          <w:shd w:val="clear" w:color="auto" w:fill="FFFFFF"/>
          <w:lang w:val="zh-CN"/>
        </w:rPr>
        <w:t>%，其中：</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w:t>
      </w:r>
    </w:p>
    <w:p w14:paraId="0D05C7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阶段（一次性）项目绩效分析。</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6</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22.69万</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元，</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000000"/>
          <w:kern w:val="0"/>
          <w:sz w:val="32"/>
          <w:szCs w:val="32"/>
          <w:highlight w:val="none"/>
          <w:shd w:val="clear" w:color="auto" w:fill="FFFFFF"/>
          <w:lang w:val="zh-CN"/>
        </w:rPr>
        <w:t>%，其中：</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w:t>
      </w:r>
    </w:p>
    <w:p w14:paraId="232314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rPr>
        <w:t>项目决策（</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10分）</w:t>
      </w:r>
    </w:p>
    <w:p w14:paraId="2691E0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(1)围绕决策程序</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114AE9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2024年我单位预算项目的设立基本履行了项目申报论证程序，与本单位部门职能相符，对符合事前评估条件的部门预算项目均实施了事前评估论证程序。</w:t>
      </w:r>
    </w:p>
    <w:p w14:paraId="201973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(2)目标设置</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2分）</w:t>
      </w:r>
    </w:p>
    <w:p w14:paraId="5751842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度，按照渠县财政局关于加强2024年预算编制阶段绩效目标管理工作的通知要求，项目绩效目标制定符合部门“三定”方案确定职能、中长期工作规划，每个项目分别设置了整体目标和绩效目标，并对完成指标、效益指标、满意度指标进行细化量化。项目绩效目标制定符合科学合理、规范完整、量化细化、预算匹配的要求。</w:t>
      </w:r>
    </w:p>
    <w:p w14:paraId="5F44449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(3)项目入库进度</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684B76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我单位尚未建立本部门项目库，所有项目均纳入财政项目库管理。按照规定在预算一体化平台进行登记、审核，程序合法规范。</w:t>
      </w:r>
    </w:p>
    <w:p w14:paraId="2D94323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2.项目执行</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12分）</w:t>
      </w:r>
    </w:p>
    <w:p w14:paraId="1304AAE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rPr>
        <w:t>围绕资金执行同向（</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585C2DD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为了进一步提高预算执行效率和资金使用效率，我单位采取了一系列措施加强预算绩效管理，这些措施确保部门预算项目的实际支出内容与绩效目标设置方向相符。</w:t>
      </w:r>
    </w:p>
    <w:p w14:paraId="716D31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项目调整（</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5D39E8B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我镇严格按照县财政局项目调整原则进行，对预算项目确需要调整的，由资金使用部门提出追加方案，并详细列明预算追加的理由、项目、科目、金额等，并报财政和政府审批。</w:t>
      </w:r>
    </w:p>
    <w:p w14:paraId="7CBF82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执行结果（</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7570A23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rPr>
        <w:t>我镇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2024年23个项目中17个项目为年初申报项目，12月实际支付进度17个。还有6个项目为年中追加项目，截至12月执行率为100%。</w:t>
      </w:r>
    </w:p>
    <w:p w14:paraId="714E98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目标实现（</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11分）</w:t>
      </w:r>
    </w:p>
    <w:p w14:paraId="684D32F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highlight w:val="none"/>
          <w:shd w:val="clear" w:color="auto" w:fill="FFFFFF"/>
          <w:lang w:val="zh-CN"/>
        </w:rPr>
        <w:t>目标完成（</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0F6107C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eastAsia="zh-CN"/>
        </w:rPr>
        <w:t>定远镇2024年项目共计</w:t>
      </w:r>
      <w:r>
        <w:rPr>
          <w:rFonts w:hint="eastAsia" w:ascii="仿宋_GB2312" w:hAnsi="仿宋_GB2312" w:eastAsia="仿宋_GB2312" w:cs="仿宋_GB2312"/>
          <w:b w:val="0"/>
          <w:bCs w:val="0"/>
          <w:sz w:val="32"/>
          <w:szCs w:val="32"/>
          <w:u w:val="none"/>
          <w:lang w:val="en-US" w:eastAsia="zh-CN"/>
        </w:rPr>
        <w:t>23个，金额</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250.83万</w:t>
      </w:r>
      <w:r>
        <w:rPr>
          <w:rFonts w:hint="eastAsia" w:ascii="仿宋_GB2312" w:hAnsi="仿宋_GB2312" w:eastAsia="仿宋_GB2312" w:cs="仿宋_GB2312"/>
          <w:b w:val="0"/>
          <w:bCs w:val="0"/>
          <w:sz w:val="32"/>
          <w:szCs w:val="32"/>
          <w:u w:val="none"/>
        </w:rPr>
        <w:t>元，实际完成</w:t>
      </w:r>
      <w:r>
        <w:rPr>
          <w:rFonts w:hint="eastAsia" w:ascii="仿宋_GB2312" w:hAnsi="仿宋_GB2312" w:eastAsia="仿宋_GB2312" w:cs="仿宋_GB2312"/>
          <w:b w:val="0"/>
          <w:bCs w:val="0"/>
          <w:sz w:val="32"/>
          <w:szCs w:val="32"/>
          <w:u w:val="none"/>
          <w:lang w:val="en-US" w:eastAsia="zh-CN"/>
        </w:rPr>
        <w:t>23个，金额</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250.83万</w:t>
      </w:r>
      <w:r>
        <w:rPr>
          <w:rFonts w:hint="eastAsia" w:ascii="仿宋_GB2312" w:hAnsi="仿宋_GB2312" w:eastAsia="仿宋_GB2312" w:cs="仿宋_GB2312"/>
          <w:b w:val="0"/>
          <w:bCs w:val="0"/>
          <w:sz w:val="32"/>
          <w:szCs w:val="32"/>
          <w:u w:val="none"/>
        </w:rPr>
        <w:t>元，完成</w:t>
      </w:r>
      <w:r>
        <w:rPr>
          <w:rFonts w:hint="eastAsia" w:ascii="仿宋_GB2312" w:hAnsi="仿宋_GB2312" w:eastAsia="仿宋_GB2312" w:cs="仿宋_GB2312"/>
          <w:b w:val="0"/>
          <w:bCs w:val="0"/>
          <w:sz w:val="32"/>
          <w:szCs w:val="32"/>
          <w:u w:val="none"/>
          <w:lang w:eastAsia="zh-CN"/>
        </w:rPr>
        <w:t>率</w:t>
      </w:r>
      <w:r>
        <w:rPr>
          <w:rFonts w:hint="eastAsia" w:ascii="仿宋_GB2312" w:hAnsi="仿宋_GB2312" w:eastAsia="仿宋_GB2312" w:cs="仿宋_GB2312"/>
          <w:b w:val="0"/>
          <w:bCs w:val="0"/>
          <w:sz w:val="32"/>
          <w:szCs w:val="32"/>
          <w:u w:val="none"/>
        </w:rPr>
        <w:t>100%。</w:t>
      </w:r>
    </w:p>
    <w:p w14:paraId="1B8EAD2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highlight w:val="none"/>
          <w:shd w:val="clear" w:color="auto" w:fill="FFFFFF"/>
          <w:lang w:val="zh-CN"/>
        </w:rPr>
        <w:t>目标偏离（</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p>
    <w:p w14:paraId="3B2D3A3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eastAsia="zh-CN"/>
        </w:rPr>
        <w:t>2024年我镇</w:t>
      </w:r>
      <w:r>
        <w:rPr>
          <w:rFonts w:hint="eastAsia" w:ascii="仿宋_GB2312" w:hAnsi="仿宋_GB2312" w:eastAsia="仿宋_GB2312" w:cs="仿宋_GB2312"/>
          <w:b w:val="0"/>
          <w:bCs w:val="0"/>
          <w:sz w:val="32"/>
          <w:szCs w:val="32"/>
          <w:u w:val="none"/>
          <w:lang w:val="en-US" w:eastAsia="zh-CN"/>
        </w:rPr>
        <w:t>23</w:t>
      </w:r>
      <w:r>
        <w:rPr>
          <w:rFonts w:hint="eastAsia" w:ascii="仿宋_GB2312" w:hAnsi="仿宋_GB2312" w:eastAsia="仿宋_GB2312" w:cs="仿宋_GB2312"/>
          <w:b w:val="0"/>
          <w:bCs w:val="0"/>
          <w:sz w:val="32"/>
          <w:szCs w:val="32"/>
          <w:u w:val="none"/>
          <w:lang w:eastAsia="zh-CN"/>
        </w:rPr>
        <w:t>个项目所涉及的数量指标没有出现偏离的现象。</w:t>
      </w:r>
    </w:p>
    <w:p w14:paraId="43CB811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highlight w:val="none"/>
          <w:shd w:val="clear" w:color="auto" w:fill="FFFFFF"/>
          <w:lang w:val="zh-CN"/>
        </w:rPr>
        <w:t>实现效果（</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p>
    <w:p w14:paraId="00EC793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000000"/>
          <w:kern w:val="0"/>
          <w:sz w:val="32"/>
          <w:szCs w:val="32"/>
          <w:highlight w:val="none"/>
          <w:shd w:val="clear" w:color="auto" w:fill="FFFFFF"/>
          <w:lang w:val="zh-CN"/>
        </w:rPr>
        <w:t>2024年我镇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23</w:t>
      </w:r>
      <w:r>
        <w:rPr>
          <w:rFonts w:hint="eastAsia" w:ascii="仿宋_GB2312" w:hAnsi="仿宋_GB2312" w:eastAsia="仿宋_GB2312" w:cs="仿宋_GB2312"/>
          <w:b w:val="0"/>
          <w:bCs w:val="0"/>
          <w:color w:val="000000"/>
          <w:kern w:val="0"/>
          <w:sz w:val="32"/>
          <w:szCs w:val="32"/>
          <w:highlight w:val="none"/>
          <w:shd w:val="clear" w:color="auto" w:fill="FFFFFF"/>
          <w:lang w:val="zh-CN"/>
        </w:rPr>
        <w:t>个项目效益指标、成本指标、满意度指标的总体完成情况好，保障了机关职工的正常运转，服务对象满意度98%。</w:t>
      </w:r>
    </w:p>
    <w:p w14:paraId="4A66A8F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u w:val="none"/>
          <w:lang w:val="en-US" w:eastAsia="zh-CN"/>
        </w:rPr>
        <w:t>2024年度</w:t>
      </w:r>
      <w:r>
        <w:rPr>
          <w:rFonts w:hint="eastAsia" w:ascii="仿宋_GB2312" w:hAnsi="仿宋_GB2312" w:eastAsia="仿宋_GB2312" w:cs="仿宋_GB2312"/>
          <w:b w:val="0"/>
          <w:bCs w:val="0"/>
          <w:sz w:val="32"/>
          <w:szCs w:val="32"/>
          <w:u w:val="none"/>
        </w:rPr>
        <w:t>国有资</w:t>
      </w:r>
      <w:r>
        <w:rPr>
          <w:rFonts w:hint="eastAsia" w:ascii="仿宋_GB2312" w:hAnsi="仿宋_GB2312" w:eastAsia="仿宋_GB2312" w:cs="仿宋_GB2312"/>
          <w:b w:val="0"/>
          <w:bCs w:val="0"/>
          <w:sz w:val="32"/>
          <w:szCs w:val="32"/>
          <w:highlight w:val="none"/>
          <w:u w:val="none"/>
        </w:rPr>
        <w:t>本经营预算</w:t>
      </w:r>
      <w:r>
        <w:rPr>
          <w:rFonts w:hint="eastAsia" w:ascii="仿宋_GB2312" w:hAnsi="仿宋_GB2312" w:eastAsia="仿宋_GB2312" w:cs="仿宋_GB2312"/>
          <w:b w:val="0"/>
          <w:bCs w:val="0"/>
          <w:sz w:val="32"/>
          <w:szCs w:val="32"/>
          <w:highlight w:val="none"/>
          <w:u w:val="none"/>
          <w:lang w:eastAsia="zh-CN"/>
        </w:rPr>
        <w:t>。定远镇2024年国有资本经营预算无。</w:t>
      </w:r>
    </w:p>
    <w:p w14:paraId="3F9DA3F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bCs/>
          <w:color w:val="000000"/>
          <w:kern w:val="0"/>
          <w:sz w:val="32"/>
          <w:szCs w:val="32"/>
          <w:highlight w:val="none"/>
          <w:shd w:val="clear" w:color="auto" w:fill="FFFFFF"/>
          <w:lang w:val="zh-CN" w:eastAsia="zh-CN"/>
        </w:rPr>
        <w:t>重点领域</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b/>
          <w:bCs/>
          <w:color w:val="000000"/>
          <w:kern w:val="0"/>
          <w:sz w:val="32"/>
          <w:szCs w:val="32"/>
          <w:highlight w:val="none"/>
          <w:shd w:val="clear" w:color="auto" w:fill="FFFFFF"/>
          <w:lang w:val="zh-CN" w:eastAsia="zh-CN"/>
        </w:rPr>
        <w:t>。</w:t>
      </w:r>
    </w:p>
    <w:p w14:paraId="6591D8F9">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定远镇2024年国有资本经营无预算。</w:t>
      </w:r>
    </w:p>
    <w:p w14:paraId="469920E9">
      <w:pPr>
        <w:keepNext w:val="0"/>
        <w:keepLines w:val="0"/>
        <w:pageBreakBefore w:val="0"/>
        <w:widowControl w:val="0"/>
        <w:kinsoku/>
        <w:wordWrap/>
        <w:overflowPunct/>
        <w:topLinePunct w:val="0"/>
        <w:autoSpaceDE/>
        <w:autoSpaceDN/>
        <w:bidi w:val="0"/>
        <w:snapToGrid w:val="0"/>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zh-CN"/>
        </w:rPr>
        <w:t>（四）绩效结果应用情况。</w:t>
      </w:r>
    </w:p>
    <w:p w14:paraId="7A56D0C8">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建立绩效评价激励与</w:t>
      </w:r>
      <w:r>
        <w:rPr>
          <w:rFonts w:hint="eastAsia" w:ascii="仿宋_GB2312" w:hAnsi="仿宋_GB2312" w:eastAsia="仿宋_GB2312" w:cs="仿宋_GB2312"/>
          <w:b w:val="0"/>
          <w:bCs w:val="0"/>
          <w:sz w:val="32"/>
          <w:szCs w:val="32"/>
          <w:lang w:eastAsia="zh-CN"/>
        </w:rPr>
        <w:t>约</w:t>
      </w:r>
      <w:r>
        <w:rPr>
          <w:rFonts w:hint="eastAsia" w:ascii="仿宋_GB2312" w:hAnsi="仿宋_GB2312" w:eastAsia="仿宋_GB2312" w:cs="仿宋_GB2312"/>
          <w:b w:val="0"/>
          <w:bCs w:val="0"/>
          <w:sz w:val="32"/>
          <w:szCs w:val="32"/>
        </w:rPr>
        <w:t>束机</w:t>
      </w:r>
      <w:r>
        <w:rPr>
          <w:rFonts w:hint="eastAsia" w:ascii="仿宋_GB2312" w:hAnsi="仿宋_GB2312" w:eastAsia="仿宋_GB2312" w:cs="仿宋_GB2312"/>
          <w:b w:val="0"/>
          <w:bCs w:val="0"/>
          <w:sz w:val="32"/>
          <w:szCs w:val="32"/>
          <w:lang w:eastAsia="zh-CN"/>
        </w:rPr>
        <w:t>制</w:t>
      </w:r>
      <w:r>
        <w:rPr>
          <w:rFonts w:hint="eastAsia" w:ascii="仿宋_GB2312" w:hAnsi="仿宋_GB2312" w:eastAsia="仿宋_GB2312" w:cs="仿宋_GB2312"/>
          <w:b w:val="0"/>
          <w:bCs w:val="0"/>
          <w:sz w:val="32"/>
          <w:szCs w:val="32"/>
        </w:rPr>
        <w:t>。根</w:t>
      </w:r>
      <w:r>
        <w:rPr>
          <w:rFonts w:hint="eastAsia" w:ascii="仿宋_GB2312" w:hAnsi="仿宋_GB2312" w:eastAsia="仿宋_GB2312" w:cs="仿宋_GB2312"/>
          <w:b w:val="0"/>
          <w:bCs w:val="0"/>
          <w:sz w:val="32"/>
          <w:szCs w:val="32"/>
          <w:lang w:eastAsia="zh-CN"/>
        </w:rPr>
        <w:t>据</w:t>
      </w:r>
      <w:r>
        <w:rPr>
          <w:rFonts w:hint="eastAsia" w:ascii="仿宋_GB2312" w:hAnsi="仿宋_GB2312" w:eastAsia="仿宋_GB2312" w:cs="仿宋_GB2312"/>
          <w:b w:val="0"/>
          <w:bCs w:val="0"/>
          <w:sz w:val="32"/>
          <w:szCs w:val="32"/>
        </w:rPr>
        <w:t>单位绩效评价结果，在安排项目资金时进行综合考虑。一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对于</w:t>
      </w:r>
      <w:r>
        <w:rPr>
          <w:rFonts w:hint="eastAsia" w:ascii="仿宋_GB2312" w:hAnsi="仿宋_GB2312" w:eastAsia="仿宋_GB2312" w:cs="仿宋_GB2312"/>
          <w:b w:val="0"/>
          <w:bCs w:val="0"/>
          <w:sz w:val="32"/>
          <w:szCs w:val="32"/>
          <w:lang w:eastAsia="zh-CN"/>
        </w:rPr>
        <w:t>绩</w:t>
      </w:r>
      <w:r>
        <w:rPr>
          <w:rFonts w:hint="eastAsia" w:ascii="仿宋_GB2312" w:hAnsi="仿宋_GB2312" w:eastAsia="仿宋_GB2312" w:cs="仿宋_GB2312"/>
          <w:b w:val="0"/>
          <w:bCs w:val="0"/>
          <w:sz w:val="32"/>
          <w:szCs w:val="32"/>
        </w:rPr>
        <w:t>效评价结果优秀且绩效突出的，在</w:t>
      </w:r>
      <w:r>
        <w:rPr>
          <w:rFonts w:hint="eastAsia" w:ascii="仿宋_GB2312" w:hAnsi="仿宋_GB2312" w:eastAsia="仿宋_GB2312" w:cs="仿宋_GB2312"/>
          <w:b w:val="0"/>
          <w:bCs w:val="0"/>
          <w:sz w:val="32"/>
          <w:szCs w:val="32"/>
          <w:lang w:eastAsia="zh-CN"/>
        </w:rPr>
        <w:t>安排</w:t>
      </w:r>
      <w:r>
        <w:rPr>
          <w:rFonts w:hint="eastAsia" w:ascii="仿宋_GB2312" w:hAnsi="仿宋_GB2312" w:eastAsia="仿宋_GB2312" w:cs="仿宋_GB2312"/>
          <w:b w:val="0"/>
          <w:bCs w:val="0"/>
          <w:sz w:val="32"/>
          <w:szCs w:val="32"/>
        </w:rPr>
        <w:t>该项目后续资金时给</w:t>
      </w:r>
      <w:r>
        <w:rPr>
          <w:rFonts w:hint="eastAsia" w:ascii="仿宋_GB2312" w:hAnsi="仿宋_GB2312" w:eastAsia="仿宋_GB2312" w:cs="仿宋_GB2312"/>
          <w:b w:val="0"/>
          <w:bCs w:val="0"/>
          <w:sz w:val="32"/>
          <w:szCs w:val="32"/>
          <w:lang w:eastAsia="zh-CN"/>
        </w:rPr>
        <w:t>予</w:t>
      </w:r>
      <w:r>
        <w:rPr>
          <w:rFonts w:hint="eastAsia" w:ascii="仿宋_GB2312" w:hAnsi="仿宋_GB2312" w:eastAsia="仿宋_GB2312" w:cs="仿宋_GB2312"/>
          <w:b w:val="0"/>
          <w:bCs w:val="0"/>
          <w:sz w:val="32"/>
          <w:szCs w:val="32"/>
        </w:rPr>
        <w:t>优先保</w:t>
      </w:r>
      <w:r>
        <w:rPr>
          <w:rFonts w:hint="eastAsia" w:ascii="仿宋_GB2312" w:hAnsi="仿宋_GB2312" w:eastAsia="仿宋_GB2312" w:cs="仿宋_GB2312"/>
          <w:b w:val="0"/>
          <w:bCs w:val="0"/>
          <w:sz w:val="32"/>
          <w:szCs w:val="32"/>
          <w:lang w:eastAsia="zh-CN"/>
        </w:rPr>
        <w:t>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绩效评价结果为良好的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在安排该项目后</w:t>
      </w:r>
      <w:r>
        <w:rPr>
          <w:rFonts w:hint="eastAsia" w:ascii="仿宋_GB2312" w:hAnsi="仿宋_GB2312" w:eastAsia="仿宋_GB2312" w:cs="仿宋_GB2312"/>
          <w:b w:val="0"/>
          <w:bCs w:val="0"/>
          <w:sz w:val="32"/>
          <w:szCs w:val="32"/>
          <w:lang w:eastAsia="zh-CN"/>
        </w:rPr>
        <w:t>续</w:t>
      </w:r>
      <w:r>
        <w:rPr>
          <w:rFonts w:hint="eastAsia" w:ascii="仿宋_GB2312" w:hAnsi="仿宋_GB2312" w:eastAsia="仿宋_GB2312" w:cs="仿宋_GB2312"/>
          <w:b w:val="0"/>
          <w:bCs w:val="0"/>
          <w:sz w:val="32"/>
          <w:szCs w:val="32"/>
        </w:rPr>
        <w:t>资</w:t>
      </w:r>
      <w:r>
        <w:rPr>
          <w:rFonts w:hint="eastAsia" w:ascii="仿宋_GB2312" w:hAnsi="仿宋_GB2312" w:eastAsia="仿宋_GB2312" w:cs="仿宋_GB2312"/>
          <w:b w:val="0"/>
          <w:bCs w:val="0"/>
          <w:sz w:val="32"/>
          <w:szCs w:val="32"/>
          <w:lang w:eastAsia="zh-CN"/>
        </w:rPr>
        <w:t>金</w:t>
      </w:r>
      <w:r>
        <w:rPr>
          <w:rFonts w:hint="eastAsia" w:ascii="仿宋_GB2312" w:hAnsi="仿宋_GB2312" w:eastAsia="仿宋_GB2312" w:cs="仿宋_GB2312"/>
          <w:b w:val="0"/>
          <w:bCs w:val="0"/>
          <w:sz w:val="32"/>
          <w:szCs w:val="32"/>
        </w:rPr>
        <w:t>时给</w:t>
      </w:r>
      <w:r>
        <w:rPr>
          <w:rFonts w:hint="eastAsia" w:ascii="仿宋_GB2312" w:hAnsi="仿宋_GB2312" w:eastAsia="仿宋_GB2312" w:cs="仿宋_GB2312"/>
          <w:b w:val="0"/>
          <w:bCs w:val="0"/>
          <w:sz w:val="32"/>
          <w:szCs w:val="32"/>
          <w:lang w:eastAsia="zh-CN"/>
        </w:rPr>
        <w:t>予保障，力求延续项目能够</w:t>
      </w:r>
      <w:r>
        <w:rPr>
          <w:rFonts w:hint="eastAsia" w:ascii="仿宋_GB2312" w:hAnsi="仿宋_GB2312" w:eastAsia="仿宋_GB2312" w:cs="仿宋_GB2312"/>
          <w:b w:val="0"/>
          <w:bCs w:val="0"/>
          <w:sz w:val="32"/>
          <w:szCs w:val="32"/>
        </w:rPr>
        <w:t>持续有效开展。三</w:t>
      </w:r>
      <w:r>
        <w:rPr>
          <w:rFonts w:hint="eastAsia" w:ascii="仿宋_GB2312" w:hAnsi="仿宋_GB2312" w:eastAsia="仿宋_GB2312" w:cs="仿宋_GB2312"/>
          <w:b w:val="0"/>
          <w:bCs w:val="0"/>
          <w:sz w:val="32"/>
          <w:szCs w:val="32"/>
          <w:lang w:eastAsia="zh-CN"/>
        </w:rPr>
        <w:t>、绩</w:t>
      </w:r>
      <w:r>
        <w:rPr>
          <w:rFonts w:hint="eastAsia" w:ascii="仿宋_GB2312" w:hAnsi="仿宋_GB2312" w:eastAsia="仿宋_GB2312" w:cs="仿宋_GB2312"/>
          <w:b w:val="0"/>
          <w:bCs w:val="0"/>
          <w:sz w:val="32"/>
          <w:szCs w:val="32"/>
        </w:rPr>
        <w:t>效</w:t>
      </w:r>
      <w:r>
        <w:rPr>
          <w:rFonts w:hint="eastAsia" w:ascii="仿宋_GB2312" w:hAnsi="仿宋_GB2312" w:eastAsia="仿宋_GB2312" w:cs="仿宋_GB2312"/>
          <w:b w:val="0"/>
          <w:bCs w:val="0"/>
          <w:sz w:val="32"/>
          <w:szCs w:val="32"/>
          <w:lang w:eastAsia="zh-CN"/>
        </w:rPr>
        <w:t>评</w:t>
      </w:r>
      <w:r>
        <w:rPr>
          <w:rFonts w:hint="eastAsia" w:ascii="仿宋_GB2312" w:hAnsi="仿宋_GB2312" w:eastAsia="仿宋_GB2312" w:cs="仿宋_GB2312"/>
          <w:b w:val="0"/>
          <w:bCs w:val="0"/>
          <w:sz w:val="32"/>
          <w:szCs w:val="32"/>
        </w:rPr>
        <w:t>价结</w:t>
      </w:r>
      <w:r>
        <w:rPr>
          <w:rFonts w:hint="eastAsia" w:ascii="仿宋_GB2312" w:hAnsi="仿宋_GB2312" w:eastAsia="仿宋_GB2312" w:cs="仿宋_GB2312"/>
          <w:b w:val="0"/>
          <w:bCs w:val="0"/>
          <w:sz w:val="32"/>
          <w:szCs w:val="32"/>
          <w:lang w:eastAsia="zh-CN"/>
        </w:rPr>
        <w:t>果</w:t>
      </w:r>
      <w:r>
        <w:rPr>
          <w:rFonts w:hint="eastAsia" w:ascii="仿宋_GB2312" w:hAnsi="仿宋_GB2312" w:eastAsia="仿宋_GB2312" w:cs="仿宋_GB2312"/>
          <w:b w:val="0"/>
          <w:bCs w:val="0"/>
          <w:sz w:val="32"/>
          <w:szCs w:val="32"/>
        </w:rPr>
        <w:t>为合格</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提出整改意见</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并对整改意见落实情况进行跟踪观察，在此过程中，拨款及支付暂缓进行。</w:t>
      </w:r>
      <w:r>
        <w:rPr>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bCs w:val="0"/>
          <w:sz w:val="32"/>
          <w:szCs w:val="32"/>
          <w:lang w:eastAsia="zh-CN"/>
        </w:rPr>
        <w:t>、绩效评价</w:t>
      </w:r>
      <w:r>
        <w:rPr>
          <w:rFonts w:hint="eastAsia" w:ascii="仿宋_GB2312" w:hAnsi="仿宋_GB2312" w:eastAsia="仿宋_GB2312" w:cs="仿宋_GB2312"/>
          <w:b w:val="0"/>
          <w:bCs w:val="0"/>
          <w:sz w:val="32"/>
          <w:szCs w:val="32"/>
        </w:rPr>
        <w:t>结果</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rPr>
        <w:t>不合</w:t>
      </w:r>
      <w:r>
        <w:rPr>
          <w:rFonts w:hint="eastAsia" w:ascii="仿宋_GB2312" w:hAnsi="仿宋_GB2312" w:eastAsia="仿宋_GB2312" w:cs="仿宋_GB2312"/>
          <w:b w:val="0"/>
          <w:bCs w:val="0"/>
          <w:sz w:val="32"/>
          <w:szCs w:val="32"/>
          <w:lang w:eastAsia="zh-CN"/>
        </w:rPr>
        <w:t>格的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及时提出</w:t>
      </w:r>
      <w:r>
        <w:rPr>
          <w:rFonts w:hint="eastAsia" w:ascii="仿宋_GB2312" w:hAnsi="仿宋_GB2312" w:eastAsia="仿宋_GB2312" w:cs="仿宋_GB2312"/>
          <w:b w:val="0"/>
          <w:bCs w:val="0"/>
          <w:sz w:val="32"/>
          <w:szCs w:val="32"/>
        </w:rPr>
        <w:t>整改</w:t>
      </w:r>
      <w:r>
        <w:rPr>
          <w:rFonts w:hint="eastAsia" w:ascii="仿宋_GB2312" w:hAnsi="仿宋_GB2312" w:eastAsia="仿宋_GB2312" w:cs="仿宋_GB2312"/>
          <w:b w:val="0"/>
          <w:bCs w:val="0"/>
          <w:sz w:val="32"/>
          <w:szCs w:val="32"/>
          <w:lang w:eastAsia="zh-CN"/>
        </w:rPr>
        <w:t>意见，整改期间停止安排资金的拨款和支付，对于完成绩效评价的项目，</w:t>
      </w:r>
      <w:r>
        <w:rPr>
          <w:rFonts w:hint="eastAsia" w:ascii="仿宋_GB2312" w:hAnsi="仿宋_GB2312" w:eastAsia="仿宋_GB2312" w:cs="仿宋_GB2312"/>
          <w:b w:val="0"/>
          <w:bCs w:val="0"/>
          <w:sz w:val="32"/>
          <w:szCs w:val="32"/>
          <w:highlight w:val="none"/>
        </w:rPr>
        <w:t>加强项目前期论证和综合分析，确保项目资金使用安全有效</w:t>
      </w:r>
      <w:r>
        <w:rPr>
          <w:rFonts w:hint="eastAsia" w:ascii="仿宋_GB2312" w:hAnsi="仿宋_GB2312" w:eastAsia="仿宋_GB2312" w:cs="仿宋_GB2312"/>
          <w:b w:val="0"/>
          <w:bCs w:val="0"/>
          <w:sz w:val="32"/>
          <w:szCs w:val="32"/>
        </w:rPr>
        <w:t>。</w:t>
      </w:r>
    </w:p>
    <w:p w14:paraId="5FCE4EAD">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对项目单位</w:t>
      </w:r>
      <w:r>
        <w:rPr>
          <w:rFonts w:hint="eastAsia" w:ascii="仿宋_GB2312" w:hAnsi="仿宋_GB2312" w:eastAsia="仿宋_GB2312" w:cs="仿宋_GB2312"/>
          <w:b w:val="0"/>
          <w:bCs w:val="0"/>
          <w:sz w:val="32"/>
          <w:szCs w:val="32"/>
          <w:lang w:eastAsia="zh-CN"/>
        </w:rPr>
        <w:t>绩效</w:t>
      </w:r>
      <w:r>
        <w:rPr>
          <w:rFonts w:hint="eastAsia" w:ascii="仿宋_GB2312" w:hAnsi="仿宋_GB2312" w:eastAsia="仿宋_GB2312" w:cs="仿宋_GB2312"/>
          <w:b w:val="0"/>
          <w:bCs w:val="0"/>
          <w:sz w:val="32"/>
          <w:szCs w:val="32"/>
        </w:rPr>
        <w:t>自评完成</w:t>
      </w:r>
      <w:r>
        <w:rPr>
          <w:rFonts w:hint="eastAsia" w:ascii="仿宋_GB2312" w:hAnsi="仿宋_GB2312" w:eastAsia="仿宋_GB2312" w:cs="仿宋_GB2312"/>
          <w:b w:val="0"/>
          <w:bCs w:val="0"/>
          <w:sz w:val="32"/>
          <w:szCs w:val="32"/>
          <w:lang w:eastAsia="zh-CN"/>
        </w:rPr>
        <w:t>进</w:t>
      </w:r>
      <w:r>
        <w:rPr>
          <w:rFonts w:hint="eastAsia" w:ascii="仿宋_GB2312" w:hAnsi="仿宋_GB2312" w:eastAsia="仿宋_GB2312" w:cs="仿宋_GB2312"/>
          <w:b w:val="0"/>
          <w:bCs w:val="0"/>
          <w:sz w:val="32"/>
          <w:szCs w:val="32"/>
        </w:rPr>
        <w:t>度、完成质量以及组织开展等情况，在一定范围内对其评价结论</w:t>
      </w:r>
      <w:r>
        <w:rPr>
          <w:rFonts w:hint="eastAsia" w:ascii="仿宋_GB2312" w:hAnsi="仿宋_GB2312" w:eastAsia="仿宋_GB2312" w:cs="仿宋_GB2312"/>
          <w:b w:val="0"/>
          <w:bCs w:val="0"/>
          <w:sz w:val="32"/>
          <w:szCs w:val="32"/>
          <w:lang w:eastAsia="zh-CN"/>
        </w:rPr>
        <w:t>予以通报</w:t>
      </w:r>
      <w:r>
        <w:rPr>
          <w:rFonts w:hint="eastAsia" w:ascii="仿宋_GB2312" w:hAnsi="仿宋_GB2312" w:eastAsia="仿宋_GB2312" w:cs="仿宋_GB2312"/>
          <w:b w:val="0"/>
          <w:bCs w:val="0"/>
          <w:sz w:val="32"/>
          <w:szCs w:val="32"/>
        </w:rPr>
        <w:t>，促使其自觉地、保质保量地完成</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b w:val="0"/>
          <w:bCs w:val="0"/>
          <w:sz w:val="32"/>
          <w:szCs w:val="32"/>
        </w:rPr>
        <w:t>目的绩效自评工作。同时</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县门户</w:t>
      </w:r>
      <w:r>
        <w:rPr>
          <w:rFonts w:hint="eastAsia" w:ascii="仿宋_GB2312" w:hAnsi="仿宋_GB2312" w:eastAsia="仿宋_GB2312" w:cs="仿宋_GB2312"/>
          <w:b w:val="0"/>
          <w:bCs w:val="0"/>
          <w:sz w:val="32"/>
          <w:szCs w:val="32"/>
        </w:rPr>
        <w:t>网站公开</w:t>
      </w:r>
      <w:r>
        <w:rPr>
          <w:rFonts w:hint="eastAsia" w:ascii="仿宋_GB2312" w:hAnsi="仿宋_GB2312" w:eastAsia="仿宋_GB2312" w:cs="仿宋_GB2312"/>
          <w:b w:val="0"/>
          <w:bCs w:val="0"/>
          <w:sz w:val="32"/>
          <w:szCs w:val="32"/>
          <w:lang w:eastAsia="zh-CN"/>
        </w:rPr>
        <w:t>财政</w:t>
      </w:r>
      <w:r>
        <w:rPr>
          <w:rFonts w:hint="eastAsia" w:ascii="仿宋_GB2312" w:hAnsi="仿宋_GB2312" w:eastAsia="仿宋_GB2312" w:cs="仿宋_GB2312"/>
          <w:b w:val="0"/>
          <w:bCs w:val="0"/>
          <w:sz w:val="32"/>
          <w:szCs w:val="32"/>
        </w:rPr>
        <w:t>支出绩效评价情况，使公众了解有关项目的实际</w:t>
      </w:r>
      <w:r>
        <w:rPr>
          <w:rFonts w:hint="eastAsia" w:ascii="仿宋_GB2312" w:hAnsi="仿宋_GB2312" w:eastAsia="仿宋_GB2312" w:cs="仿宋_GB2312"/>
          <w:b w:val="0"/>
          <w:bCs w:val="0"/>
          <w:sz w:val="32"/>
          <w:szCs w:val="32"/>
          <w:lang w:eastAsia="zh-CN"/>
        </w:rPr>
        <w:t>绩效水平</w:t>
      </w:r>
      <w:r>
        <w:rPr>
          <w:rFonts w:hint="eastAsia" w:ascii="仿宋_GB2312" w:hAnsi="仿宋_GB2312" w:eastAsia="仿宋_GB2312" w:cs="仿宋_GB2312"/>
          <w:b w:val="0"/>
          <w:bCs w:val="0"/>
          <w:sz w:val="32"/>
          <w:szCs w:val="32"/>
        </w:rPr>
        <w:t>，接受</w:t>
      </w:r>
      <w:r>
        <w:rPr>
          <w:rFonts w:hint="eastAsia" w:ascii="仿宋_GB2312" w:hAnsi="仿宋_GB2312" w:eastAsia="仿宋_GB2312" w:cs="仿宋_GB2312"/>
          <w:b w:val="0"/>
          <w:bCs w:val="0"/>
          <w:sz w:val="32"/>
          <w:szCs w:val="32"/>
          <w:lang w:eastAsia="zh-CN"/>
        </w:rPr>
        <w:t>社</w:t>
      </w:r>
      <w:r>
        <w:rPr>
          <w:rFonts w:hint="eastAsia" w:ascii="仿宋_GB2312" w:hAnsi="仿宋_GB2312" w:eastAsia="仿宋_GB2312" w:cs="仿宋_GB2312"/>
          <w:b w:val="0"/>
          <w:bCs w:val="0"/>
          <w:sz w:val="32"/>
          <w:szCs w:val="32"/>
        </w:rPr>
        <w:t>会公众监督。</w:t>
      </w:r>
    </w:p>
    <w:p w14:paraId="768C1E88">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3.预算公开。按照预算公开的相关要求，我单位于2024年7月9日公开了2024年部门预算，并将部门项目支出绩效目标、部门整体绩效目标和预算绩效管理情况随同预算公开。</w:t>
      </w:r>
    </w:p>
    <w:p w14:paraId="1CEBA818">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4.决算公开。按照决算公开的相关要求，我单位于2024年9月27日公开了2023年部门决算，并将部门整体绩效目标自评、项目支出绩效目标自评、部门整体绩效自评报告和项目绩效自评报告情况随同决算公开。</w:t>
      </w:r>
    </w:p>
    <w:p w14:paraId="155A5911">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5.整改反馈情况</w:t>
      </w:r>
    </w:p>
    <w:p w14:paraId="60779D8F">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（1）结果整改。2024年，渠县财政局在2024年部门预算绩效目标审查、绩效监控和2024年重点绩效评价中，未对我单位提出整改意见。</w:t>
      </w:r>
    </w:p>
    <w:p w14:paraId="08E4FE18">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（2）应用反馈。经自查及与财政部门确认，未收到整改意见。</w:t>
      </w:r>
    </w:p>
    <w:p w14:paraId="48F3062E">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黑体" w:hAnsi="黑体" w:eastAsia="黑体" w:cs="黑体"/>
          <w:b/>
          <w:bCs/>
          <w:color w:val="000000"/>
          <w:kern w:val="0"/>
          <w:sz w:val="32"/>
          <w:szCs w:val="32"/>
          <w:highlight w:val="none"/>
          <w:shd w:val="clear" w:color="auto" w:fill="FFFFFF"/>
        </w:rPr>
      </w:pPr>
      <w:r>
        <w:rPr>
          <w:rFonts w:hint="eastAsia" w:ascii="黑体" w:hAnsi="黑体" w:eastAsia="黑体" w:cs="黑体"/>
          <w:b/>
          <w:bCs/>
          <w:color w:val="000000"/>
          <w:kern w:val="0"/>
          <w:sz w:val="44"/>
          <w:szCs w:val="44"/>
          <w:highlight w:val="none"/>
          <w:shd w:val="clear" w:color="auto" w:fill="FFFFFF"/>
          <w:lang w:eastAsia="zh-CN"/>
        </w:rPr>
        <w:t>四、</w:t>
      </w:r>
      <w:r>
        <w:rPr>
          <w:rFonts w:hint="eastAsia" w:ascii="黑体" w:hAnsi="黑体" w:eastAsia="黑体" w:cs="黑体"/>
          <w:b/>
          <w:bCs/>
          <w:color w:val="000000"/>
          <w:kern w:val="0"/>
          <w:sz w:val="44"/>
          <w:szCs w:val="44"/>
          <w:highlight w:val="none"/>
          <w:shd w:val="clear" w:color="auto" w:fill="FFFFFF"/>
        </w:rPr>
        <w:t>评价结论及建议</w:t>
      </w:r>
    </w:p>
    <w:p w14:paraId="10342E6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en-US"/>
        </w:rPr>
      </w:pPr>
      <w:r>
        <w:rPr>
          <w:rFonts w:hint="default" w:ascii="Times New Roman" w:hAnsi="Times New Roman" w:eastAsia="方正仿宋_GBK" w:cs="Times New Roman"/>
          <w:b/>
          <w:bCs/>
          <w:color w:val="000000"/>
          <w:kern w:val="0"/>
          <w:sz w:val="32"/>
          <w:szCs w:val="32"/>
          <w:highlight w:val="none"/>
          <w:shd w:val="clear" w:color="auto" w:fill="FFFFFF"/>
          <w:lang w:val="zh-CN"/>
        </w:rPr>
        <w:t>（一）评价结论。</w:t>
      </w:r>
    </w:p>
    <w:p w14:paraId="59E52D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镇2024年部门整体支出绩效情况好，预算编制较为科学和准确，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2024年部门整体支出绩效评价得分96分。</w:t>
      </w:r>
    </w:p>
    <w:p w14:paraId="29A945C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val="0"/>
          <w:bCs w:val="0"/>
          <w:w w:val="95"/>
          <w:kern w:val="0"/>
          <w:positio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shd w:val="clear" w:color="auto" w:fill="FFFFFF"/>
          <w:lang w:val="zh-CN"/>
        </w:rPr>
        <w:t>（二）存在问题。</w:t>
      </w:r>
    </w:p>
    <w:p w14:paraId="0FC7068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预算支出明细科目编制不够准确，预算实际使用过程中产生偏差，无法准确预计全年经济活动。</w:t>
      </w:r>
    </w:p>
    <w:p w14:paraId="382F08C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年初预算不够准确，年中落实省级部门、市委市政府重大决策和重大活动等原因，年中追加较多经费，导致全年预算支出占比大。预算控制率有待进一步降低。</w:t>
      </w:r>
    </w:p>
    <w:p w14:paraId="09F3D0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预算绩效意识有待进一步提升，单位绩效意识逐步增强，绩效管理基础不断夯实，但“重分配，轻管理；重使用，轻绩效”的思想尚未发生根本性改变。</w:t>
      </w:r>
    </w:p>
    <w:p w14:paraId="49D59BB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b/>
          <w:bCs/>
          <w:color w:val="000000"/>
          <w:kern w:val="0"/>
          <w:sz w:val="32"/>
          <w:szCs w:val="32"/>
          <w:highlight w:val="none"/>
          <w:shd w:val="clear" w:color="auto" w:fill="FFFFFF"/>
          <w:lang w:val="zh-CN" w:eastAsia="zh-CN"/>
        </w:rPr>
        <w:t>（三）改进建议。</w:t>
      </w:r>
    </w:p>
    <w:p w14:paraId="2C901AB5">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科学严谨编制年度部门预算，细化部门预算内容，保证预算的精准性，通过预算执行合理调配资金，提高资金使用效益。</w:t>
      </w:r>
    </w:p>
    <w:p w14:paraId="57AE0D98">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通过年中预算执行情况合理调配资金，增强预算执行的前瞻性和预见性。提高项目执行率，提高资金支付效率。</w:t>
      </w:r>
    </w:p>
    <w:p w14:paraId="46B69CBA">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多开展相关业务工作的培训，通过开展相关业务工作的培训，加强财务人员业务培训，提升专业水平。</w:t>
      </w:r>
      <w:bookmarkStart w:id="1" w:name="_Hlk110546638"/>
    </w:p>
    <w:bookmarkEnd w:id="1"/>
    <w:p w14:paraId="16B0C64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仿宋_GB2312" w:hAnsi="仿宋_GB2312" w:eastAsia="仿宋_GB2312" w:cs="仿宋_GB2312"/>
          <w:sz w:val="32"/>
          <w:szCs w:val="32"/>
          <w:lang w:val="zh-CN" w:eastAsia="zh-CN"/>
        </w:rPr>
      </w:pPr>
    </w:p>
    <w:p w14:paraId="7D612FFB">
      <w:pPr>
        <w:pStyle w:val="7"/>
        <w:keepNext w:val="0"/>
        <w:keepLines w:val="0"/>
        <w:pageBreakBefore w:val="0"/>
        <w:numPr>
          <w:ilvl w:val="0"/>
          <w:numId w:val="0"/>
        </w:numPr>
        <w:kinsoku/>
        <w:wordWrap/>
        <w:overflowPunct/>
        <w:topLinePunct w:val="0"/>
        <w:autoSpaceDE/>
        <w:autoSpaceDN/>
        <w:bidi w:val="0"/>
        <w:spacing w:after="0" w:line="578" w:lineRule="exact"/>
        <w:ind w:firstLine="640" w:firstLineChars="200"/>
        <w:textAlignment w:val="auto"/>
        <w:rPr>
          <w:rFonts w:hint="default" w:ascii="Times New Roman" w:hAnsi="Times New Roman" w:eastAsia="方正仿宋_GBK" w:cs="Times New Roman"/>
          <w:kern w:val="2"/>
          <w:sz w:val="32"/>
          <w:szCs w:val="32"/>
          <w:u w:val="none"/>
          <w:lang w:val="zh-CN" w:eastAsia="zh-CN" w:bidi="ar"/>
        </w:rPr>
      </w:pPr>
    </w:p>
    <w:p w14:paraId="74BCE6AB">
      <w:pPr>
        <w:pStyle w:val="7"/>
        <w:keepNext w:val="0"/>
        <w:keepLines w:val="0"/>
        <w:pageBreakBefore w:val="0"/>
        <w:numPr>
          <w:ilvl w:val="0"/>
          <w:numId w:val="0"/>
        </w:numPr>
        <w:kinsoku/>
        <w:wordWrap/>
        <w:overflowPunct/>
        <w:topLinePunct w:val="0"/>
        <w:autoSpaceDE/>
        <w:autoSpaceDN/>
        <w:bidi w:val="0"/>
        <w:spacing w:after="0" w:line="578" w:lineRule="exact"/>
        <w:ind w:firstLine="640" w:firstLineChars="200"/>
        <w:textAlignment w:val="auto"/>
        <w:rPr>
          <w:rFonts w:hint="default" w:ascii="Times New Roman" w:hAnsi="Times New Roman" w:eastAsia="方正仿宋_GBK" w:cs="Times New Roman"/>
          <w:kern w:val="2"/>
          <w:sz w:val="32"/>
          <w:szCs w:val="32"/>
          <w:u w:val="none"/>
          <w:lang w:val="zh-CN" w:eastAsia="zh-CN" w:bidi="ar"/>
        </w:rPr>
      </w:pPr>
    </w:p>
    <w:p w14:paraId="4BB76BD6">
      <w:pPr>
        <w:pStyle w:val="7"/>
        <w:keepNext w:val="0"/>
        <w:keepLines w:val="0"/>
        <w:pageBreakBefore w:val="0"/>
        <w:numPr>
          <w:ilvl w:val="0"/>
          <w:numId w:val="0"/>
        </w:numPr>
        <w:kinsoku/>
        <w:wordWrap/>
        <w:overflowPunct/>
        <w:topLinePunct w:val="0"/>
        <w:autoSpaceDE/>
        <w:autoSpaceDN/>
        <w:bidi w:val="0"/>
        <w:spacing w:after="0" w:line="578" w:lineRule="exact"/>
        <w:ind w:firstLine="640" w:firstLineChars="200"/>
        <w:textAlignment w:val="auto"/>
        <w:rPr>
          <w:rFonts w:hint="default" w:ascii="Times New Roman" w:hAnsi="Times New Roman" w:eastAsia="方正仿宋_GBK" w:cs="Times New Roman"/>
          <w:kern w:val="2"/>
          <w:sz w:val="32"/>
          <w:szCs w:val="32"/>
          <w:u w:val="none"/>
          <w:lang w:val="zh-CN" w:eastAsia="zh-CN" w:bidi="ar"/>
        </w:rPr>
      </w:pPr>
    </w:p>
    <w:p w14:paraId="7D7DF93F">
      <w:pPr>
        <w:pStyle w:val="7"/>
        <w:keepNext w:val="0"/>
        <w:keepLines w:val="0"/>
        <w:pageBreakBefore w:val="0"/>
        <w:numPr>
          <w:ilvl w:val="0"/>
          <w:numId w:val="0"/>
        </w:numPr>
        <w:kinsoku/>
        <w:wordWrap/>
        <w:overflowPunct/>
        <w:topLinePunct w:val="0"/>
        <w:autoSpaceDE/>
        <w:autoSpaceDN/>
        <w:bidi w:val="0"/>
        <w:spacing w:after="0" w:line="578" w:lineRule="exact"/>
        <w:ind w:firstLine="640" w:firstLineChars="200"/>
        <w:textAlignment w:val="auto"/>
        <w:rPr>
          <w:rFonts w:hint="default" w:ascii="Times New Roman" w:hAnsi="Times New Roman" w:eastAsia="方正仿宋_GBK" w:cs="Times New Roman"/>
          <w:kern w:val="2"/>
          <w:sz w:val="32"/>
          <w:szCs w:val="32"/>
          <w:u w:val="none"/>
          <w:lang w:val="zh-CN" w:eastAsia="zh-CN" w:bidi="ar"/>
        </w:rPr>
      </w:pPr>
    </w:p>
    <w:p w14:paraId="0BE92306">
      <w:pPr>
        <w:pStyle w:val="7"/>
        <w:keepNext w:val="0"/>
        <w:keepLines w:val="0"/>
        <w:pageBreakBefore w:val="0"/>
        <w:numPr>
          <w:ilvl w:val="0"/>
          <w:numId w:val="0"/>
        </w:numPr>
        <w:kinsoku/>
        <w:wordWrap/>
        <w:overflowPunct/>
        <w:topLinePunct w:val="0"/>
        <w:autoSpaceDE/>
        <w:autoSpaceDN/>
        <w:bidi w:val="0"/>
        <w:spacing w:after="0" w:line="578" w:lineRule="exact"/>
        <w:ind w:firstLine="640" w:firstLineChars="200"/>
        <w:textAlignment w:val="auto"/>
        <w:rPr>
          <w:rFonts w:hint="default" w:ascii="Times New Roman" w:hAnsi="Times New Roman" w:eastAsia="方正仿宋_GBK" w:cs="Times New Roman"/>
          <w:kern w:val="2"/>
          <w:sz w:val="32"/>
          <w:szCs w:val="32"/>
          <w:u w:val="none"/>
          <w:lang w:val="zh-CN" w:eastAsia="zh-CN" w:bidi="ar"/>
        </w:rPr>
      </w:pPr>
    </w:p>
    <w:p w14:paraId="2D33B3AD">
      <w:pPr>
        <w:pStyle w:val="7"/>
        <w:keepNext w:val="0"/>
        <w:keepLines w:val="0"/>
        <w:pageBreakBefore w:val="0"/>
        <w:numPr>
          <w:ilvl w:val="0"/>
          <w:numId w:val="0"/>
        </w:numPr>
        <w:kinsoku/>
        <w:wordWrap/>
        <w:overflowPunct/>
        <w:topLinePunct w:val="0"/>
        <w:autoSpaceDE/>
        <w:autoSpaceDN/>
        <w:bidi w:val="0"/>
        <w:spacing w:after="0" w:line="578" w:lineRule="exact"/>
        <w:ind w:firstLine="640" w:firstLineChars="200"/>
        <w:textAlignment w:val="auto"/>
        <w:rPr>
          <w:rFonts w:hint="default" w:ascii="Times New Roman" w:hAnsi="Times New Roman" w:eastAsia="方正仿宋_GBK" w:cs="Times New Roman"/>
          <w:kern w:val="2"/>
          <w:sz w:val="32"/>
          <w:szCs w:val="32"/>
          <w:u w:val="none"/>
          <w:lang w:val="zh-CN" w:eastAsia="zh-CN" w:bidi="ar"/>
        </w:rPr>
      </w:pPr>
    </w:p>
    <w:bookmarkEnd w:id="0"/>
    <w:p w14:paraId="1D2312B8">
      <w:pPr>
        <w:rPr>
          <w:rFonts w:hint="default" w:ascii="Times New Roman" w:hAnsi="Times New Roman" w:cs="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85A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4078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0040786">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11C1A55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F8B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10E9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4E10E9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1F01">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A66AB"/>
    <w:rsid w:val="021F6149"/>
    <w:rsid w:val="02F94F2F"/>
    <w:rsid w:val="02FEBE30"/>
    <w:rsid w:val="04916F1E"/>
    <w:rsid w:val="05BB24F7"/>
    <w:rsid w:val="061E35DE"/>
    <w:rsid w:val="066E0107"/>
    <w:rsid w:val="06B807E5"/>
    <w:rsid w:val="06C7398F"/>
    <w:rsid w:val="075C3529"/>
    <w:rsid w:val="079351F5"/>
    <w:rsid w:val="07996F6E"/>
    <w:rsid w:val="07DFD8BA"/>
    <w:rsid w:val="08D7007E"/>
    <w:rsid w:val="08D80CAE"/>
    <w:rsid w:val="09867E8F"/>
    <w:rsid w:val="09875765"/>
    <w:rsid w:val="0A2032A3"/>
    <w:rsid w:val="0A417593"/>
    <w:rsid w:val="0CA8290A"/>
    <w:rsid w:val="0D35B1ED"/>
    <w:rsid w:val="0D8A7336"/>
    <w:rsid w:val="0E254B6B"/>
    <w:rsid w:val="0F98263C"/>
    <w:rsid w:val="101860EC"/>
    <w:rsid w:val="101F47CC"/>
    <w:rsid w:val="103510F8"/>
    <w:rsid w:val="10C055FF"/>
    <w:rsid w:val="11694EBD"/>
    <w:rsid w:val="11772AA4"/>
    <w:rsid w:val="118107EC"/>
    <w:rsid w:val="12E24EE2"/>
    <w:rsid w:val="130762CD"/>
    <w:rsid w:val="13143247"/>
    <w:rsid w:val="13993D63"/>
    <w:rsid w:val="13D50BC4"/>
    <w:rsid w:val="14313AB6"/>
    <w:rsid w:val="1437543F"/>
    <w:rsid w:val="14B17F78"/>
    <w:rsid w:val="154E4870"/>
    <w:rsid w:val="157306F8"/>
    <w:rsid w:val="165E0673"/>
    <w:rsid w:val="16B831D5"/>
    <w:rsid w:val="16BB723D"/>
    <w:rsid w:val="173C0FBE"/>
    <w:rsid w:val="17E50567"/>
    <w:rsid w:val="17EF3C37"/>
    <w:rsid w:val="186504BB"/>
    <w:rsid w:val="19A445FC"/>
    <w:rsid w:val="1BAD248A"/>
    <w:rsid w:val="1BAD5FE6"/>
    <w:rsid w:val="1BC81072"/>
    <w:rsid w:val="1BE8440E"/>
    <w:rsid w:val="1C171C38"/>
    <w:rsid w:val="1C2571FC"/>
    <w:rsid w:val="1D155CEE"/>
    <w:rsid w:val="1D1638FE"/>
    <w:rsid w:val="1D790876"/>
    <w:rsid w:val="1E312DEB"/>
    <w:rsid w:val="1E740ACF"/>
    <w:rsid w:val="1FF35744"/>
    <w:rsid w:val="1FF6BC77"/>
    <w:rsid w:val="216D06F2"/>
    <w:rsid w:val="2186353C"/>
    <w:rsid w:val="23764412"/>
    <w:rsid w:val="23860B96"/>
    <w:rsid w:val="240371BF"/>
    <w:rsid w:val="241B7272"/>
    <w:rsid w:val="244F3473"/>
    <w:rsid w:val="24C97D99"/>
    <w:rsid w:val="25A718F0"/>
    <w:rsid w:val="25BB59F6"/>
    <w:rsid w:val="260F557C"/>
    <w:rsid w:val="26970054"/>
    <w:rsid w:val="26D61BFC"/>
    <w:rsid w:val="27A22F05"/>
    <w:rsid w:val="281408E2"/>
    <w:rsid w:val="28D97A99"/>
    <w:rsid w:val="294F6E66"/>
    <w:rsid w:val="29FD04D3"/>
    <w:rsid w:val="2BFF7BC6"/>
    <w:rsid w:val="2C8A61B5"/>
    <w:rsid w:val="2CA927FA"/>
    <w:rsid w:val="2D212C5A"/>
    <w:rsid w:val="2DF04E50"/>
    <w:rsid w:val="2E586DFA"/>
    <w:rsid w:val="2EAC037F"/>
    <w:rsid w:val="2F040D46"/>
    <w:rsid w:val="2F6B035B"/>
    <w:rsid w:val="2F835F4B"/>
    <w:rsid w:val="2FAE5751"/>
    <w:rsid w:val="2FB1A395"/>
    <w:rsid w:val="2FBE0F17"/>
    <w:rsid w:val="2FD9A7D8"/>
    <w:rsid w:val="2FDBF714"/>
    <w:rsid w:val="30AB6865"/>
    <w:rsid w:val="319F7F4E"/>
    <w:rsid w:val="31B5579D"/>
    <w:rsid w:val="32BD1EF1"/>
    <w:rsid w:val="3304709D"/>
    <w:rsid w:val="33777A35"/>
    <w:rsid w:val="337C2A16"/>
    <w:rsid w:val="33A773CB"/>
    <w:rsid w:val="33CE44BC"/>
    <w:rsid w:val="349D6851"/>
    <w:rsid w:val="35604A59"/>
    <w:rsid w:val="36744B19"/>
    <w:rsid w:val="36AA5135"/>
    <w:rsid w:val="36BE0DA7"/>
    <w:rsid w:val="376B6AA6"/>
    <w:rsid w:val="376D39B2"/>
    <w:rsid w:val="37E16F03"/>
    <w:rsid w:val="37F53A3B"/>
    <w:rsid w:val="389B6C89"/>
    <w:rsid w:val="38D469F0"/>
    <w:rsid w:val="39627CCD"/>
    <w:rsid w:val="397BAF1F"/>
    <w:rsid w:val="39AD02F7"/>
    <w:rsid w:val="3AB79AF3"/>
    <w:rsid w:val="3AE834C0"/>
    <w:rsid w:val="3B1826FB"/>
    <w:rsid w:val="3B7EF35A"/>
    <w:rsid w:val="3B9FDB6C"/>
    <w:rsid w:val="3BF5BC2F"/>
    <w:rsid w:val="3C017F5D"/>
    <w:rsid w:val="3C9F7A69"/>
    <w:rsid w:val="3CEBA265"/>
    <w:rsid w:val="3D2D6B2F"/>
    <w:rsid w:val="3D98207C"/>
    <w:rsid w:val="3DDE3ACF"/>
    <w:rsid w:val="3DEE7CF3"/>
    <w:rsid w:val="3E740A63"/>
    <w:rsid w:val="3E78745D"/>
    <w:rsid w:val="3EE17838"/>
    <w:rsid w:val="3F55381A"/>
    <w:rsid w:val="3F7F7599"/>
    <w:rsid w:val="3FF4CAE0"/>
    <w:rsid w:val="3FF7B227"/>
    <w:rsid w:val="40354679"/>
    <w:rsid w:val="417E3DFD"/>
    <w:rsid w:val="423E5C05"/>
    <w:rsid w:val="44527333"/>
    <w:rsid w:val="44E268DA"/>
    <w:rsid w:val="450D13D7"/>
    <w:rsid w:val="45506656"/>
    <w:rsid w:val="46E123C4"/>
    <w:rsid w:val="47AD3354"/>
    <w:rsid w:val="47B07535"/>
    <w:rsid w:val="486A6C7A"/>
    <w:rsid w:val="48B53CC8"/>
    <w:rsid w:val="48BF44A6"/>
    <w:rsid w:val="48DB11F5"/>
    <w:rsid w:val="4A627F82"/>
    <w:rsid w:val="4ACF6A09"/>
    <w:rsid w:val="4B0E749A"/>
    <w:rsid w:val="4B2477C4"/>
    <w:rsid w:val="4B4F25DA"/>
    <w:rsid w:val="4BE068DB"/>
    <w:rsid w:val="4D577224"/>
    <w:rsid w:val="4DBF1CEB"/>
    <w:rsid w:val="4DF0007C"/>
    <w:rsid w:val="4E2628EC"/>
    <w:rsid w:val="4EAB630A"/>
    <w:rsid w:val="4ECE2238"/>
    <w:rsid w:val="4F153383"/>
    <w:rsid w:val="4F833267"/>
    <w:rsid w:val="4FE9BD67"/>
    <w:rsid w:val="4FFB052F"/>
    <w:rsid w:val="50910622"/>
    <w:rsid w:val="52AD08A4"/>
    <w:rsid w:val="537E6D0A"/>
    <w:rsid w:val="53F74C96"/>
    <w:rsid w:val="540C5299"/>
    <w:rsid w:val="544B5DC1"/>
    <w:rsid w:val="55170BA8"/>
    <w:rsid w:val="553218C9"/>
    <w:rsid w:val="555313D1"/>
    <w:rsid w:val="55AD491E"/>
    <w:rsid w:val="56584557"/>
    <w:rsid w:val="567E1AA5"/>
    <w:rsid w:val="56E47B74"/>
    <w:rsid w:val="57175D52"/>
    <w:rsid w:val="57BD3DD4"/>
    <w:rsid w:val="59952E8E"/>
    <w:rsid w:val="5A221372"/>
    <w:rsid w:val="5AF92295"/>
    <w:rsid w:val="5B250254"/>
    <w:rsid w:val="5BDD79E6"/>
    <w:rsid w:val="5BF561CA"/>
    <w:rsid w:val="5BFF5DFC"/>
    <w:rsid w:val="5C2869E8"/>
    <w:rsid w:val="5C4D2CBA"/>
    <w:rsid w:val="5CD71FC4"/>
    <w:rsid w:val="5D1F11B5"/>
    <w:rsid w:val="5D3A7720"/>
    <w:rsid w:val="5D695134"/>
    <w:rsid w:val="5DAE1B18"/>
    <w:rsid w:val="5DE7D9E5"/>
    <w:rsid w:val="5E5646F0"/>
    <w:rsid w:val="5E5D506F"/>
    <w:rsid w:val="5ECEC941"/>
    <w:rsid w:val="5FBF9FF3"/>
    <w:rsid w:val="5FCD4E2C"/>
    <w:rsid w:val="5FEF394A"/>
    <w:rsid w:val="5FF67715"/>
    <w:rsid w:val="606B6BF7"/>
    <w:rsid w:val="62AA61FB"/>
    <w:rsid w:val="62BF3928"/>
    <w:rsid w:val="62DF24F6"/>
    <w:rsid w:val="63B3701E"/>
    <w:rsid w:val="647F5392"/>
    <w:rsid w:val="6497295D"/>
    <w:rsid w:val="65E66580"/>
    <w:rsid w:val="662A17C1"/>
    <w:rsid w:val="664B1D71"/>
    <w:rsid w:val="664B4E8E"/>
    <w:rsid w:val="67277B67"/>
    <w:rsid w:val="67AA3209"/>
    <w:rsid w:val="68A21EC6"/>
    <w:rsid w:val="69272501"/>
    <w:rsid w:val="69641436"/>
    <w:rsid w:val="698D0931"/>
    <w:rsid w:val="69FD7706"/>
    <w:rsid w:val="6A7FE5F3"/>
    <w:rsid w:val="6ABC4ECB"/>
    <w:rsid w:val="6B053271"/>
    <w:rsid w:val="6B4B624F"/>
    <w:rsid w:val="6B8C2E14"/>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FA3F61"/>
    <w:rsid w:val="712A28F1"/>
    <w:rsid w:val="715C0E4B"/>
    <w:rsid w:val="71992E7C"/>
    <w:rsid w:val="72233669"/>
    <w:rsid w:val="72734D90"/>
    <w:rsid w:val="73160E6D"/>
    <w:rsid w:val="7332FE48"/>
    <w:rsid w:val="73510F00"/>
    <w:rsid w:val="73AB61DA"/>
    <w:rsid w:val="73AD73D5"/>
    <w:rsid w:val="73B6EB34"/>
    <w:rsid w:val="73FA497D"/>
    <w:rsid w:val="744731E5"/>
    <w:rsid w:val="74BBD01D"/>
    <w:rsid w:val="74C257D4"/>
    <w:rsid w:val="74ED5379"/>
    <w:rsid w:val="75DEEEC2"/>
    <w:rsid w:val="75E32345"/>
    <w:rsid w:val="75F53987"/>
    <w:rsid w:val="766D79C1"/>
    <w:rsid w:val="76E3355F"/>
    <w:rsid w:val="76FF5125"/>
    <w:rsid w:val="77524F4D"/>
    <w:rsid w:val="776F6FFA"/>
    <w:rsid w:val="778769C8"/>
    <w:rsid w:val="77A75DCA"/>
    <w:rsid w:val="77DC22F5"/>
    <w:rsid w:val="783E271A"/>
    <w:rsid w:val="78473A0B"/>
    <w:rsid w:val="78616DE9"/>
    <w:rsid w:val="78E875D7"/>
    <w:rsid w:val="79086DAD"/>
    <w:rsid w:val="79D7FD79"/>
    <w:rsid w:val="79E87A8A"/>
    <w:rsid w:val="79EE5BA4"/>
    <w:rsid w:val="7A894339"/>
    <w:rsid w:val="7AA45194"/>
    <w:rsid w:val="7AA54496"/>
    <w:rsid w:val="7AD284E8"/>
    <w:rsid w:val="7AFF7572"/>
    <w:rsid w:val="7B6C7DFB"/>
    <w:rsid w:val="7BBFBED0"/>
    <w:rsid w:val="7BC3E394"/>
    <w:rsid w:val="7BDD2105"/>
    <w:rsid w:val="7C1F3737"/>
    <w:rsid w:val="7CBFC87B"/>
    <w:rsid w:val="7CFE0F48"/>
    <w:rsid w:val="7D272ABC"/>
    <w:rsid w:val="7D7EC23E"/>
    <w:rsid w:val="7E8ADEBF"/>
    <w:rsid w:val="7EEF11D3"/>
    <w:rsid w:val="7EFE4840"/>
    <w:rsid w:val="7F0971A6"/>
    <w:rsid w:val="7F0A2251"/>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autoRedefine/>
    <w:qFormat/>
    <w:uiPriority w:val="0"/>
    <w:pPr>
      <w:spacing w:after="120"/>
      <w:ind w:leftChars="200"/>
    </w:pPr>
    <w:rPr>
      <w:rFonts w:ascii="仿宋_GB2312"/>
      <w:szCs w:val="32"/>
    </w:rPr>
  </w:style>
  <w:style w:type="paragraph" w:styleId="7">
    <w:name w:val="Body Text First Indent 2"/>
    <w:basedOn w:val="6"/>
    <w:autoRedefine/>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autoRedefine/>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31"/>
    <w:basedOn w:val="17"/>
    <w:qFormat/>
    <w:uiPriority w:val="0"/>
    <w:rPr>
      <w:rFonts w:hint="eastAsia" w:ascii="宋体" w:hAnsi="宋体" w:eastAsia="宋体" w:cs="宋体"/>
      <w:color w:val="000000"/>
      <w:sz w:val="18"/>
      <w:szCs w:val="18"/>
      <w:u w:val="none"/>
    </w:rPr>
  </w:style>
  <w:style w:type="character" w:customStyle="1" w:styleId="37">
    <w:name w:val="font101"/>
    <w:basedOn w:val="17"/>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12</Pages>
  <Words>4915</Words>
  <Characters>5447</Characters>
  <Lines>61</Lines>
  <Paragraphs>17</Paragraphs>
  <TotalTime>33</TotalTime>
  <ScaleCrop>false</ScaleCrop>
  <LinksUpToDate>false</LinksUpToDate>
  <CharactersWithSpaces>5457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唐胜（又乐商城）18281016840</cp:lastModifiedBy>
  <cp:lastPrinted>2025-10-15T02:54:00Z</cp:lastPrinted>
  <dcterms:modified xsi:type="dcterms:W3CDTF">2025-10-23T01:42:59Z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495A8FD2AEA348CA9F0C40527FD30A3F_13</vt:lpwstr>
  </property>
  <property fmtid="{D5CDD505-2E9C-101B-9397-08002B2CF9AE}" pid="4" name="KSOTemplateDocerSaveRecord">
    <vt:lpwstr>eyJoZGlkIjoiZmNjNzJlM2E4ZmZkMzJkODZhZjU5M2UwMDY2ZDQ0NzIiLCJ1c2VySWQiOiIzODE3NzcyOTUifQ==</vt:lpwstr>
  </property>
</Properties>
</file>