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64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2024年监测监控中心运行经费项目</w:t>
      </w:r>
    </w:p>
    <w:p w14:paraId="1753AA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绩效评价报告</w:t>
      </w:r>
    </w:p>
    <w:p w14:paraId="4D9BB5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3D2051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468C55D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bookmarkStart w:id="1" w:name="_GoBack"/>
      <w:bookmarkEnd w:id="1"/>
    </w:p>
    <w:p w14:paraId="64EBB544">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lang w:val="zh-CN"/>
        </w:rPr>
      </w:pPr>
      <w:r>
        <w:rPr>
          <w:rFonts w:hint="eastAsia" w:ascii="仿宋_GB2312" w:hAnsi="仿宋_GB2312" w:eastAsia="仿宋_GB2312" w:cs="仿宋_GB2312"/>
          <w:kern w:val="0"/>
          <w:sz w:val="32"/>
          <w:szCs w:val="32"/>
          <w:shd w:val="clear" w:color="auto" w:fill="FFFFFF"/>
          <w:lang w:val="zh-CN"/>
        </w:rPr>
        <w:t>为贯彻落实《</w:t>
      </w:r>
      <w:r>
        <w:rPr>
          <w:rFonts w:hint="eastAsia" w:ascii="仿宋_GB2312" w:hAnsi="仿宋_GB2312" w:eastAsia="仿宋_GB2312" w:cs="仿宋_GB2312"/>
          <w:kern w:val="0"/>
          <w:sz w:val="32"/>
          <w:szCs w:val="32"/>
          <w:shd w:val="clear" w:color="auto" w:fill="FFFFFF"/>
          <w:lang w:val="zh-CN" w:eastAsia="zh-CN"/>
        </w:rPr>
        <w:t>应急管理部关于进一步加强安全评价机构监管的指导意见</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eastAsia="zh-CN"/>
        </w:rPr>
        <w:t>（应急〔2023〕99号）</w:t>
      </w:r>
      <w:r>
        <w:rPr>
          <w:rFonts w:hint="eastAsia" w:ascii="仿宋_GB2312" w:hAnsi="仿宋_GB2312" w:eastAsia="仿宋_GB2312" w:cs="仿宋_GB2312"/>
          <w:kern w:val="0"/>
          <w:sz w:val="32"/>
          <w:szCs w:val="32"/>
          <w:shd w:val="clear" w:color="auto" w:fill="FFFFFF"/>
          <w:lang w:val="en-US" w:eastAsia="zh-CN"/>
        </w:rPr>
        <w:t>和</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安全生产许可证条例</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等法律法规的要求，本单位设置监测监控中心以确保项目按计划进行，并及时发现和解决任何可能影响项目成功的问题。监测监控中心主要任务是收集和分析项目数据，比较实际进展与计划进展，识别潜在的风险和问题，并采取必要的措施以纠正偏差。</w:t>
      </w:r>
    </w:p>
    <w:p w14:paraId="0F105AB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46D5DE8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本项目旨在通过专项资金的支持，改善生产环节的监测监控设施，旨在打造一支技术精准、科学规范的煤矿安全监测监控队伍，为保障安全生产提供技术支撑。</w:t>
      </w:r>
    </w:p>
    <w:p w14:paraId="3D4BFDC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3DBA559F">
      <w:pPr>
        <w:widowControl/>
        <w:adjustRightInd w:val="0"/>
        <w:snapToGrid w:val="0"/>
        <w:spacing w:line="578" w:lineRule="exact"/>
        <w:ind w:firstLine="640" w:firstLineChars="200"/>
        <w:contextualSpacing/>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年监测监控中心运行经费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17.28</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渠财预〔</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〕5号文下达</w:t>
      </w:r>
      <w:bookmarkStart w:id="0" w:name="_Hlk173330856"/>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17.28</w:t>
      </w:r>
      <w:r>
        <w:rPr>
          <w:rFonts w:hint="eastAsia" w:ascii="仿宋_GB2312" w:hAnsi="仿宋_GB2312" w:eastAsia="仿宋_GB2312" w:cs="仿宋_GB2312"/>
          <w:kern w:val="0"/>
          <w:sz w:val="32"/>
          <w:szCs w:val="32"/>
          <w:shd w:val="clear" w:color="auto" w:fill="FFFFFF"/>
          <w:lang w:val="zh-CN"/>
        </w:rPr>
        <w:t>万元</w:t>
      </w:r>
      <w:bookmarkEnd w:id="0"/>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项目专项资金全部用于支持监测监控中心的日常运转，确保监控中心网络及设备正常运行。</w:t>
      </w:r>
    </w:p>
    <w:p w14:paraId="06EAC72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63D65692">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根据相关文件要求，对指标设置从职责分工、管理等具体执行层面考量，本次共设置一级指标4个、二级指标6个，具体监控中心网络及设备正常运行完成率、运转时间、监控煤矿数量、成本控制等6个指标衡量。</w:t>
      </w:r>
    </w:p>
    <w:p w14:paraId="48D03EA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自评打分表，根据评价要点和评分方法，对项目绩效实现情况进行打分，形成评价结论，撰写专项预算项目绩效自评报告。</w:t>
      </w:r>
    </w:p>
    <w:p w14:paraId="73A31A9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12B88C7E">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1CCF305B">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192601C">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41CD4F2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394BC28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719A738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5A937AF9">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71B154D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5B4853D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0E7FC44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200B2ED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210CF32E">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64DC5DE0">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p>
    <w:p w14:paraId="47A9F41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3AEA370F">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32DDD4BE">
      <w:pPr>
        <w:spacing w:line="578"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1AB3B08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7E1F158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5F48B2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38C7E503">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1DAE99F2">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7A8DF645">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2024年度监测监控中心日常运转，确保监控中心网络及设备正常运行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072D083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3127EC8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（1）制度办法（2分）。本单位未针对此项目建立专项资金管理办法。该项目资金属于以前年度应返还财政资金，按照渠财预〔2024〕5号文件要求，作为单位的日常公用经费使用。该项指标得0分。</w:t>
      </w:r>
    </w:p>
    <w:p w14:paraId="5C8B28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7D373A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2BDBBE4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6B43E5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已完成拨付指标金额17.28万元，财政拨付资金17.28万元，财政资金拨付率100%；单位实际支付金额17.28万元，单位实际到位金额17.28万元，单位资金使用率100%。该项指标得6分。</w:t>
      </w:r>
    </w:p>
    <w:p w14:paraId="4621F9B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37871E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30BFB56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）。项目完成预期目标，实施结果和绩效目标基本匹配，目标任务确保监控中心网络及设备正常运行。</w:t>
      </w:r>
      <w:r>
        <w:rPr>
          <w:rFonts w:hint="eastAsia" w:ascii="Times New Roman" w:hAnsi="Times New Roman" w:eastAsia="仿宋_GB2312" w:cs="Times New Roman"/>
          <w:color w:val="auto"/>
          <w:sz w:val="32"/>
          <w:szCs w:val="32"/>
          <w:lang w:val="en-US" w:eastAsia="zh-CN"/>
        </w:rPr>
        <w:t>该项指标得6分。</w:t>
      </w:r>
    </w:p>
    <w:p w14:paraId="49F888D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3AC901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618B1A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用途合规性（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783E3FA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5FFD8B1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程序合规性（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5B06F40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项目立项由业务部门提出申请，经过单位最高决策会议集体决策后，申报立项</w:t>
      </w:r>
      <w:r>
        <w:rPr>
          <w:rFonts w:hint="eastAsia" w:ascii="Times New Roman" w:hAnsi="Times New Roman" w:eastAsia="仿宋_GB2312" w:cs="Times New Roman"/>
          <w:color w:val="auto"/>
          <w:sz w:val="32"/>
          <w:szCs w:val="32"/>
          <w:lang w:val="zh-CN" w:eastAsia="zh-CN"/>
        </w:rPr>
        <w:t>项目。资金分配和实施结果精准，及时落实到具体内容。</w:t>
      </w:r>
      <w:r>
        <w:rPr>
          <w:rFonts w:hint="eastAsia" w:ascii="Times New Roman" w:hAnsi="Times New Roman" w:eastAsia="仿宋_GB2312" w:cs="Times New Roman"/>
          <w:color w:val="auto"/>
          <w:sz w:val="32"/>
          <w:szCs w:val="32"/>
          <w:lang w:val="en-US" w:eastAsia="zh-CN"/>
        </w:rPr>
        <w:t>该项指标得10分。</w:t>
      </w:r>
    </w:p>
    <w:p w14:paraId="0D8A339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标准合规性（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7C0A7F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项目资金</w:t>
      </w:r>
      <w:r>
        <w:rPr>
          <w:rFonts w:hint="eastAsia" w:ascii="Times New Roman" w:hAnsi="Times New Roman" w:eastAsia="仿宋_GB2312" w:cs="Times New Roman"/>
          <w:color w:val="auto"/>
          <w:sz w:val="32"/>
          <w:szCs w:val="32"/>
          <w:lang w:val="en-US" w:eastAsia="zh-CN"/>
        </w:rPr>
        <w:t>属于县财政局规定的财政预算使用项目，</w:t>
      </w:r>
      <w:r>
        <w:rPr>
          <w:rFonts w:hint="eastAsia" w:ascii="Times New Roman" w:hAnsi="Times New Roman" w:eastAsia="仿宋_GB2312" w:cs="Times New Roman"/>
          <w:color w:val="auto"/>
          <w:sz w:val="32"/>
          <w:szCs w:val="32"/>
          <w:lang w:val="zh-CN" w:eastAsia="zh-CN"/>
        </w:rPr>
        <w:t>不存在多发、漏发、重发、迟发等情况，全部符合支持标准人数。</w:t>
      </w:r>
      <w:r>
        <w:rPr>
          <w:rFonts w:hint="eastAsia" w:ascii="Times New Roman" w:hAnsi="Times New Roman" w:eastAsia="仿宋_GB2312" w:cs="Times New Roman"/>
          <w:color w:val="auto"/>
          <w:sz w:val="32"/>
          <w:szCs w:val="32"/>
          <w:lang w:val="en-US" w:eastAsia="zh-CN"/>
        </w:rPr>
        <w:t>该项指标得10分。</w:t>
      </w:r>
    </w:p>
    <w:p w14:paraId="37FC93B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4DA67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47F505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46048D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中心运行</w:t>
      </w:r>
      <w:r>
        <w:rPr>
          <w:rFonts w:hint="eastAsia" w:ascii="仿宋_GB2312" w:hAnsi="仿宋_GB2312" w:eastAsia="仿宋_GB2312" w:cs="仿宋_GB2312"/>
          <w:sz w:val="32"/>
          <w:szCs w:val="32"/>
          <w:lang w:eastAsia="zh-CN"/>
        </w:rPr>
        <w:t>条件改善</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40F112A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基于对当前</w:t>
      </w:r>
      <w:r>
        <w:rPr>
          <w:rFonts w:hint="eastAsia" w:ascii="Times New Roman" w:hAnsi="Times New Roman" w:eastAsia="仿宋_GB2312" w:cs="Times New Roman"/>
          <w:color w:val="auto"/>
          <w:sz w:val="32"/>
          <w:szCs w:val="32"/>
          <w:highlight w:val="none"/>
          <w:lang w:val="en-US" w:eastAsia="zh-CN"/>
        </w:rPr>
        <w:t>监测监控中心的</w:t>
      </w:r>
      <w:r>
        <w:rPr>
          <w:rFonts w:hint="eastAsia" w:ascii="Times New Roman" w:hAnsi="Times New Roman" w:eastAsia="仿宋_GB2312" w:cs="Times New Roman"/>
          <w:color w:val="auto"/>
          <w:sz w:val="32"/>
          <w:szCs w:val="32"/>
          <w:highlight w:val="none"/>
          <w:lang w:val="zh-CN" w:eastAsia="zh-CN"/>
        </w:rPr>
        <w:t>深入分析，通过改善措施的实施，</w:t>
      </w:r>
      <w:r>
        <w:rPr>
          <w:rFonts w:hint="eastAsia" w:ascii="Times New Roman" w:hAnsi="Times New Roman" w:eastAsia="仿宋_GB2312" w:cs="Times New Roman"/>
          <w:color w:val="auto"/>
          <w:sz w:val="32"/>
          <w:szCs w:val="32"/>
          <w:highlight w:val="none"/>
          <w:lang w:val="en-US" w:eastAsia="zh-CN"/>
        </w:rPr>
        <w:t>确保网络及设备正常运行</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771B3D9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3.可持续发展</w:t>
      </w:r>
      <w:r>
        <w:rPr>
          <w:rFonts w:hint="eastAsia" w:ascii="Times New Roman" w:hAnsi="Times New Roman" w:eastAsia="仿宋_GB2312" w:cs="Times New Roman"/>
          <w:color w:val="auto"/>
          <w:sz w:val="32"/>
          <w:szCs w:val="32"/>
          <w:lang w:val="zh-CN" w:eastAsia="zh-CN"/>
        </w:rPr>
        <w:t>情况（</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78D8645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通过改善监测监控中心设备设施条件，延长中心的运转时间，增强可持续发展的有效性。</w:t>
      </w:r>
      <w:r>
        <w:rPr>
          <w:rFonts w:hint="eastAsia" w:ascii="仿宋_GB2312" w:hAnsi="仿宋_GB2312" w:eastAsia="仿宋_GB2312" w:cs="仿宋_GB2312"/>
          <w:color w:val="000000"/>
          <w:kern w:val="0"/>
          <w:sz w:val="32"/>
          <w:szCs w:val="32"/>
          <w:highlight w:val="none"/>
          <w:shd w:val="clear" w:color="auto" w:fill="FFFFFF"/>
          <w:lang w:val="en-US" w:eastAsia="zh-CN"/>
        </w:rPr>
        <w:t>该项指标得4分。</w:t>
      </w:r>
    </w:p>
    <w:p w14:paraId="3F953D3D">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42517ADA">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本报告通过全面、客观的绩效评价,总结了项目实施的成效与经验，不断优化专项资金的管理和使用效率。针对本次专项预算项目绩效自评，我单位自评结果为96分。</w:t>
      </w:r>
    </w:p>
    <w:p w14:paraId="3AB45B31">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0757B1FB">
      <w:pPr>
        <w:bidi w:val="0"/>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绩效评价方面存在预算绩效管理相应的制度不够完善、预算绩效管理指标设置量化性、科学性及可评价性等问题。</w:t>
      </w:r>
    </w:p>
    <w:p w14:paraId="765AF37D">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F412A87">
      <w:pPr>
        <w:tabs>
          <w:tab w:val="left" w:pos="1911"/>
        </w:tabs>
        <w:ind w:firstLine="640"/>
        <w:jc w:val="left"/>
      </w:pPr>
      <w:r>
        <w:rPr>
          <w:rFonts w:hint="eastAsia" w:ascii="仿宋_GB2312" w:hAnsi="仿宋_GB2312" w:eastAsia="仿宋_GB2312" w:cs="仿宋_GB2312"/>
          <w:b w:val="0"/>
          <w:bCs w:val="0"/>
          <w:color w:val="auto"/>
          <w:kern w:val="0"/>
          <w:position w:val="0"/>
          <w:sz w:val="32"/>
          <w:szCs w:val="32"/>
          <w:highlight w:val="none"/>
          <w:lang w:val="en-US" w:eastAsia="zh-CN" w:bidi="ar-SA"/>
        </w:rPr>
        <w:t>在接下来的工作中，对项目做好事前评估，优化项目绩效目标，更科学的细化、量化绩效指标。有计划、有步骤、全面有效的实施专项资金项目预算绩效管理。</w:t>
      </w:r>
      <w:r>
        <w:br w:type="page"/>
      </w:r>
    </w:p>
    <w:tbl>
      <w:tblPr>
        <w:tblStyle w:val="2"/>
        <w:tblW w:w="5749" w:type="pct"/>
        <w:jc w:val="center"/>
        <w:tblLayout w:type="autofit"/>
        <w:tblCellMar>
          <w:top w:w="15" w:type="dxa"/>
          <w:left w:w="15" w:type="dxa"/>
          <w:bottom w:w="15" w:type="dxa"/>
          <w:right w:w="15" w:type="dxa"/>
        </w:tblCellMar>
      </w:tblPr>
      <w:tblGrid>
        <w:gridCol w:w="596"/>
        <w:gridCol w:w="1001"/>
        <w:gridCol w:w="1156"/>
        <w:gridCol w:w="1221"/>
        <w:gridCol w:w="1039"/>
        <w:gridCol w:w="997"/>
        <w:gridCol w:w="983"/>
        <w:gridCol w:w="866"/>
        <w:gridCol w:w="1726"/>
      </w:tblGrid>
      <w:tr w14:paraId="28C2AA4E">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6655227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505BE361">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7806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15B4A">
            <w:pPr>
              <w:spacing w:line="300" w:lineRule="exact"/>
              <w:rPr>
                <w:rFonts w:ascii="宋体" w:hAnsi="宋体" w:eastAsia="宋体" w:cs="宋体"/>
                <w:color w:val="000000"/>
                <w:sz w:val="24"/>
                <w:szCs w:val="24"/>
              </w:rPr>
            </w:pPr>
            <w:r>
              <w:rPr>
                <w:rFonts w:hint="eastAsia" w:ascii="宋体" w:hAnsi="宋体" w:eastAsia="宋体" w:cs="宋体"/>
                <w:sz w:val="24"/>
                <w:szCs w:val="24"/>
              </w:rPr>
              <w:t>51172524T000011043659-2024年监测监控中心运行经费</w:t>
            </w:r>
          </w:p>
        </w:tc>
      </w:tr>
      <w:tr w14:paraId="3448ADC5">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35AA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59052">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6106D869">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F36B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A8FD6">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29772E0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98B9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7B79D">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1C392">
            <w:pPr>
              <w:spacing w:line="300" w:lineRule="exact"/>
              <w:jc w:val="left"/>
              <w:rPr>
                <w:rFonts w:ascii="宋体" w:hAnsi="宋体" w:eastAsia="宋体" w:cs="宋体"/>
                <w:color w:val="000000"/>
                <w:sz w:val="24"/>
                <w:szCs w:val="24"/>
              </w:rPr>
            </w:pPr>
          </w:p>
        </w:tc>
      </w:tr>
      <w:tr w14:paraId="26DE460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8E51">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4A8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E0971">
            <w:pPr>
              <w:spacing w:line="300" w:lineRule="exact"/>
              <w:jc w:val="left"/>
              <w:rPr>
                <w:rFonts w:ascii="宋体" w:hAnsi="宋体" w:eastAsia="宋体" w:cs="宋体"/>
                <w:color w:val="000000"/>
                <w:sz w:val="24"/>
                <w:szCs w:val="24"/>
              </w:rPr>
            </w:pPr>
          </w:p>
        </w:tc>
      </w:tr>
      <w:tr w14:paraId="5485D7D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4B77">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24B7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4C0D">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60AB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1C8A">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B2F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32D0121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2763">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802B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FFF88">
            <w:pPr>
              <w:spacing w:line="300" w:lineRule="exact"/>
              <w:jc w:val="left"/>
              <w:rPr>
                <w:rFonts w:ascii="宋体" w:hAnsi="宋体" w:eastAsia="宋体" w:cs="宋体"/>
                <w:color w:val="000000"/>
                <w:sz w:val="24"/>
                <w:szCs w:val="24"/>
              </w:rPr>
            </w:pPr>
          </w:p>
        </w:tc>
      </w:tr>
      <w:tr w14:paraId="4EB81CF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352F">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1AEC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5A892">
            <w:pPr>
              <w:spacing w:line="300" w:lineRule="exact"/>
              <w:jc w:val="left"/>
              <w:rPr>
                <w:rFonts w:ascii="宋体" w:hAnsi="宋体" w:eastAsia="宋体" w:cs="宋体"/>
                <w:color w:val="000000"/>
                <w:sz w:val="24"/>
                <w:szCs w:val="24"/>
              </w:rPr>
            </w:pPr>
          </w:p>
        </w:tc>
      </w:tr>
      <w:tr w14:paraId="0912A81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A98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4EBA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A0087">
            <w:pPr>
              <w:spacing w:line="300" w:lineRule="exact"/>
              <w:jc w:val="left"/>
              <w:rPr>
                <w:rFonts w:ascii="宋体" w:hAnsi="宋体" w:eastAsia="宋体" w:cs="宋体"/>
                <w:color w:val="000000"/>
                <w:sz w:val="24"/>
                <w:szCs w:val="24"/>
              </w:rPr>
            </w:pPr>
          </w:p>
        </w:tc>
      </w:tr>
      <w:tr w14:paraId="269DDD8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157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BE1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36C25">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41EC3355">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323E7">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7CE3D75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57E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710A4">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17.28</w:t>
            </w:r>
          </w:p>
        </w:tc>
      </w:tr>
      <w:tr w14:paraId="12078E70">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A009">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677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3918F">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17.28</w:t>
            </w:r>
          </w:p>
        </w:tc>
      </w:tr>
      <w:tr w14:paraId="380312E8">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AE48">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72C3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1F5DE">
            <w:pPr>
              <w:spacing w:line="300" w:lineRule="exact"/>
              <w:jc w:val="right"/>
              <w:rPr>
                <w:rFonts w:ascii="宋体" w:hAnsi="宋体" w:eastAsia="宋体" w:cs="宋体"/>
                <w:color w:val="000000"/>
                <w:sz w:val="24"/>
                <w:szCs w:val="24"/>
              </w:rPr>
            </w:pPr>
          </w:p>
        </w:tc>
      </w:tr>
      <w:tr w14:paraId="201CDFCA">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C92A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53DB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0C816210">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4D0D">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4B66F4">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val="zh-CN"/>
              </w:rPr>
              <w:t>保障监测监控中心正常运行，确保煤矿监测监控数据正常上传至监测监控中心，在上传至市、省。</w:t>
            </w:r>
          </w:p>
        </w:tc>
      </w:tr>
      <w:tr w14:paraId="6FA3A4A1">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51379D1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E56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ACB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86C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C4E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4CE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5BC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668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575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258980E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D5E06BB">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5BA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643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438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监控煤矿数量</w:t>
            </w:r>
          </w:p>
        </w:tc>
        <w:tc>
          <w:tcPr>
            <w:tcW w:w="542" w:type="pct"/>
            <w:tcBorders>
              <w:top w:val="single" w:color="000000" w:sz="4" w:space="0"/>
              <w:left w:val="nil"/>
              <w:bottom w:val="single" w:color="000000" w:sz="4" w:space="0"/>
              <w:right w:val="single" w:color="000000" w:sz="4" w:space="0"/>
            </w:tcBorders>
            <w:shd w:val="clear" w:color="auto" w:fill="auto"/>
            <w:vAlign w:val="center"/>
          </w:tcPr>
          <w:p w14:paraId="08E97BEA">
            <w:pPr>
              <w:keepNext w:val="0"/>
              <w:keepLines w:val="0"/>
              <w:widowControl/>
              <w:suppressLineNumbers w:val="0"/>
              <w:jc w:val="center"/>
              <w:textAlignment w:val="cente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w:t>
            </w:r>
          </w:p>
        </w:tc>
        <w:tc>
          <w:tcPr>
            <w:tcW w:w="520" w:type="pct"/>
            <w:tcBorders>
              <w:top w:val="single" w:color="000000" w:sz="4" w:space="0"/>
              <w:left w:val="nil"/>
              <w:bottom w:val="single" w:color="000000" w:sz="4" w:space="0"/>
              <w:right w:val="single" w:color="000000" w:sz="4" w:space="0"/>
            </w:tcBorders>
            <w:shd w:val="clear" w:color="auto" w:fill="auto"/>
            <w:vAlign w:val="center"/>
          </w:tcPr>
          <w:p w14:paraId="1363531F">
            <w:pPr>
              <w:keepNext w:val="0"/>
              <w:keepLines w:val="0"/>
              <w:widowControl/>
              <w:suppressLineNumbers w:val="0"/>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2224D77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003A">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single" w:color="000000" w:sz="4" w:space="0"/>
              <w:left w:val="nil"/>
              <w:bottom w:val="single" w:color="000000" w:sz="4" w:space="0"/>
              <w:right w:val="single" w:color="000000" w:sz="4" w:space="0"/>
            </w:tcBorders>
            <w:shd w:val="clear" w:color="auto" w:fill="auto"/>
            <w:vAlign w:val="center"/>
          </w:tcPr>
          <w:p w14:paraId="7921BA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7B80706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402BA810">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522D">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A9E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0BF297A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监测监控平台运转率</w:t>
            </w:r>
          </w:p>
        </w:tc>
        <w:tc>
          <w:tcPr>
            <w:tcW w:w="542" w:type="pct"/>
            <w:tcBorders>
              <w:top w:val="nil"/>
              <w:left w:val="nil"/>
              <w:bottom w:val="single" w:color="000000" w:sz="4" w:space="0"/>
              <w:right w:val="single" w:color="000000" w:sz="4" w:space="0"/>
            </w:tcBorders>
            <w:shd w:val="clear" w:color="auto" w:fill="auto"/>
            <w:vAlign w:val="center"/>
          </w:tcPr>
          <w:p w14:paraId="409D16DA">
            <w:pPr>
              <w:keepNext w:val="0"/>
              <w:keepLines w:val="0"/>
              <w:widowControl/>
              <w:suppressLineNumbers w:val="0"/>
              <w:jc w:val="center"/>
              <w:textAlignment w:val="cente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w:t>
            </w:r>
          </w:p>
        </w:tc>
        <w:tc>
          <w:tcPr>
            <w:tcW w:w="520" w:type="pct"/>
            <w:tcBorders>
              <w:top w:val="nil"/>
              <w:left w:val="nil"/>
              <w:bottom w:val="single" w:color="000000" w:sz="4" w:space="0"/>
              <w:right w:val="single" w:color="000000" w:sz="4" w:space="0"/>
            </w:tcBorders>
            <w:shd w:val="clear" w:color="auto" w:fill="auto"/>
            <w:vAlign w:val="center"/>
          </w:tcPr>
          <w:p w14:paraId="1E3C5C07">
            <w:pPr>
              <w:keepNext w:val="0"/>
              <w:keepLines w:val="0"/>
              <w:widowControl/>
              <w:suppressLineNumbers w:val="0"/>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op w:val="nil"/>
              <w:left w:val="nil"/>
              <w:bottom w:val="single" w:color="000000" w:sz="4" w:space="0"/>
              <w:right w:val="single" w:color="000000" w:sz="4" w:space="0"/>
            </w:tcBorders>
            <w:shd w:val="clear" w:color="auto" w:fill="auto"/>
            <w:vAlign w:val="center"/>
          </w:tcPr>
          <w:p w14:paraId="7F075F2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29056F1C">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2CBDFE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041E06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472FA72">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3E7A">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C2A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4695FC6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监测监控平台运转时间</w:t>
            </w:r>
          </w:p>
        </w:tc>
        <w:tc>
          <w:tcPr>
            <w:tcW w:w="542" w:type="pct"/>
            <w:tcBorders>
              <w:top w:val="nil"/>
              <w:left w:val="nil"/>
              <w:bottom w:val="single" w:color="000000" w:sz="4" w:space="0"/>
              <w:right w:val="single" w:color="000000" w:sz="4" w:space="0"/>
            </w:tcBorders>
            <w:shd w:val="clear" w:color="auto" w:fill="auto"/>
            <w:vAlign w:val="center"/>
          </w:tcPr>
          <w:p w14:paraId="2D77363A">
            <w:pPr>
              <w:keepNext w:val="0"/>
              <w:keepLines w:val="0"/>
              <w:widowControl/>
              <w:suppressLineNumbers w:val="0"/>
              <w:jc w:val="center"/>
              <w:textAlignment w:val="cente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w:t>
            </w:r>
          </w:p>
        </w:tc>
        <w:tc>
          <w:tcPr>
            <w:tcW w:w="520" w:type="pct"/>
            <w:tcBorders>
              <w:top w:val="nil"/>
              <w:left w:val="nil"/>
              <w:bottom w:val="single" w:color="000000" w:sz="4" w:space="0"/>
              <w:right w:val="single" w:color="000000" w:sz="4" w:space="0"/>
            </w:tcBorders>
            <w:shd w:val="clear" w:color="auto" w:fill="auto"/>
            <w:vAlign w:val="center"/>
          </w:tcPr>
          <w:p w14:paraId="60A17BB0">
            <w:pPr>
              <w:keepNext w:val="0"/>
              <w:keepLines w:val="0"/>
              <w:widowControl/>
              <w:suppressLineNumbers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512" w:type="pct"/>
            <w:tcBorders>
              <w:top w:val="nil"/>
              <w:left w:val="nil"/>
              <w:bottom w:val="single" w:color="000000" w:sz="4" w:space="0"/>
              <w:right w:val="single" w:color="000000" w:sz="4" w:space="0"/>
            </w:tcBorders>
            <w:shd w:val="clear" w:color="auto" w:fill="auto"/>
            <w:vAlign w:val="center"/>
          </w:tcPr>
          <w:p w14:paraId="12DD951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年</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332BE990">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402584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773871F">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5BAE31C">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4BC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2B5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385D8C3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有效提升煤矿安全监管能力</w:t>
            </w:r>
          </w:p>
        </w:tc>
        <w:tc>
          <w:tcPr>
            <w:tcW w:w="542" w:type="pct"/>
            <w:tcBorders>
              <w:top w:val="nil"/>
              <w:left w:val="nil"/>
              <w:bottom w:val="single" w:color="000000" w:sz="4" w:space="0"/>
              <w:right w:val="single" w:color="000000" w:sz="4" w:space="0"/>
            </w:tcBorders>
            <w:shd w:val="clear" w:color="auto" w:fill="auto"/>
            <w:vAlign w:val="center"/>
          </w:tcPr>
          <w:p w14:paraId="71C84C2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520" w:type="pct"/>
            <w:tcBorders>
              <w:top w:val="nil"/>
              <w:left w:val="nil"/>
              <w:bottom w:val="single" w:color="000000" w:sz="4" w:space="0"/>
              <w:right w:val="single" w:color="000000" w:sz="4" w:space="0"/>
            </w:tcBorders>
            <w:shd w:val="clear" w:color="auto" w:fill="auto"/>
            <w:vAlign w:val="center"/>
          </w:tcPr>
          <w:p w14:paraId="4E38737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color w:val="000000"/>
                <w:sz w:val="18"/>
                <w:szCs w:val="18"/>
                <w:lang w:val="zh-CN"/>
              </w:rPr>
              <w:t>明显有效</w:t>
            </w:r>
          </w:p>
        </w:tc>
        <w:tc>
          <w:tcPr>
            <w:tcW w:w="512" w:type="pct"/>
            <w:tcBorders>
              <w:top w:val="nil"/>
              <w:left w:val="nil"/>
              <w:bottom w:val="single" w:color="000000" w:sz="4" w:space="0"/>
              <w:right w:val="single" w:color="000000" w:sz="4" w:space="0"/>
            </w:tcBorders>
            <w:shd w:val="clear" w:color="auto" w:fill="auto"/>
            <w:vAlign w:val="center"/>
          </w:tcPr>
          <w:p w14:paraId="6FD2F0F7">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452" w:type="pct"/>
            <w:tcBorders>
              <w:top w:val="nil"/>
              <w:left w:val="single" w:color="000000" w:sz="4" w:space="0"/>
              <w:bottom w:val="single" w:color="000000" w:sz="4" w:space="0"/>
              <w:right w:val="single" w:color="000000" w:sz="4" w:space="0"/>
            </w:tcBorders>
            <w:shd w:val="clear" w:color="auto" w:fill="auto"/>
            <w:vAlign w:val="center"/>
          </w:tcPr>
          <w:p w14:paraId="5A233A0A">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1705FA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明显有效</w:t>
            </w:r>
          </w:p>
        </w:tc>
      </w:tr>
      <w:tr w14:paraId="37152E0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C29E79E">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right w:val="single" w:color="000000" w:sz="4" w:space="0"/>
            </w:tcBorders>
            <w:shd w:val="clear" w:color="auto" w:fill="auto"/>
            <w:vAlign w:val="center"/>
          </w:tcPr>
          <w:p w14:paraId="1200904C">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1B36689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03" w:type="pct"/>
            <w:tcBorders>
              <w:top w:val="single" w:color="000000" w:sz="4" w:space="0"/>
              <w:left w:val="single" w:color="000000" w:sz="4" w:space="0"/>
              <w:right w:val="single" w:color="000000" w:sz="4" w:space="0"/>
            </w:tcBorders>
            <w:shd w:val="clear" w:color="auto" w:fill="auto"/>
            <w:vAlign w:val="center"/>
          </w:tcPr>
          <w:p w14:paraId="6A168F6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0251644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上级部门</w:t>
            </w:r>
            <w:r>
              <w:rPr>
                <w:rFonts w:ascii="宋体" w:hAnsi="宋体" w:eastAsia="宋体" w:cs="宋体"/>
                <w:i w:val="0"/>
                <w:iCs w:val="0"/>
                <w:color w:val="000000"/>
                <w:kern w:val="0"/>
                <w:sz w:val="18"/>
                <w:szCs w:val="18"/>
                <w:u w:val="none"/>
                <w:lang w:val="en-US" w:eastAsia="zh-CN" w:bidi="ar"/>
              </w:rPr>
              <w:t>满意度</w:t>
            </w:r>
          </w:p>
        </w:tc>
        <w:tc>
          <w:tcPr>
            <w:tcW w:w="542" w:type="pct"/>
            <w:tcBorders>
              <w:top w:val="nil"/>
              <w:left w:val="nil"/>
              <w:bottom w:val="single" w:color="000000" w:sz="4" w:space="0"/>
              <w:right w:val="single" w:color="000000" w:sz="4" w:space="0"/>
            </w:tcBorders>
            <w:shd w:val="clear" w:color="auto" w:fill="auto"/>
            <w:vAlign w:val="center"/>
          </w:tcPr>
          <w:p w14:paraId="550389C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520" w:type="pct"/>
            <w:tcBorders>
              <w:top w:val="nil"/>
              <w:left w:val="nil"/>
              <w:bottom w:val="single" w:color="000000" w:sz="4" w:space="0"/>
              <w:right w:val="single" w:color="000000" w:sz="4" w:space="0"/>
            </w:tcBorders>
            <w:shd w:val="clear" w:color="auto" w:fill="auto"/>
            <w:vAlign w:val="center"/>
          </w:tcPr>
          <w:p w14:paraId="2BDEFFA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512" w:type="pct"/>
            <w:tcBorders>
              <w:top w:val="nil"/>
              <w:left w:val="nil"/>
              <w:bottom w:val="single" w:color="000000" w:sz="4" w:space="0"/>
              <w:right w:val="single" w:color="000000" w:sz="4" w:space="0"/>
            </w:tcBorders>
            <w:shd w:val="clear" w:color="auto" w:fill="auto"/>
            <w:vAlign w:val="center"/>
          </w:tcPr>
          <w:p w14:paraId="454DC06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05A285F0">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292C5F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r>
      <w:tr w14:paraId="03A7923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D203CA6">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DA5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D8F5">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D3B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成本控制</w:t>
            </w:r>
            <w:r>
              <w:rPr>
                <w:rFonts w:hint="eastAsia" w:ascii="宋体" w:hAnsi="宋体" w:eastAsia="宋体" w:cs="宋体"/>
                <w:i w:val="0"/>
                <w:iCs w:val="0"/>
                <w:color w:val="000000"/>
                <w:kern w:val="0"/>
                <w:sz w:val="18"/>
                <w:szCs w:val="18"/>
                <w:u w:val="none"/>
                <w:lang w:val="en-US" w:eastAsia="zh-CN" w:bidi="ar"/>
              </w:rPr>
              <w:t>在一定范围内</w:t>
            </w:r>
          </w:p>
        </w:tc>
        <w:tc>
          <w:tcPr>
            <w:tcW w:w="542" w:type="pct"/>
            <w:tcBorders>
              <w:top w:val="nil"/>
              <w:left w:val="nil"/>
              <w:bottom w:val="single" w:color="000000" w:sz="4" w:space="0"/>
              <w:right w:val="single" w:color="000000" w:sz="4" w:space="0"/>
            </w:tcBorders>
            <w:shd w:val="clear" w:color="auto" w:fill="auto"/>
            <w:vAlign w:val="center"/>
          </w:tcPr>
          <w:p w14:paraId="739670E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20" w:type="pct"/>
            <w:tcBorders>
              <w:top w:val="nil"/>
              <w:left w:val="nil"/>
              <w:bottom w:val="single" w:color="000000" w:sz="4" w:space="0"/>
              <w:right w:val="single" w:color="000000" w:sz="4" w:space="0"/>
            </w:tcBorders>
            <w:shd w:val="clear" w:color="auto" w:fill="auto"/>
            <w:vAlign w:val="center"/>
          </w:tcPr>
          <w:p w14:paraId="50878416">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w:t>
            </w:r>
          </w:p>
        </w:tc>
        <w:tc>
          <w:tcPr>
            <w:tcW w:w="512" w:type="pct"/>
            <w:tcBorders>
              <w:top w:val="nil"/>
              <w:left w:val="nil"/>
              <w:bottom w:val="single" w:color="000000" w:sz="4" w:space="0"/>
              <w:right w:val="single" w:color="000000" w:sz="4" w:space="0"/>
            </w:tcBorders>
            <w:shd w:val="clear" w:color="auto" w:fill="auto"/>
            <w:vAlign w:val="center"/>
          </w:tcPr>
          <w:p w14:paraId="4B77E7D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79F3810D">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4CF1B5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w:t>
            </w:r>
          </w:p>
        </w:tc>
      </w:tr>
    </w:tbl>
    <w:p w14:paraId="515FB10A">
      <w:pPr>
        <w:keepNext w:val="0"/>
        <w:keepLines w:val="0"/>
        <w:pageBreakBefore w:val="0"/>
        <w:widowControl w:val="0"/>
        <w:kinsoku/>
        <w:wordWrap/>
        <w:overflowPunct/>
        <w:topLinePunct w:val="0"/>
        <w:autoSpaceDE/>
        <w:autoSpaceDN/>
        <w:bidi w:val="0"/>
        <w:adjustRightInd/>
        <w:snapToGrid/>
        <w:spacing w:line="578" w:lineRule="atLeast"/>
        <w:ind w:right="-111" w:rightChars="-53"/>
        <w:textAlignment w:val="auto"/>
        <w:rPr>
          <w:rFonts w:hint="default" w:hAnsi="宋体" w:cs="宋体"/>
          <w:sz w:val="28"/>
          <w:szCs w:val="28"/>
          <w:lang w:val="en-US" w:eastAsia="zh-CN" w:bidi="ar"/>
        </w:rPr>
      </w:pPr>
    </w:p>
    <w:p w14:paraId="5CF489B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br w:type="page"/>
      </w:r>
      <w:r>
        <w:rPr>
          <w:rFonts w:hint="eastAsia" w:ascii="方正小标宋简体" w:hAnsi="方正小标宋简体" w:eastAsia="方正小标宋简体" w:cs="方正小标宋简体"/>
          <w:b w:val="0"/>
          <w:bCs/>
          <w:color w:val="auto"/>
          <w:sz w:val="44"/>
          <w:szCs w:val="44"/>
          <w:highlight w:val="none"/>
          <w:u w:val="none"/>
          <w:lang w:val="en-US" w:eastAsia="zh-CN"/>
        </w:rPr>
        <w:t>2024年煤炭资源整合经费项目绩效评价报告</w:t>
      </w:r>
    </w:p>
    <w:p w14:paraId="780074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5E5F1950">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043F6A70">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08DA8DF5">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进一步贯彻落实“双碳”国家发展战略，构建对煤炭企业及生产矿井可量化的碳绩效评价体系的现状，合理开发利用边角资源煤炭，提高资源利用率，有效解决资源整合历史遗留问题，防止边角煤炭资源闲置、浪费，避免盗采、超层越界产生的矛盾纠纷和安全隐患。渠县安全生产事务中心申报2024年煤炭资源整合经费7.02万元用于完成全县煤炭资源整合。</w:t>
      </w:r>
    </w:p>
    <w:p w14:paraId="13CC250A">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45D6F4FF">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通过专项资金的支持，以现有合法煤矿为基础，对两座以上煤矿的井田合并和对已关闭煤矿的资源或储量及其它零星边角的储量合并，实现统一规划，提升矿井生产、技术、安全保障等综合能力；并对布局不合理和经整改仍不具备安全生产条件的煤矿实施关闭。</w:t>
      </w:r>
    </w:p>
    <w:p w14:paraId="5E6EE9AE">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0D6F0E34">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年煤炭资源整合经费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7.02</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渠财预〔</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〕5号文下达</w:t>
      </w:r>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7.02</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项目专项资金全部用于完成全县煤炭资源整合。</w:t>
      </w:r>
    </w:p>
    <w:p w14:paraId="6CEAA452">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26E84E3F">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根据相关文件要求，对指标设置从职责分工、管理等具体执行层面考量，本次共设置一级指标4个、二级指标6个，具体煤炭资源整合调查评估煤矿数量、准确率、规定时间完成率、成本控制等6个指标衡量。</w:t>
      </w:r>
    </w:p>
    <w:p w14:paraId="599CDAD5">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7A829E8E">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4AA58EAA">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75BD22F6">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013ECC0">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0A813C33">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34C3157B">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1EB5F60E">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2FA9AA20">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260441F3">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0D17292A">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1D54F910">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549F7572">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0A145986">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4AA8A443">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p>
    <w:p w14:paraId="0611F977">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7AAF982C">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0F90C910">
      <w:pPr>
        <w:keepNext w:val="0"/>
        <w:keepLines w:val="0"/>
        <w:pageBreakBefore w:val="0"/>
        <w:kinsoku/>
        <w:overflowPunct/>
        <w:topLinePunct w:val="0"/>
        <w:autoSpaceDE/>
        <w:autoSpaceDN/>
        <w:bidi w:val="0"/>
        <w:spacing w:line="564"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8B66E47">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3D9E9530">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0093D42F">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64525FBE">
      <w:pPr>
        <w:keepNext w:val="0"/>
        <w:keepLines w:val="0"/>
        <w:pageBreakBefore w:val="0"/>
        <w:kinsoku/>
        <w:overflowPunct/>
        <w:topLinePunct w:val="0"/>
        <w:autoSpaceDE/>
        <w:autoSpaceDN/>
        <w:bidi w:val="0"/>
        <w:spacing w:line="564"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4E861546">
      <w:pPr>
        <w:keepNext w:val="0"/>
        <w:keepLines w:val="0"/>
        <w:pageBreakBefore w:val="0"/>
        <w:kinsoku/>
        <w:overflowPunct/>
        <w:topLinePunct w:val="0"/>
        <w:autoSpaceDE/>
        <w:autoSpaceDN/>
        <w:bidi w:val="0"/>
        <w:spacing w:line="564"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416D95E6">
      <w:pPr>
        <w:keepNext w:val="0"/>
        <w:keepLines w:val="0"/>
        <w:pageBreakBefore w:val="0"/>
        <w:kinsoku/>
        <w:overflowPunct/>
        <w:topLinePunct w:val="0"/>
        <w:autoSpaceDE/>
        <w:autoSpaceDN/>
        <w:bidi w:val="0"/>
        <w:spacing w:line="564"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2024年煤炭资源整合经费项目，及时足额支付全县煤炭资源整合费用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1F9AD375">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12C64E2D">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（1）制度办法（2分）。本单位未建立专项资金的管理办法，项目资金属于以前年度应返还财政资金，按照渠财预〔2024〕5号文件要求，作为单位的日常公用经费使用。该项指标得0分。</w:t>
      </w:r>
    </w:p>
    <w:p w14:paraId="3EF4FFDC">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0703EFC1">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1B13CC3A">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688116D2">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已完成拨付指标金额7.02万元，财政拨付资金7.02万元，财政资金拨付率100%；单位实际支付金额7.02万元，单位实际到位金额7.02万元，单位资金使用率100%。该项指标得6分。</w:t>
      </w:r>
    </w:p>
    <w:p w14:paraId="66B0BD5A">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3FD4CAEA">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63D7CFD6">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）。项目完成预期目标，实施结果和绩效目标基本匹配，目标任务及时足额支付全县煤炭资源整合费用，完成全县煤炭资源整合。</w:t>
      </w:r>
      <w:r>
        <w:rPr>
          <w:rFonts w:hint="eastAsia" w:ascii="Times New Roman" w:hAnsi="Times New Roman" w:eastAsia="仿宋_GB2312" w:cs="Times New Roman"/>
          <w:color w:val="auto"/>
          <w:sz w:val="32"/>
          <w:szCs w:val="32"/>
          <w:lang w:val="en-US" w:eastAsia="zh-CN"/>
        </w:rPr>
        <w:t>该项指标得6分。</w:t>
      </w:r>
    </w:p>
    <w:p w14:paraId="7DB821E1">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3D108DE2">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446B7E4">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用途合规性（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1523DF7A">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42530208">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程序合规性（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793F09F3">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项目立项由业务部门提出申请，经过单位最高决策会议集体决策后，申报立项</w:t>
      </w:r>
      <w:r>
        <w:rPr>
          <w:rFonts w:hint="eastAsia" w:ascii="Times New Roman" w:hAnsi="Times New Roman" w:eastAsia="仿宋_GB2312" w:cs="Times New Roman"/>
          <w:color w:val="auto"/>
          <w:sz w:val="32"/>
          <w:szCs w:val="32"/>
          <w:lang w:val="zh-CN" w:eastAsia="zh-CN"/>
        </w:rPr>
        <w:t>项目。资金分配和实施结果精准，及时落实到具体内容。</w:t>
      </w:r>
      <w:r>
        <w:rPr>
          <w:rFonts w:hint="eastAsia" w:ascii="Times New Roman" w:hAnsi="Times New Roman" w:eastAsia="仿宋_GB2312" w:cs="Times New Roman"/>
          <w:color w:val="auto"/>
          <w:sz w:val="32"/>
          <w:szCs w:val="32"/>
          <w:lang w:val="en-US" w:eastAsia="zh-CN"/>
        </w:rPr>
        <w:t>该项指标得10分。</w:t>
      </w:r>
    </w:p>
    <w:p w14:paraId="5B38063A">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标准合规性（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37D82933">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项目资金</w:t>
      </w:r>
      <w:r>
        <w:rPr>
          <w:rFonts w:hint="eastAsia" w:ascii="Times New Roman" w:hAnsi="Times New Roman" w:eastAsia="仿宋_GB2312" w:cs="Times New Roman"/>
          <w:color w:val="auto"/>
          <w:sz w:val="32"/>
          <w:szCs w:val="32"/>
          <w:lang w:val="en-US" w:eastAsia="zh-CN"/>
        </w:rPr>
        <w:t>属于县财政局规定的财政预算使用项目，</w:t>
      </w:r>
      <w:r>
        <w:rPr>
          <w:rFonts w:hint="eastAsia" w:ascii="Times New Roman" w:hAnsi="Times New Roman" w:eastAsia="仿宋_GB2312" w:cs="Times New Roman"/>
          <w:color w:val="auto"/>
          <w:sz w:val="32"/>
          <w:szCs w:val="32"/>
          <w:lang w:val="zh-CN" w:eastAsia="zh-CN"/>
        </w:rPr>
        <w:t>不存在多发、漏发、重发、迟发等情况，全部符合支持标准人数。</w:t>
      </w:r>
      <w:r>
        <w:rPr>
          <w:rFonts w:hint="eastAsia" w:ascii="Times New Roman" w:hAnsi="Times New Roman" w:eastAsia="仿宋_GB2312" w:cs="Times New Roman"/>
          <w:color w:val="auto"/>
          <w:sz w:val="32"/>
          <w:szCs w:val="32"/>
          <w:lang w:val="en-US" w:eastAsia="zh-CN"/>
        </w:rPr>
        <w:t>该项指标得10分。</w:t>
      </w:r>
    </w:p>
    <w:p w14:paraId="77BFDF30">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7761EDF6">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00579700">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1270F621">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2.煤炭资源整合情况</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1034DC56">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通过实施该项目，完成对县内零星煤炭资源的整合，实现资源的整合，提高资源利用效率</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76879722">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3.可持续发展情况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39F88857">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加快对煤炭资源的整合，促进“双碳”策略的稳步发展，满足能源可持续发展的目标。</w:t>
      </w:r>
      <w:r>
        <w:rPr>
          <w:rFonts w:hint="eastAsia" w:ascii="仿宋_GB2312" w:hAnsi="仿宋_GB2312" w:eastAsia="仿宋_GB2312" w:cs="仿宋_GB2312"/>
          <w:color w:val="000000"/>
          <w:kern w:val="0"/>
          <w:sz w:val="32"/>
          <w:szCs w:val="32"/>
          <w:highlight w:val="none"/>
          <w:shd w:val="clear" w:color="auto" w:fill="FFFFFF"/>
          <w:lang w:val="en-US" w:eastAsia="zh-CN"/>
        </w:rPr>
        <w:t>该项指标得3分。</w:t>
      </w:r>
    </w:p>
    <w:p w14:paraId="769C92A6">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3CD17187">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本报告通过全面、客观的绩效评价,总结了项目实施的成效与经验，不断优化专项资金的管理和使用效率。针对本次专项预算项目绩效自评，我单位自评结果为95分。</w:t>
      </w:r>
    </w:p>
    <w:p w14:paraId="6298DC79">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6436D289">
      <w:pPr>
        <w:keepNext w:val="0"/>
        <w:keepLines w:val="0"/>
        <w:pageBreakBefore w:val="0"/>
        <w:kinsoku/>
        <w:overflowPunct/>
        <w:topLinePunct w:val="0"/>
        <w:autoSpaceDE/>
        <w:autoSpaceDN/>
        <w:bidi w:val="0"/>
        <w:spacing w:line="56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预算执行过程中存在绩效指标设置不够明确；未建立健全项目管理制度。</w:t>
      </w:r>
    </w:p>
    <w:p w14:paraId="4B15A642">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4B5C2EE">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1.全面提高对绩效评价的认识，加强对项目的全过程、全方位管理。健全培训机制，做好人员培训。</w:t>
      </w:r>
    </w:p>
    <w:p w14:paraId="0061AFF4">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2.深入推进预算绩效管理，建立科学合理的预算绩效管理体系。</w:t>
      </w:r>
    </w:p>
    <w:p w14:paraId="0B9EFF42">
      <w:pPr>
        <w:spacing w:line="540" w:lineRule="exact"/>
        <w:ind w:firstLine="640"/>
        <w:jc w:val="center"/>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3.建立健全项目管理制度。在未来的工作中，对项目做好事前评估，优化项目绩效目标，更科学地细化、量化绩效指标。有计划、有步骤、全面有效地实施专项资金项目预算</w:t>
      </w:r>
    </w:p>
    <w:p w14:paraId="7C88ECD8">
      <w:pPr>
        <w:spacing w:line="540" w:lineRule="exact"/>
        <w:jc w:val="both"/>
        <w:rPr>
          <w:rFonts w:ascii="方正小标宋简体" w:hAnsi="宋体" w:eastAsia="方正小标宋简体"/>
          <w:color w:val="000000"/>
          <w:kern w:val="0"/>
          <w:sz w:val="36"/>
          <w:szCs w:val="36"/>
          <w:lang w:val="zh-CN"/>
        </w:rPr>
      </w:pPr>
      <w:r>
        <w:rPr>
          <w:rFonts w:hint="eastAsia" w:ascii="仿宋_GB2312" w:hAnsi="仿宋_GB2312" w:eastAsia="仿宋_GB2312" w:cs="仿宋_GB2312"/>
          <w:b w:val="0"/>
          <w:bCs w:val="0"/>
          <w:color w:val="auto"/>
          <w:kern w:val="0"/>
          <w:position w:val="0"/>
          <w:sz w:val="32"/>
          <w:szCs w:val="32"/>
          <w:highlight w:val="none"/>
          <w:lang w:val="en-US" w:eastAsia="zh-CN" w:bidi="ar-SA"/>
        </w:rPr>
        <w:t>绩效管理。</w:t>
      </w:r>
      <w:r>
        <w:rPr>
          <w:rFonts w:ascii="方正小标宋简体" w:hAnsi="宋体" w:eastAsia="方正小标宋简体"/>
          <w:color w:val="000000"/>
          <w:kern w:val="0"/>
          <w:sz w:val="36"/>
          <w:szCs w:val="36"/>
          <w:lang w:val="zh-CN"/>
        </w:rPr>
        <w:br w:type="page"/>
      </w:r>
    </w:p>
    <w:tbl>
      <w:tblPr>
        <w:tblStyle w:val="2"/>
        <w:tblW w:w="5748" w:type="pct"/>
        <w:jc w:val="center"/>
        <w:tblLayout w:type="autofit"/>
        <w:tblCellMar>
          <w:top w:w="15" w:type="dxa"/>
          <w:left w:w="15" w:type="dxa"/>
          <w:bottom w:w="15" w:type="dxa"/>
          <w:right w:w="15" w:type="dxa"/>
        </w:tblCellMar>
      </w:tblPr>
      <w:tblGrid>
        <w:gridCol w:w="596"/>
        <w:gridCol w:w="1000"/>
        <w:gridCol w:w="1156"/>
        <w:gridCol w:w="1221"/>
        <w:gridCol w:w="1037"/>
        <w:gridCol w:w="995"/>
        <w:gridCol w:w="983"/>
        <w:gridCol w:w="864"/>
        <w:gridCol w:w="1731"/>
      </w:tblGrid>
      <w:tr w14:paraId="27AA78BC">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D437C7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1BA463FA">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31AC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AC8C4">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51172524T000011043675-2024年煤炭资源整合经费</w:t>
            </w:r>
          </w:p>
        </w:tc>
      </w:tr>
      <w:tr w14:paraId="07395D02">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EE4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314F3">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3E5B87EE">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EB36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C9FFD">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0051F26B">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C9F5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A3AAC">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DBA1F">
            <w:pPr>
              <w:spacing w:line="300" w:lineRule="exact"/>
              <w:jc w:val="left"/>
              <w:rPr>
                <w:rFonts w:ascii="宋体" w:hAnsi="宋体" w:eastAsia="宋体" w:cs="宋体"/>
                <w:color w:val="000000"/>
                <w:sz w:val="24"/>
                <w:szCs w:val="24"/>
              </w:rPr>
            </w:pPr>
          </w:p>
        </w:tc>
      </w:tr>
      <w:tr w14:paraId="23ED732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EAE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DA31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155FB">
            <w:pPr>
              <w:spacing w:line="300" w:lineRule="exact"/>
              <w:jc w:val="left"/>
              <w:rPr>
                <w:rFonts w:ascii="宋体" w:hAnsi="宋体" w:eastAsia="宋体" w:cs="宋体"/>
                <w:color w:val="000000"/>
                <w:sz w:val="24"/>
                <w:szCs w:val="24"/>
              </w:rPr>
            </w:pPr>
          </w:p>
        </w:tc>
      </w:tr>
      <w:tr w14:paraId="6897542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7108">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EDF7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C0DF">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4296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11F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02B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5793ADF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676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A553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31562">
            <w:pPr>
              <w:spacing w:line="300" w:lineRule="exact"/>
              <w:jc w:val="left"/>
              <w:rPr>
                <w:rFonts w:ascii="宋体" w:hAnsi="宋体" w:eastAsia="宋体" w:cs="宋体"/>
                <w:color w:val="000000"/>
                <w:sz w:val="24"/>
                <w:szCs w:val="24"/>
              </w:rPr>
            </w:pPr>
          </w:p>
        </w:tc>
      </w:tr>
      <w:tr w14:paraId="49A702E0">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4B6D">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16A2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C2BD9">
            <w:pPr>
              <w:spacing w:line="300" w:lineRule="exact"/>
              <w:jc w:val="left"/>
              <w:rPr>
                <w:rFonts w:ascii="宋体" w:hAnsi="宋体" w:eastAsia="宋体" w:cs="宋体"/>
                <w:color w:val="000000"/>
                <w:sz w:val="24"/>
                <w:szCs w:val="24"/>
              </w:rPr>
            </w:pPr>
          </w:p>
        </w:tc>
      </w:tr>
      <w:tr w14:paraId="01D00AA7">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C77C">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75D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4FE5F">
            <w:pPr>
              <w:spacing w:line="300" w:lineRule="exact"/>
              <w:jc w:val="left"/>
              <w:rPr>
                <w:rFonts w:ascii="宋体" w:hAnsi="宋体" w:eastAsia="宋体" w:cs="宋体"/>
                <w:color w:val="000000"/>
                <w:sz w:val="24"/>
                <w:szCs w:val="24"/>
              </w:rPr>
            </w:pPr>
          </w:p>
        </w:tc>
      </w:tr>
      <w:tr w14:paraId="7639862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302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261F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0A76C">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30ABF4D9">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1185C">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47C4247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5FCF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5EA6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7.02</w:t>
            </w:r>
          </w:p>
        </w:tc>
      </w:tr>
      <w:tr w14:paraId="5E54462D">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A700">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BA3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373A3">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7.02</w:t>
            </w:r>
          </w:p>
        </w:tc>
      </w:tr>
      <w:tr w14:paraId="0CB9CCE4">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289C">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A9A0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01A04">
            <w:pPr>
              <w:spacing w:line="300" w:lineRule="exact"/>
              <w:jc w:val="right"/>
              <w:rPr>
                <w:rFonts w:ascii="宋体" w:hAnsi="宋体" w:eastAsia="宋体" w:cs="宋体"/>
                <w:color w:val="000000"/>
                <w:sz w:val="24"/>
                <w:szCs w:val="24"/>
              </w:rPr>
            </w:pPr>
          </w:p>
        </w:tc>
      </w:tr>
      <w:tr w14:paraId="4C629D0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5621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84DFD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0262FF3C">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A60D">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26D4F1">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对全县煤矿进行煤炭资源整合，优化煤炭产业结构，淘汰落后产能，释放先进产能。</w:t>
            </w:r>
          </w:p>
        </w:tc>
      </w:tr>
      <w:tr w14:paraId="6EB51CFD">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2C99106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891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A95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227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EA0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A9C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806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A0E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ECE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5DFC9BB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B2DF894">
            <w:pPr>
              <w:spacing w:line="300" w:lineRule="exact"/>
              <w:jc w:val="center"/>
              <w:rPr>
                <w:rFonts w:ascii="宋体" w:hAnsi="宋体" w:eastAsia="宋体" w:cs="宋体"/>
                <w:color w:val="000000"/>
                <w:sz w:val="24"/>
                <w:szCs w:val="24"/>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65DF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5BA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FC3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煤炭资源整合调查评估煤矿数量</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7D97CA9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05BF7F2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7</w:t>
            </w:r>
          </w:p>
        </w:tc>
        <w:tc>
          <w:tcPr>
            <w:tcW w:w="513" w:type="pct"/>
            <w:tcBorders>
              <w:top w:val="single" w:color="000000" w:sz="4" w:space="0"/>
              <w:left w:val="nil"/>
              <w:bottom w:val="single" w:color="000000" w:sz="4" w:space="0"/>
              <w:right w:val="single" w:color="000000" w:sz="4" w:space="0"/>
            </w:tcBorders>
            <w:shd w:val="clear" w:color="auto" w:fill="auto"/>
            <w:vAlign w:val="center"/>
          </w:tcPr>
          <w:p w14:paraId="394FA56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FE0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900" w:type="pct"/>
            <w:tcBorders>
              <w:top w:val="single" w:color="000000" w:sz="4" w:space="0"/>
              <w:left w:val="nil"/>
              <w:bottom w:val="single" w:color="000000" w:sz="4" w:space="0"/>
              <w:right w:val="single" w:color="000000" w:sz="4" w:space="0"/>
            </w:tcBorders>
            <w:shd w:val="clear" w:color="auto" w:fill="auto"/>
            <w:vAlign w:val="center"/>
          </w:tcPr>
          <w:p w14:paraId="4C14FC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r>
      <w:tr w14:paraId="2DE6496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FDCC51B">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7436">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859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77B4462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煤炭资源整评估调查准确率</w:t>
            </w:r>
          </w:p>
        </w:tc>
        <w:tc>
          <w:tcPr>
            <w:tcW w:w="541" w:type="pct"/>
            <w:tcBorders>
              <w:top w:val="nil"/>
              <w:left w:val="nil"/>
              <w:bottom w:val="single" w:color="000000" w:sz="4" w:space="0"/>
              <w:right w:val="single" w:color="000000" w:sz="4" w:space="0"/>
            </w:tcBorders>
            <w:shd w:val="clear" w:color="auto" w:fill="auto"/>
            <w:vAlign w:val="center"/>
          </w:tcPr>
          <w:p w14:paraId="33BC0E0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34843FD8">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513" w:type="pct"/>
            <w:tcBorders>
              <w:top w:val="nil"/>
              <w:left w:val="nil"/>
              <w:bottom w:val="single" w:color="000000" w:sz="4" w:space="0"/>
              <w:right w:val="single" w:color="000000" w:sz="4" w:space="0"/>
            </w:tcBorders>
            <w:shd w:val="clear" w:color="auto" w:fill="auto"/>
            <w:vAlign w:val="center"/>
          </w:tcPr>
          <w:p w14:paraId="7891591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2B699FB">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2676F5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6B22A5D7">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95A58E8">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E0CD">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D7D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63D76A2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规定时间完成率</w:t>
            </w:r>
          </w:p>
        </w:tc>
        <w:tc>
          <w:tcPr>
            <w:tcW w:w="541" w:type="pct"/>
            <w:tcBorders>
              <w:top w:val="nil"/>
              <w:left w:val="nil"/>
              <w:bottom w:val="single" w:color="000000" w:sz="4" w:space="0"/>
              <w:right w:val="single" w:color="000000" w:sz="4" w:space="0"/>
            </w:tcBorders>
            <w:shd w:val="clear" w:color="auto" w:fill="auto"/>
            <w:vAlign w:val="center"/>
          </w:tcPr>
          <w:p w14:paraId="4DD6D4C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02D96DD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513" w:type="pct"/>
            <w:tcBorders>
              <w:top w:val="nil"/>
              <w:left w:val="nil"/>
              <w:bottom w:val="single" w:color="000000" w:sz="4" w:space="0"/>
              <w:right w:val="single" w:color="000000" w:sz="4" w:space="0"/>
            </w:tcBorders>
            <w:shd w:val="clear" w:color="auto" w:fill="auto"/>
            <w:vAlign w:val="center"/>
          </w:tcPr>
          <w:p w14:paraId="1601F6D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010BC6F">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1AB2E3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9F25B6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1891CAB">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39B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39C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3110474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有效提升煤炭资源整合利用，淘汰落后产能，释放先进产能</w:t>
            </w:r>
          </w:p>
        </w:tc>
        <w:tc>
          <w:tcPr>
            <w:tcW w:w="541" w:type="pct"/>
            <w:tcBorders>
              <w:top w:val="nil"/>
              <w:left w:val="nil"/>
              <w:bottom w:val="single" w:color="000000" w:sz="4" w:space="0"/>
              <w:right w:val="single" w:color="000000" w:sz="4" w:space="0"/>
            </w:tcBorders>
            <w:shd w:val="clear" w:color="auto" w:fill="auto"/>
            <w:vAlign w:val="center"/>
          </w:tcPr>
          <w:p w14:paraId="02977CF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6185566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明显有效</w:t>
            </w:r>
          </w:p>
        </w:tc>
        <w:tc>
          <w:tcPr>
            <w:tcW w:w="513" w:type="pct"/>
            <w:tcBorders>
              <w:top w:val="nil"/>
              <w:left w:val="nil"/>
              <w:bottom w:val="single" w:color="000000" w:sz="4" w:space="0"/>
              <w:right w:val="single" w:color="000000" w:sz="4" w:space="0"/>
            </w:tcBorders>
            <w:shd w:val="clear" w:color="auto" w:fill="auto"/>
            <w:vAlign w:val="center"/>
          </w:tcPr>
          <w:p w14:paraId="1DB572AE">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FD997A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900" w:type="pct"/>
            <w:tcBorders>
              <w:top w:val="nil"/>
              <w:left w:val="nil"/>
              <w:bottom w:val="single" w:color="000000" w:sz="4" w:space="0"/>
              <w:right w:val="single" w:color="000000" w:sz="4" w:space="0"/>
            </w:tcBorders>
            <w:shd w:val="clear" w:color="auto" w:fill="auto"/>
            <w:vAlign w:val="center"/>
          </w:tcPr>
          <w:p w14:paraId="0AB127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明显有效</w:t>
            </w:r>
          </w:p>
        </w:tc>
      </w:tr>
      <w:tr w14:paraId="11D1BFF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C72F7E0">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right w:val="single" w:color="000000" w:sz="4" w:space="0"/>
            </w:tcBorders>
            <w:shd w:val="clear" w:color="auto" w:fill="auto"/>
            <w:vAlign w:val="center"/>
          </w:tcPr>
          <w:p w14:paraId="08263CF2">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7325697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03" w:type="pct"/>
            <w:tcBorders>
              <w:top w:val="single" w:color="000000" w:sz="4" w:space="0"/>
              <w:left w:val="single" w:color="000000" w:sz="4" w:space="0"/>
              <w:right w:val="single" w:color="000000" w:sz="4" w:space="0"/>
            </w:tcBorders>
            <w:shd w:val="clear" w:color="auto" w:fill="auto"/>
            <w:vAlign w:val="center"/>
          </w:tcPr>
          <w:p w14:paraId="0D8139B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11BE2A6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上级部门满意度</w:t>
            </w:r>
          </w:p>
        </w:tc>
        <w:tc>
          <w:tcPr>
            <w:tcW w:w="541" w:type="pct"/>
            <w:tcBorders>
              <w:top w:val="nil"/>
              <w:left w:val="nil"/>
              <w:bottom w:val="single" w:color="000000" w:sz="4" w:space="0"/>
              <w:right w:val="single" w:color="000000" w:sz="4" w:space="0"/>
            </w:tcBorders>
            <w:shd w:val="clear" w:color="auto" w:fill="auto"/>
            <w:vAlign w:val="center"/>
          </w:tcPr>
          <w:p w14:paraId="24E7E06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00038A8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513" w:type="pct"/>
            <w:tcBorders>
              <w:top w:val="nil"/>
              <w:left w:val="nil"/>
              <w:bottom w:val="single" w:color="000000" w:sz="4" w:space="0"/>
              <w:right w:val="single" w:color="000000" w:sz="4" w:space="0"/>
            </w:tcBorders>
            <w:shd w:val="clear" w:color="auto" w:fill="auto"/>
            <w:vAlign w:val="center"/>
          </w:tcPr>
          <w:p w14:paraId="49B0889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C346C2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05AD1B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173415A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E49ABA2">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E34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094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1EA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541" w:type="pct"/>
            <w:tcBorders>
              <w:top w:val="nil"/>
              <w:left w:val="nil"/>
              <w:bottom w:val="single" w:color="000000" w:sz="4" w:space="0"/>
              <w:right w:val="single" w:color="000000" w:sz="4" w:space="0"/>
            </w:tcBorders>
            <w:shd w:val="clear" w:color="auto" w:fill="auto"/>
            <w:vAlign w:val="center"/>
          </w:tcPr>
          <w:p w14:paraId="5978473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2CAF478F">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02</w:t>
            </w:r>
          </w:p>
        </w:tc>
        <w:tc>
          <w:tcPr>
            <w:tcW w:w="513" w:type="pct"/>
            <w:tcBorders>
              <w:top w:val="nil"/>
              <w:left w:val="nil"/>
              <w:bottom w:val="single" w:color="000000" w:sz="4" w:space="0"/>
              <w:right w:val="single" w:color="000000" w:sz="4" w:space="0"/>
            </w:tcBorders>
            <w:shd w:val="clear" w:color="auto" w:fill="auto"/>
            <w:vAlign w:val="center"/>
          </w:tcPr>
          <w:p w14:paraId="3F37231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A41C3BE">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900" w:type="pct"/>
            <w:tcBorders>
              <w:top w:val="nil"/>
              <w:left w:val="nil"/>
              <w:bottom w:val="single" w:color="000000" w:sz="4" w:space="0"/>
              <w:right w:val="single" w:color="000000" w:sz="4" w:space="0"/>
            </w:tcBorders>
            <w:shd w:val="clear" w:color="auto" w:fill="auto"/>
            <w:vAlign w:val="center"/>
          </w:tcPr>
          <w:p w14:paraId="622FA6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02</w:t>
            </w:r>
          </w:p>
        </w:tc>
      </w:tr>
    </w:tbl>
    <w:p w14:paraId="5E52409A">
      <w:pPr>
        <w:keepNext w:val="0"/>
        <w:keepLines w:val="0"/>
        <w:pageBreakBefore w:val="0"/>
        <w:widowControl w:val="0"/>
        <w:kinsoku/>
        <w:wordWrap/>
        <w:overflowPunct/>
        <w:topLinePunct w:val="0"/>
        <w:autoSpaceDE/>
        <w:autoSpaceDN/>
        <w:bidi w:val="0"/>
        <w:adjustRightInd/>
        <w:snapToGrid/>
        <w:spacing w:line="578" w:lineRule="atLeast"/>
        <w:ind w:right="-111" w:rightChars="-53"/>
        <w:textAlignment w:val="auto"/>
        <w:rPr>
          <w:rFonts w:hint="default" w:hAnsi="宋体" w:cs="宋体"/>
          <w:sz w:val="28"/>
          <w:szCs w:val="28"/>
          <w:lang w:val="en-US" w:eastAsia="zh-CN" w:bidi="ar"/>
        </w:rPr>
      </w:pPr>
    </w:p>
    <w:p w14:paraId="6264956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ascii="方正小标宋简体" w:hAnsi="宋体" w:eastAsia="方正小标宋简体"/>
          <w:color w:val="000000"/>
          <w:kern w:val="0"/>
          <w:sz w:val="36"/>
          <w:szCs w:val="36"/>
          <w:lang w:val="zh-CN"/>
        </w:rPr>
        <w:br w:type="page"/>
      </w:r>
      <w:r>
        <w:rPr>
          <w:rFonts w:hint="eastAsia" w:ascii="方正小标宋简体" w:hAnsi="方正小标宋简体" w:eastAsia="方正小标宋简体" w:cs="方正小标宋简体"/>
          <w:b w:val="0"/>
          <w:bCs/>
          <w:color w:val="auto"/>
          <w:sz w:val="44"/>
          <w:szCs w:val="44"/>
          <w:highlight w:val="none"/>
          <w:u w:val="none"/>
          <w:lang w:val="en-US" w:eastAsia="zh-CN"/>
        </w:rPr>
        <w:t>2024年专家经费项目绩效评价报告</w:t>
      </w:r>
    </w:p>
    <w:p w14:paraId="2CCBEC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6EB556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1F9A7DA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15A1B245">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贯彻落实《国家煤矿安全监察局关于印发煤矿复工复产验收管理办法的通知》（煤安监行管﹝2019﹞4号），加强和规范煤矿复工复产验收工作，坚决防范和遏制煤矿重特大事故。根据项目支出定额标准管理和预算管理的要求，为进一步规范和加强项目专家咨询活动的经费支出管理，提高资金使用效益</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渠县安全生产事务中心申报2024年专家经费13.6万元用于完成全县煤矿复工复产和安全监管工作，确保复工复产工作顺利进行。</w:t>
      </w:r>
    </w:p>
    <w:p w14:paraId="7177150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2223BC6B">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本项目旨在通过专项资金的支持，通过专家评审煤矿复工复产验收工作，根据停工停产状态和性质不同分类实施。督促相关部门按照分级属地监管原则，对复工复产煤矿实施分级验收。</w:t>
      </w:r>
    </w:p>
    <w:p w14:paraId="657BC4B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bCs/>
          <w:sz w:val="32"/>
          <w:szCs w:val="32"/>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6E2A2889">
      <w:pPr>
        <w:widowControl/>
        <w:adjustRightInd w:val="0"/>
        <w:snapToGrid w:val="0"/>
        <w:spacing w:line="578" w:lineRule="exact"/>
        <w:ind w:firstLine="640" w:firstLineChars="200"/>
        <w:contextualSpacing/>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年专家经费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13.6</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渠财预〔</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〕5号文下达</w:t>
      </w:r>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13.6</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项目专项资金全部用于及时足额支付全县煤矿复工复产和安全监管专家经费，完成全县煤矿复工复产和安全监管工作。</w:t>
      </w:r>
    </w:p>
    <w:p w14:paraId="2B920670">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48C6BCC3">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根据相关文件要求，对指标设置从职责分工、管理等具体执行层面考量，本次共设置一级指标4个、二级指标6个，具体煤矿复工复产和安全监管煤矿数量、专家到位率、按时完成率、成本控制等6个指标衡量。</w:t>
      </w:r>
    </w:p>
    <w:p w14:paraId="7DCA6BA6">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08E60BD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2A605B79">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5474C541">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25955583">
      <w:pPr>
        <w:numPr>
          <w:ilvl w:val="0"/>
          <w:numId w:val="0"/>
        </w:numPr>
        <w:ind w:firstLine="640" w:firstLineChars="200"/>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641675D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746B741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563D169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26CC911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77909D9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22AA6F6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1CABE1A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52BCABE3">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6C9CC30E">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712C93AE">
      <w:pPr>
        <w:numPr>
          <w:ilvl w:val="0"/>
          <w:numId w:val="0"/>
        </w:numPr>
        <w:ind w:firstLine="640" w:firstLineChars="200"/>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p>
    <w:p w14:paraId="63044B6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1EA46570">
      <w:pPr>
        <w:widowControl/>
        <w:numPr>
          <w:ilvl w:val="0"/>
          <w:numId w:val="0"/>
        </w:numPr>
        <w:adjustRightInd w:val="0"/>
        <w:snapToGrid w:val="0"/>
        <w:spacing w:line="578" w:lineRule="exact"/>
        <w:ind w:leftChars="200"/>
        <w:contextualSpacing/>
        <w:jc w:val="left"/>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375B010D">
      <w:pPr>
        <w:spacing w:line="578"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101801E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47B9B73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560C228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75E9CB47">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1C69C442">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07422FC0">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年专家经费项目，及时足额支付全县煤矿复工复产和安全监管专家经费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496A2CA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199DEB0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（1）制度办法（2分）。本单位未建立专项资金的管理办法，项目资金属于以前年度应返还财政资金，按照渠财预〔2024〕5号文件要求，作为单位的日常公用经费使用。该项指标得0分。</w:t>
      </w:r>
    </w:p>
    <w:p w14:paraId="64B179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34CF94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7E76184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1CA2012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已完成拨付指标金额13.6万元，财政拨付资金13.6万元，财政资金拨付率100%；单位实际支付金额13.6万元，单位实际到位金额13.6万元，单位资金使用率100%。该项指标得6分。</w:t>
      </w:r>
    </w:p>
    <w:p w14:paraId="14E8920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1B8D88C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0500AC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）。项目完成预期目标，实施结果和绩效目标基本匹配，目标任务及时足额支付全县煤矿复工复产和安全监管专家经费。</w:t>
      </w:r>
      <w:r>
        <w:rPr>
          <w:rFonts w:hint="eastAsia" w:ascii="Times New Roman" w:hAnsi="Times New Roman" w:eastAsia="仿宋_GB2312" w:cs="Times New Roman"/>
          <w:color w:val="auto"/>
          <w:sz w:val="32"/>
          <w:szCs w:val="32"/>
          <w:lang w:val="en-US" w:eastAsia="zh-CN"/>
        </w:rPr>
        <w:t>该项指标得6分。</w:t>
      </w:r>
    </w:p>
    <w:p w14:paraId="4E54D7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34944D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578B375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用途合规性（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2BC03AB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556F29D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程序合规性（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61A131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项目立项由业务部门提出申请，经过单位最高决策会议集体决策后，申报立项</w:t>
      </w:r>
      <w:r>
        <w:rPr>
          <w:rFonts w:hint="eastAsia" w:ascii="Times New Roman" w:hAnsi="Times New Roman" w:eastAsia="仿宋_GB2312" w:cs="Times New Roman"/>
          <w:color w:val="auto"/>
          <w:sz w:val="32"/>
          <w:szCs w:val="32"/>
          <w:lang w:val="zh-CN" w:eastAsia="zh-CN"/>
        </w:rPr>
        <w:t>项目。资金分配和实施结果精准，及时落实到具体内容。</w:t>
      </w:r>
      <w:r>
        <w:rPr>
          <w:rFonts w:hint="eastAsia" w:ascii="Times New Roman" w:hAnsi="Times New Roman" w:eastAsia="仿宋_GB2312" w:cs="Times New Roman"/>
          <w:color w:val="auto"/>
          <w:sz w:val="32"/>
          <w:szCs w:val="32"/>
          <w:lang w:val="en-US" w:eastAsia="zh-CN"/>
        </w:rPr>
        <w:t>该项指标得10分。</w:t>
      </w:r>
    </w:p>
    <w:p w14:paraId="114B3B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标准合规性（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17DE5F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项目资金</w:t>
      </w:r>
      <w:r>
        <w:rPr>
          <w:rFonts w:hint="eastAsia" w:ascii="Times New Roman" w:hAnsi="Times New Roman" w:eastAsia="仿宋_GB2312" w:cs="Times New Roman"/>
          <w:color w:val="auto"/>
          <w:sz w:val="32"/>
          <w:szCs w:val="32"/>
          <w:lang w:val="en-US" w:eastAsia="zh-CN"/>
        </w:rPr>
        <w:t>属于县财政局规定的财政预算使用项目，</w:t>
      </w:r>
      <w:r>
        <w:rPr>
          <w:rFonts w:hint="eastAsia" w:ascii="Times New Roman" w:hAnsi="Times New Roman" w:eastAsia="仿宋_GB2312" w:cs="Times New Roman"/>
          <w:color w:val="auto"/>
          <w:sz w:val="32"/>
          <w:szCs w:val="32"/>
          <w:lang w:val="zh-CN" w:eastAsia="zh-CN"/>
        </w:rPr>
        <w:t>不存在多发、漏发、重发、迟发等情况，全部符合支持标准人数。</w:t>
      </w:r>
      <w:r>
        <w:rPr>
          <w:rFonts w:hint="eastAsia" w:ascii="Times New Roman" w:hAnsi="Times New Roman" w:eastAsia="仿宋_GB2312" w:cs="Times New Roman"/>
          <w:color w:val="auto"/>
          <w:sz w:val="32"/>
          <w:szCs w:val="32"/>
          <w:lang w:val="en-US" w:eastAsia="zh-CN"/>
        </w:rPr>
        <w:t>该项指标得10分。</w:t>
      </w:r>
    </w:p>
    <w:p w14:paraId="3303C8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3BB48E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47E8C0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4D2BB6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煤矿复产复工开展情况</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002675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通过专家指导，完成全员安全培训考核、提升员工能力素质等措施，确保员工安全返岗；全面开展安全风险管控和隐患排查治理，确保复工复产安全有序</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5C3A423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3.能源利用情况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739D486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加快煤矿复工复产进度，提高能源利用效率，促进“双碳”策略的稳步发展。</w:t>
      </w:r>
      <w:r>
        <w:rPr>
          <w:rFonts w:hint="eastAsia" w:ascii="仿宋_GB2312" w:hAnsi="仿宋_GB2312" w:eastAsia="仿宋_GB2312" w:cs="仿宋_GB2312"/>
          <w:color w:val="000000"/>
          <w:kern w:val="0"/>
          <w:sz w:val="32"/>
          <w:szCs w:val="32"/>
          <w:highlight w:val="none"/>
          <w:shd w:val="clear" w:color="auto" w:fill="FFFFFF"/>
          <w:lang w:val="en-US" w:eastAsia="zh-CN"/>
        </w:rPr>
        <w:t>该项指标得4分。</w:t>
      </w:r>
    </w:p>
    <w:p w14:paraId="7CD29EAC">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5ED3B28F">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本报告通过全面、客观的绩效评价,总结了项目实施的成效与经验，不断优化专项资金的管理和使用效率。针对本次专项预算项目绩效自评，我单位自评结果为96分。</w:t>
      </w:r>
    </w:p>
    <w:p w14:paraId="6BC970D6">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04F60CB0">
      <w:pPr>
        <w:bidi w:val="0"/>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在绩效考核指标体系建立上，部分绩效目标较笼统，指标的量化性、细化性、覆盖面不够。在绩效评价过程与预算编制、执行相结合的工作机制和部门协调机制有待完善。</w:t>
      </w:r>
    </w:p>
    <w:p w14:paraId="3918E6B9">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0A05204">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eastAsia="仿宋_GB2312"/>
          <w:color w:val="000000"/>
          <w:kern w:val="0"/>
          <w:sz w:val="32"/>
          <w:szCs w:val="32"/>
          <w:shd w:val="clear" w:color="auto" w:fill="FFFFFF"/>
        </w:rPr>
      </w:pPr>
      <w:r>
        <w:rPr>
          <w:rFonts w:hint="eastAsia" w:ascii="仿宋_GB2312" w:hAnsi="仿宋_GB2312" w:eastAsia="仿宋_GB2312" w:cs="仿宋_GB2312"/>
          <w:b w:val="0"/>
          <w:bCs w:val="0"/>
          <w:color w:val="auto"/>
          <w:kern w:val="0"/>
          <w:position w:val="0"/>
          <w:sz w:val="32"/>
          <w:szCs w:val="32"/>
          <w:highlight w:val="none"/>
          <w:lang w:val="en-US" w:eastAsia="zh-CN" w:bidi="ar-SA"/>
        </w:rPr>
        <w:t>进一步完善预算绩效管理系统。实现从项目立项、绩效目标编制、绩效运行监控到绩效评价的全过程管理，切实推进绩效评价工作的规范开展，真正提升绩效管理能力，避免绩效工作流于纸面。</w:t>
      </w:r>
    </w:p>
    <w:p w14:paraId="2D8D9126">
      <w:pPr>
        <w:spacing w:line="578" w:lineRule="atLeast"/>
        <w:ind w:right="-111" w:rightChars="-53"/>
        <w:rPr>
          <w:rFonts w:hAnsi="宋体" w:eastAsia="仿宋_GB2312" w:cs="宋体"/>
          <w:sz w:val="28"/>
          <w:szCs w:val="28"/>
        </w:rPr>
      </w:pPr>
      <w:r>
        <w:br w:type="page"/>
      </w:r>
    </w:p>
    <w:tbl>
      <w:tblPr>
        <w:tblStyle w:val="2"/>
        <w:tblW w:w="5749" w:type="pct"/>
        <w:jc w:val="center"/>
        <w:tblLayout w:type="autofit"/>
        <w:tblCellMar>
          <w:top w:w="15" w:type="dxa"/>
          <w:left w:w="15" w:type="dxa"/>
          <w:bottom w:w="15" w:type="dxa"/>
          <w:right w:w="15" w:type="dxa"/>
        </w:tblCellMar>
      </w:tblPr>
      <w:tblGrid>
        <w:gridCol w:w="596"/>
        <w:gridCol w:w="1001"/>
        <w:gridCol w:w="1156"/>
        <w:gridCol w:w="1221"/>
        <w:gridCol w:w="1039"/>
        <w:gridCol w:w="997"/>
        <w:gridCol w:w="983"/>
        <w:gridCol w:w="866"/>
        <w:gridCol w:w="1726"/>
      </w:tblGrid>
      <w:tr w14:paraId="4D3FE4D6">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F24C70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24916506">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3A1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C1736">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51172524T000011043203-2024年专家经费</w:t>
            </w:r>
          </w:p>
        </w:tc>
      </w:tr>
      <w:tr w14:paraId="46E8B03B">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154F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DE893">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6B2EE2A1">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6B4B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DE663">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3D364DE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49B8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DF3C1">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797D5">
            <w:pPr>
              <w:spacing w:line="300" w:lineRule="exact"/>
              <w:jc w:val="left"/>
              <w:rPr>
                <w:rFonts w:ascii="宋体" w:hAnsi="宋体" w:eastAsia="宋体" w:cs="宋体"/>
                <w:color w:val="000000"/>
                <w:sz w:val="24"/>
                <w:szCs w:val="24"/>
              </w:rPr>
            </w:pPr>
          </w:p>
        </w:tc>
      </w:tr>
      <w:tr w14:paraId="2BFD5243">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8B89">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A121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7948E">
            <w:pPr>
              <w:spacing w:line="300" w:lineRule="exact"/>
              <w:jc w:val="left"/>
              <w:rPr>
                <w:rFonts w:ascii="宋体" w:hAnsi="宋体" w:eastAsia="宋体" w:cs="宋体"/>
                <w:color w:val="000000"/>
                <w:sz w:val="24"/>
                <w:szCs w:val="24"/>
              </w:rPr>
            </w:pPr>
          </w:p>
        </w:tc>
      </w:tr>
      <w:tr w14:paraId="2926F38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649C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51E0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FA32">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63685">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F0D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32EA">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4030384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EAFE">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F940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6846A">
            <w:pPr>
              <w:spacing w:line="300" w:lineRule="exact"/>
              <w:jc w:val="left"/>
              <w:rPr>
                <w:rFonts w:ascii="宋体" w:hAnsi="宋体" w:eastAsia="宋体" w:cs="宋体"/>
                <w:color w:val="000000"/>
                <w:sz w:val="24"/>
                <w:szCs w:val="24"/>
              </w:rPr>
            </w:pPr>
          </w:p>
        </w:tc>
      </w:tr>
      <w:tr w14:paraId="2CAAB09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292F">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127B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5F3E7">
            <w:pPr>
              <w:spacing w:line="300" w:lineRule="exact"/>
              <w:jc w:val="left"/>
              <w:rPr>
                <w:rFonts w:ascii="宋体" w:hAnsi="宋体" w:eastAsia="宋体" w:cs="宋体"/>
                <w:color w:val="000000"/>
                <w:sz w:val="24"/>
                <w:szCs w:val="24"/>
              </w:rPr>
            </w:pPr>
          </w:p>
        </w:tc>
      </w:tr>
      <w:tr w14:paraId="7374A53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B445">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FC6E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D8ABD">
            <w:pPr>
              <w:spacing w:line="300" w:lineRule="exact"/>
              <w:jc w:val="left"/>
              <w:rPr>
                <w:rFonts w:ascii="宋体" w:hAnsi="宋体" w:eastAsia="宋体" w:cs="宋体"/>
                <w:color w:val="000000"/>
                <w:sz w:val="24"/>
                <w:szCs w:val="24"/>
              </w:rPr>
            </w:pPr>
          </w:p>
        </w:tc>
      </w:tr>
      <w:tr w14:paraId="181C230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D96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BCF8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2A713">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57615438">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C87D">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08BBC07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BA3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87D6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13.6</w:t>
            </w:r>
          </w:p>
        </w:tc>
      </w:tr>
      <w:tr w14:paraId="5AD0A4F3">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FD85">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EFD1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1D88F">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13.6</w:t>
            </w:r>
          </w:p>
        </w:tc>
      </w:tr>
      <w:tr w14:paraId="0ADEAA42">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05CC">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656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FC62A">
            <w:pPr>
              <w:spacing w:line="300" w:lineRule="exact"/>
              <w:jc w:val="right"/>
              <w:rPr>
                <w:rFonts w:ascii="宋体" w:hAnsi="宋体" w:eastAsia="宋体" w:cs="宋体"/>
                <w:color w:val="000000"/>
                <w:sz w:val="24"/>
                <w:szCs w:val="24"/>
              </w:rPr>
            </w:pPr>
          </w:p>
        </w:tc>
      </w:tr>
      <w:tr w14:paraId="1F40021F">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4D43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A0FE2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35A9778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F600">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35210F">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完成煤矿复工复产隐患排查、验收和煤矿日常监管工作。</w:t>
            </w:r>
          </w:p>
        </w:tc>
      </w:tr>
      <w:tr w14:paraId="22BF0DBB">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416A18A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E10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4E7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19F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489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D40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30D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B2C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7A6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1C4FB1C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EA56768">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C47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42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F7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复工复产和日常监管煤矿数量</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6AF50F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nil"/>
              <w:bottom w:val="single" w:color="000000" w:sz="4" w:space="0"/>
              <w:right w:val="single" w:color="000000" w:sz="4" w:space="0"/>
            </w:tcBorders>
            <w:shd w:val="clear" w:color="auto" w:fill="auto"/>
            <w:vAlign w:val="center"/>
          </w:tcPr>
          <w:p w14:paraId="03FB5F5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5</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576D028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A1B">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nil"/>
              <w:bottom w:val="single" w:color="000000" w:sz="4" w:space="0"/>
              <w:right w:val="single" w:color="000000" w:sz="4" w:space="0"/>
            </w:tcBorders>
            <w:shd w:val="clear" w:color="auto" w:fill="auto"/>
            <w:vAlign w:val="center"/>
          </w:tcPr>
          <w:p w14:paraId="32412A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3360ADC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B71DCBC">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D396">
            <w:pPr>
              <w:spacing w:line="300" w:lineRule="exact"/>
              <w:jc w:val="center"/>
              <w:rPr>
                <w:rFonts w:ascii="宋体" w:hAnsi="宋体" w:eastAsia="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D2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2803D23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达到复工复产验收合格率和日常监管专家到位率</w:t>
            </w:r>
          </w:p>
        </w:tc>
        <w:tc>
          <w:tcPr>
            <w:tcW w:w="1108" w:type="dxa"/>
            <w:tcBorders>
              <w:top w:val="nil"/>
              <w:left w:val="nil"/>
              <w:bottom w:val="single" w:color="000000" w:sz="4" w:space="0"/>
              <w:right w:val="single" w:color="000000" w:sz="4" w:space="0"/>
            </w:tcBorders>
            <w:shd w:val="clear" w:color="auto" w:fill="auto"/>
            <w:vAlign w:val="center"/>
          </w:tcPr>
          <w:p w14:paraId="2649D82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626A04BB">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1047" w:type="dxa"/>
            <w:tcBorders>
              <w:top w:val="nil"/>
              <w:left w:val="nil"/>
              <w:bottom w:val="single" w:color="000000" w:sz="4" w:space="0"/>
              <w:right w:val="single" w:color="000000" w:sz="4" w:space="0"/>
            </w:tcBorders>
            <w:shd w:val="clear" w:color="auto" w:fill="auto"/>
            <w:vAlign w:val="center"/>
          </w:tcPr>
          <w:p w14:paraId="5B1A1D3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2D81A21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74E930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096938F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62087CD">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D64B">
            <w:pPr>
              <w:spacing w:line="300" w:lineRule="exact"/>
              <w:jc w:val="center"/>
              <w:rPr>
                <w:rFonts w:ascii="宋体" w:hAnsi="宋体" w:eastAsia="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930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44B8C5C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按时完成率</w:t>
            </w:r>
          </w:p>
        </w:tc>
        <w:tc>
          <w:tcPr>
            <w:tcW w:w="1108" w:type="dxa"/>
            <w:tcBorders>
              <w:top w:val="nil"/>
              <w:left w:val="nil"/>
              <w:bottom w:val="single" w:color="000000" w:sz="4" w:space="0"/>
              <w:right w:val="single" w:color="000000" w:sz="4" w:space="0"/>
            </w:tcBorders>
            <w:shd w:val="clear" w:color="auto" w:fill="auto"/>
            <w:vAlign w:val="center"/>
          </w:tcPr>
          <w:p w14:paraId="07D2BDC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21B570E0">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1047" w:type="dxa"/>
            <w:tcBorders>
              <w:top w:val="nil"/>
              <w:left w:val="nil"/>
              <w:bottom w:val="single" w:color="000000" w:sz="4" w:space="0"/>
              <w:right w:val="single" w:color="000000" w:sz="4" w:space="0"/>
            </w:tcBorders>
            <w:shd w:val="clear" w:color="auto" w:fill="auto"/>
            <w:vAlign w:val="center"/>
          </w:tcPr>
          <w:p w14:paraId="7A6C394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4ADF6B2E">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72001B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7FB2D4E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0343243">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D14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F5F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5C3BAD7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有效提升煤矿安全，减少事故率，保障职工生命和财产安全。</w:t>
            </w:r>
          </w:p>
        </w:tc>
        <w:tc>
          <w:tcPr>
            <w:tcW w:w="1108" w:type="dxa"/>
            <w:tcBorders>
              <w:top w:val="nil"/>
              <w:left w:val="nil"/>
              <w:bottom w:val="single" w:color="000000" w:sz="4" w:space="0"/>
              <w:right w:val="single" w:color="000000" w:sz="4" w:space="0"/>
            </w:tcBorders>
            <w:shd w:val="clear" w:color="auto" w:fill="auto"/>
            <w:vAlign w:val="center"/>
          </w:tcPr>
          <w:p w14:paraId="4619A29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1063" w:type="dxa"/>
            <w:tcBorders>
              <w:top w:val="nil"/>
              <w:left w:val="nil"/>
              <w:bottom w:val="single" w:color="000000" w:sz="4" w:space="0"/>
              <w:right w:val="single" w:color="000000" w:sz="4" w:space="0"/>
            </w:tcBorders>
            <w:shd w:val="clear" w:color="auto" w:fill="auto"/>
            <w:vAlign w:val="center"/>
          </w:tcPr>
          <w:p w14:paraId="72F49E9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明显有效</w:t>
            </w:r>
          </w:p>
        </w:tc>
        <w:tc>
          <w:tcPr>
            <w:tcW w:w="1047" w:type="dxa"/>
            <w:tcBorders>
              <w:top w:val="nil"/>
              <w:left w:val="nil"/>
              <w:bottom w:val="single" w:color="000000" w:sz="4" w:space="0"/>
              <w:right w:val="single" w:color="000000" w:sz="4" w:space="0"/>
            </w:tcBorders>
            <w:shd w:val="clear" w:color="auto" w:fill="auto"/>
            <w:vAlign w:val="center"/>
          </w:tcPr>
          <w:p w14:paraId="223B7AC7">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923" w:type="dxa"/>
            <w:tcBorders>
              <w:top w:val="nil"/>
              <w:left w:val="single" w:color="000000" w:sz="4" w:space="0"/>
              <w:bottom w:val="single" w:color="000000" w:sz="4" w:space="0"/>
              <w:right w:val="single" w:color="000000" w:sz="4" w:space="0"/>
            </w:tcBorders>
            <w:shd w:val="clear" w:color="auto" w:fill="auto"/>
            <w:vAlign w:val="center"/>
          </w:tcPr>
          <w:p w14:paraId="6ABF2F6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011C7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明显有效</w:t>
            </w:r>
          </w:p>
        </w:tc>
      </w:tr>
      <w:tr w14:paraId="279A04C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CE1AE2E">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right w:val="single" w:color="000000" w:sz="4" w:space="0"/>
            </w:tcBorders>
            <w:shd w:val="clear" w:color="auto" w:fill="auto"/>
            <w:vAlign w:val="center"/>
          </w:tcPr>
          <w:p w14:paraId="6162123E">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2EE7EFA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232" w:type="dxa"/>
            <w:tcBorders>
              <w:top w:val="single" w:color="000000" w:sz="4" w:space="0"/>
              <w:left w:val="single" w:color="000000" w:sz="4" w:space="0"/>
              <w:right w:val="single" w:color="000000" w:sz="4" w:space="0"/>
            </w:tcBorders>
            <w:shd w:val="clear" w:color="auto" w:fill="auto"/>
            <w:vAlign w:val="center"/>
          </w:tcPr>
          <w:p w14:paraId="56FE758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2264791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煤矿</w:t>
            </w:r>
            <w:r>
              <w:rPr>
                <w:rFonts w:ascii="宋体" w:hAnsi="宋体" w:eastAsia="宋体" w:cs="宋体"/>
                <w:i w:val="0"/>
                <w:iCs w:val="0"/>
                <w:color w:val="000000"/>
                <w:kern w:val="0"/>
                <w:sz w:val="18"/>
                <w:szCs w:val="18"/>
                <w:u w:val="none"/>
                <w:lang w:val="en-US" w:eastAsia="zh-CN" w:bidi="ar"/>
              </w:rPr>
              <w:t>满意度</w:t>
            </w:r>
          </w:p>
        </w:tc>
        <w:tc>
          <w:tcPr>
            <w:tcW w:w="1108" w:type="dxa"/>
            <w:tcBorders>
              <w:top w:val="nil"/>
              <w:left w:val="nil"/>
              <w:bottom w:val="single" w:color="000000" w:sz="4" w:space="0"/>
              <w:right w:val="single" w:color="000000" w:sz="4" w:space="0"/>
            </w:tcBorders>
            <w:shd w:val="clear" w:color="auto" w:fill="auto"/>
            <w:vAlign w:val="center"/>
          </w:tcPr>
          <w:p w14:paraId="3B6BD7D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2066530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1047" w:type="dxa"/>
            <w:tcBorders>
              <w:top w:val="nil"/>
              <w:left w:val="nil"/>
              <w:bottom w:val="single" w:color="000000" w:sz="4" w:space="0"/>
              <w:right w:val="single" w:color="000000" w:sz="4" w:space="0"/>
            </w:tcBorders>
            <w:shd w:val="clear" w:color="auto" w:fill="auto"/>
            <w:vAlign w:val="center"/>
          </w:tcPr>
          <w:p w14:paraId="35FD735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1D3D255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0EC2B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4911EF4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488EDC6D">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C9B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35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93B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1108" w:type="dxa"/>
            <w:tcBorders>
              <w:top w:val="nil"/>
              <w:left w:val="nil"/>
              <w:bottom w:val="single" w:color="000000" w:sz="4" w:space="0"/>
              <w:right w:val="single" w:color="000000" w:sz="4" w:space="0"/>
            </w:tcBorders>
            <w:shd w:val="clear" w:color="auto" w:fill="auto"/>
            <w:vAlign w:val="center"/>
          </w:tcPr>
          <w:p w14:paraId="77BF78F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3F0D2216">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w:t>
            </w:r>
          </w:p>
        </w:tc>
        <w:tc>
          <w:tcPr>
            <w:tcW w:w="1047" w:type="dxa"/>
            <w:tcBorders>
              <w:top w:val="nil"/>
              <w:left w:val="nil"/>
              <w:bottom w:val="single" w:color="000000" w:sz="4" w:space="0"/>
              <w:right w:val="single" w:color="000000" w:sz="4" w:space="0"/>
            </w:tcBorders>
            <w:shd w:val="clear" w:color="auto" w:fill="auto"/>
            <w:vAlign w:val="center"/>
          </w:tcPr>
          <w:p w14:paraId="558E0DD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cs="宋体"/>
                <w:color w:val="000000"/>
                <w:sz w:val="24"/>
                <w:szCs w:val="24"/>
                <w:lang w:val="zh-CN"/>
              </w:rPr>
              <w:t>万</w:t>
            </w:r>
            <w:r>
              <w:rPr>
                <w:rFonts w:hint="eastAsia" w:ascii="宋体" w:hAnsi="宋体" w:eastAsia="宋体" w:cs="宋体"/>
                <w:color w:val="000000"/>
                <w:sz w:val="24"/>
                <w:szCs w:val="24"/>
                <w:lang w:val="zh-CN"/>
              </w:rPr>
              <w:t>元</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070A9D89">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7312E7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w:t>
            </w:r>
          </w:p>
        </w:tc>
      </w:tr>
    </w:tbl>
    <w:p w14:paraId="1D26DD2A">
      <w:pPr>
        <w:spacing w:line="578" w:lineRule="atLeast"/>
        <w:ind w:right="-111" w:rightChars="-53"/>
        <w:rPr>
          <w:rFonts w:hAnsi="宋体" w:eastAsia="仿宋_GB2312" w:cs="宋体"/>
          <w:sz w:val="28"/>
          <w:szCs w:val="28"/>
        </w:rPr>
      </w:pPr>
    </w:p>
    <w:p w14:paraId="479E35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br w:type="page"/>
      </w:r>
      <w:r>
        <w:rPr>
          <w:rFonts w:hint="eastAsia" w:ascii="方正小标宋简体" w:hAnsi="方正小标宋简体" w:eastAsia="方正小标宋简体" w:cs="方正小标宋简体"/>
          <w:b w:val="0"/>
          <w:bCs/>
          <w:color w:val="auto"/>
          <w:sz w:val="44"/>
          <w:szCs w:val="44"/>
          <w:highlight w:val="none"/>
          <w:u w:val="none"/>
          <w:lang w:val="en-US" w:eastAsia="zh-CN"/>
        </w:rPr>
        <w:t>2024年煤矿安全监管工作经费项目绩效评价报告</w:t>
      </w:r>
    </w:p>
    <w:p w14:paraId="1426BA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529954E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18197EF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6985E62F">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按照达州市安全生产委员会办公室《关于进一步加强煤矿安全监管工作的通知》（达市安办〔2021]28号）文件要求，对渠县煤矿远程监控管理系统升级改造，建立煤矿视频管理系统。根据项目支出定额标准管理和预算管理的要求，为进一步规范煤矿安全监管工作经费支出管理，提高资金使用效益</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渠县安全生产事务中心申报2024年煤矿安全监管工作经费37.89万元，用于完成煤矿远程监控管理系统升级改造和建立煤矿视频管理系统，确保监控有效。</w:t>
      </w:r>
    </w:p>
    <w:p w14:paraId="4AFBAF6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4A763088">
      <w:pPr>
        <w:tabs>
          <w:tab w:val="left" w:pos="0"/>
        </w:tabs>
        <w:adjustRightInd w:val="0"/>
        <w:snapToGrid w:val="0"/>
        <w:spacing w:line="52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本项目旨在对</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建立煤矿视频管理系统，项目完成后，能有效对煤矿进行远程监管，预防煤矿非法违法生产，达到提升煤矿安全的目的。</w:t>
      </w:r>
    </w:p>
    <w:p w14:paraId="640FCE7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bCs/>
          <w:sz w:val="32"/>
          <w:szCs w:val="32"/>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72615E07">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w:t>
      </w:r>
      <w:r>
        <w:rPr>
          <w:rFonts w:hint="eastAsia" w:ascii="仿宋_GB2312" w:hAnsi="仿宋_GB2312" w:eastAsia="仿宋_GB2312" w:cs="仿宋_GB2312"/>
          <w:kern w:val="0"/>
          <w:sz w:val="32"/>
          <w:szCs w:val="32"/>
          <w:shd w:val="clear" w:color="auto" w:fill="FFFFFF"/>
          <w:lang w:val="en-US" w:eastAsia="zh-CN"/>
        </w:rPr>
        <w:t>煤矿安全监管工作经费项目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37.89</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渠财建〔</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lang w:val="zh-CN"/>
        </w:rPr>
        <w:t>号文下达</w:t>
      </w:r>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37.89</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项目专项资金全部用于</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w:t>
      </w:r>
    </w:p>
    <w:p w14:paraId="3A3E749C">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631346BF">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建立煤矿视频管理系统和煤矿远程监控管理系统升级改造数量、达标率、完成时限、成本控制等6个指标衡量。</w:t>
      </w:r>
    </w:p>
    <w:p w14:paraId="46D98BD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643398B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4C0B84CA">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5AFE5B14">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3AD603DD">
      <w:pPr>
        <w:numPr>
          <w:ilvl w:val="0"/>
          <w:numId w:val="0"/>
        </w:numPr>
        <w:ind w:firstLine="640" w:firstLineChars="200"/>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0BCE465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768EC54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2ED9D07E">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7183D8B2">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72E47F4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1178D5A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3FB13E7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522F086A">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61F6CF19">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0FA5CF26">
      <w:pPr>
        <w:numPr>
          <w:ilvl w:val="0"/>
          <w:numId w:val="0"/>
        </w:numPr>
        <w:tabs>
          <w:tab w:val="left" w:pos="3687"/>
        </w:tabs>
        <w:ind w:firstLine="640" w:firstLineChars="200"/>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r>
        <w:rPr>
          <w:rFonts w:hint="eastAsia" w:ascii="楷体_GB2312" w:hAnsi="宋体" w:eastAsia="楷体_GB2312" w:cs="Times New Roman"/>
          <w:b/>
          <w:color w:val="auto"/>
          <w:sz w:val="32"/>
          <w:szCs w:val="32"/>
          <w:highlight w:val="none"/>
          <w:u w:val="none"/>
          <w:lang w:val="zh-CN"/>
        </w:rPr>
        <w:tab/>
      </w:r>
    </w:p>
    <w:p w14:paraId="6B58D49E">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589B8C74">
      <w:pPr>
        <w:widowControl/>
        <w:numPr>
          <w:ilvl w:val="0"/>
          <w:numId w:val="0"/>
        </w:numPr>
        <w:adjustRightInd w:val="0"/>
        <w:snapToGrid w:val="0"/>
        <w:spacing w:line="578" w:lineRule="exact"/>
        <w:ind w:firstLine="640" w:firstLineChars="200"/>
        <w:contextualSpacing/>
        <w:jc w:val="left"/>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2FF7D635">
      <w:pPr>
        <w:spacing w:line="578"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4366C7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3CB3B0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74AA5EA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77583258">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5A56F318">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216B0108">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2024年煤矿安全监管工作经费项目，及时足额支付</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033C95F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559EA0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（1）制度办法（2分）。本单位未建立专项资金的管理办法。该项指标得0分。</w:t>
      </w:r>
    </w:p>
    <w:p w14:paraId="2AE8314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2BE1BD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135D27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632115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已完成拨付指标金额37.89万元，财政拨付资金37.89万元，财政资金拨付率100%；单位实际支付金额37.89万元，单位实际到位金额37.89万元，单位资金使用率100%。该项指标得6分。</w:t>
      </w:r>
    </w:p>
    <w:p w14:paraId="6F41117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73962D8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3CBBCD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）。项目完成预期目标，实施结果和绩效目标基本匹配，目标任务及时足额支付</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费用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该项指标得6分。</w:t>
      </w:r>
    </w:p>
    <w:p w14:paraId="3869B0D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18BE4B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17D7A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项目验收（</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66ADE5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748A7D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功能实现（</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1B42CC6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项目完成并验收合格后，已实现经济社会功能</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该项指标得10分。</w:t>
      </w:r>
    </w:p>
    <w:p w14:paraId="3A21CC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后续管护（</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6628894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项目完成并验收合格后，由实施单位和专人进行管理维护。</w:t>
      </w:r>
      <w:r>
        <w:rPr>
          <w:rFonts w:hint="eastAsia" w:ascii="Times New Roman" w:hAnsi="Times New Roman" w:eastAsia="仿宋_GB2312" w:cs="Times New Roman"/>
          <w:color w:val="auto"/>
          <w:sz w:val="32"/>
          <w:szCs w:val="32"/>
          <w:lang w:val="en-US" w:eastAsia="zh-CN"/>
        </w:rPr>
        <w:t>该项指标得10分。</w:t>
      </w:r>
    </w:p>
    <w:p w14:paraId="20C32FA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439F3B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5227FD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109074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2.项目建设</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0DB594D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宋体" w:eastAsia="仿宋_GB2312" w:cs="Times New Roman"/>
          <w:sz w:val="32"/>
          <w:szCs w:val="32"/>
          <w:lang w:eastAsia="zh-CN"/>
        </w:rPr>
        <w:t>完成</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，并验收合格</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4185BA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3.可持续发展情况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4450BBB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仿宋_GB2312" w:hAnsi="宋体" w:eastAsia="仿宋_GB2312" w:cs="Times New Roman"/>
          <w:sz w:val="32"/>
          <w:szCs w:val="32"/>
          <w:lang w:eastAsia="zh-CN"/>
        </w:rPr>
        <w:t>通过对</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能</w:t>
      </w:r>
      <w:r>
        <w:rPr>
          <w:rFonts w:hint="eastAsia" w:ascii="仿宋_GB2312" w:hAnsi="宋体" w:eastAsia="仿宋_GB2312" w:cs="Times New Roman"/>
          <w:sz w:val="32"/>
          <w:szCs w:val="32"/>
          <w:lang w:eastAsia="zh-CN"/>
        </w:rPr>
        <w:t>持续</w:t>
      </w:r>
      <w:r>
        <w:rPr>
          <w:rFonts w:hint="eastAsia" w:ascii="仿宋_GB2312" w:hAnsi="宋体" w:eastAsia="仿宋_GB2312" w:cs="Times New Roman"/>
          <w:sz w:val="32"/>
          <w:szCs w:val="32"/>
        </w:rPr>
        <w:t>有效对煤矿进行远程监管，预防煤矿非法违法生产，达到提升煤矿安全的目的</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该项指标得3分。</w:t>
      </w:r>
    </w:p>
    <w:p w14:paraId="65C535CD">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5A04DF37">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本报告通过全面、客观的绩效评价,总结了项目实施的成效与经验，不断优化专项资金的管理和使用效率。针对本次专项预算项目绩效自评，我单位自评结果为95分。</w:t>
      </w:r>
    </w:p>
    <w:p w14:paraId="48173F59">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284D8B39">
      <w:pPr>
        <w:bidi w:val="0"/>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在绩效考核指标体系建立上，部分绩效目标较笼统，指标的量化性、细化性、覆盖面不够。在绩效评价过程与预算编制、执行相结合的工作机制和部门协调机制有待完善。</w:t>
      </w:r>
    </w:p>
    <w:p w14:paraId="23CB402B">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799BB8F">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Ansi="宋体" w:eastAsia="仿宋_GB2312" w:cs="宋体"/>
          <w:sz w:val="28"/>
          <w:szCs w:val="28"/>
        </w:rPr>
      </w:pPr>
      <w:r>
        <w:rPr>
          <w:rFonts w:hint="eastAsia" w:ascii="仿宋_GB2312" w:hAnsi="仿宋_GB2312" w:eastAsia="仿宋_GB2312" w:cs="仿宋_GB2312"/>
          <w:b w:val="0"/>
          <w:bCs w:val="0"/>
          <w:color w:val="auto"/>
          <w:kern w:val="0"/>
          <w:position w:val="0"/>
          <w:sz w:val="32"/>
          <w:szCs w:val="32"/>
          <w:highlight w:val="none"/>
          <w:lang w:val="en-US" w:eastAsia="zh-CN" w:bidi="ar-SA"/>
        </w:rPr>
        <w:t>进一步完善预算绩效管理系统。实现从项目立项、绩效目标编制、绩效运行监控到绩效评价的全过程管理，切实推进绩效评价工作的规范开展，真正提升绩效管理能力，避免绩效工作流于纸面。</w:t>
      </w:r>
      <w:r>
        <w:rPr>
          <w:rFonts w:hAnsi="宋体" w:eastAsia="仿宋_GB2312" w:cs="宋体"/>
          <w:sz w:val="28"/>
          <w:szCs w:val="28"/>
        </w:rPr>
        <w:br w:type="page"/>
      </w:r>
    </w:p>
    <w:tbl>
      <w:tblPr>
        <w:tblStyle w:val="2"/>
        <w:tblW w:w="5748" w:type="pct"/>
        <w:jc w:val="center"/>
        <w:tblLayout w:type="autofit"/>
        <w:tblCellMar>
          <w:top w:w="15" w:type="dxa"/>
          <w:left w:w="15" w:type="dxa"/>
          <w:bottom w:w="15" w:type="dxa"/>
          <w:right w:w="15" w:type="dxa"/>
        </w:tblCellMar>
      </w:tblPr>
      <w:tblGrid>
        <w:gridCol w:w="596"/>
        <w:gridCol w:w="1000"/>
        <w:gridCol w:w="1133"/>
        <w:gridCol w:w="1761"/>
        <w:gridCol w:w="862"/>
        <w:gridCol w:w="675"/>
        <w:gridCol w:w="930"/>
        <w:gridCol w:w="849"/>
        <w:gridCol w:w="1777"/>
      </w:tblGrid>
      <w:tr w14:paraId="745A26B6">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7E0C346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68727F3A">
        <w:tblPrEx>
          <w:tblCellMar>
            <w:top w:w="15" w:type="dxa"/>
            <w:left w:w="15" w:type="dxa"/>
            <w:bottom w:w="15" w:type="dxa"/>
            <w:right w:w="15" w:type="dxa"/>
          </w:tblCellMar>
        </w:tblPrEx>
        <w:trPr>
          <w:trHeight w:val="23" w:hRule="atLeast"/>
          <w:jc w:val="center"/>
        </w:trPr>
        <w:tc>
          <w:tcPr>
            <w:tcW w:w="2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7EEB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A2254">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51172524T000011947751-煤矿安全监管工作经费</w:t>
            </w:r>
          </w:p>
        </w:tc>
      </w:tr>
      <w:tr w14:paraId="150927ED">
        <w:tblPrEx>
          <w:tblCellMar>
            <w:top w:w="15" w:type="dxa"/>
            <w:left w:w="15" w:type="dxa"/>
            <w:bottom w:w="15" w:type="dxa"/>
            <w:right w:w="15" w:type="dxa"/>
          </w:tblCellMar>
        </w:tblPrEx>
        <w:trPr>
          <w:trHeight w:val="23" w:hRule="atLeast"/>
          <w:jc w:val="center"/>
        </w:trPr>
        <w:tc>
          <w:tcPr>
            <w:tcW w:w="2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C823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2D3485">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69D7F038">
        <w:tblPrEx>
          <w:tblCellMar>
            <w:top w:w="15" w:type="dxa"/>
            <w:left w:w="15" w:type="dxa"/>
            <w:bottom w:w="15" w:type="dxa"/>
            <w:right w:w="15" w:type="dxa"/>
          </w:tblCellMar>
        </w:tblPrEx>
        <w:trPr>
          <w:trHeight w:val="23" w:hRule="atLeast"/>
          <w:jc w:val="center"/>
        </w:trPr>
        <w:tc>
          <w:tcPr>
            <w:tcW w:w="2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A744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E462D">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建设项目</w:t>
            </w:r>
          </w:p>
        </w:tc>
      </w:tr>
      <w:tr w14:paraId="56445465">
        <w:tblPrEx>
          <w:tblCellMar>
            <w:top w:w="15" w:type="dxa"/>
            <w:left w:w="15" w:type="dxa"/>
            <w:bottom w:w="15" w:type="dxa"/>
            <w:right w:w="15" w:type="dxa"/>
          </w:tblCellMar>
        </w:tblPrEx>
        <w:trPr>
          <w:trHeight w:val="545"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066E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49194">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9F9AA">
            <w:pPr>
              <w:spacing w:line="300" w:lineRule="exact"/>
              <w:jc w:val="left"/>
              <w:rPr>
                <w:rFonts w:ascii="宋体" w:hAnsi="宋体" w:eastAsia="宋体" w:cs="宋体"/>
                <w:color w:val="000000"/>
                <w:sz w:val="24"/>
                <w:szCs w:val="24"/>
              </w:rPr>
            </w:pPr>
          </w:p>
        </w:tc>
      </w:tr>
      <w:tr w14:paraId="7BAA622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CE8C">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CB11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0C4E7">
            <w:pPr>
              <w:spacing w:line="300" w:lineRule="exact"/>
              <w:jc w:val="left"/>
              <w:rPr>
                <w:rFonts w:ascii="宋体" w:hAnsi="宋体" w:eastAsia="宋体" w:cs="宋体"/>
                <w:color w:val="000000"/>
                <w:sz w:val="24"/>
                <w:szCs w:val="24"/>
              </w:rPr>
            </w:pPr>
          </w:p>
        </w:tc>
      </w:tr>
      <w:tr w14:paraId="2EE9AF3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3111">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2499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F091">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971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4DFA">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4101">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3FB62F1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6F81">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5AB2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5592D">
            <w:pPr>
              <w:spacing w:line="300" w:lineRule="exact"/>
              <w:jc w:val="left"/>
              <w:rPr>
                <w:rFonts w:ascii="宋体" w:hAnsi="宋体" w:eastAsia="宋体" w:cs="宋体"/>
                <w:color w:val="000000"/>
                <w:sz w:val="24"/>
                <w:szCs w:val="24"/>
              </w:rPr>
            </w:pPr>
          </w:p>
        </w:tc>
      </w:tr>
      <w:tr w14:paraId="013825C4">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3BB3">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6B6E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37A26">
            <w:pPr>
              <w:spacing w:line="300" w:lineRule="exact"/>
              <w:jc w:val="left"/>
              <w:rPr>
                <w:rFonts w:ascii="宋体" w:hAnsi="宋体" w:eastAsia="宋体" w:cs="宋体"/>
                <w:color w:val="000000"/>
                <w:sz w:val="24"/>
                <w:szCs w:val="24"/>
              </w:rPr>
            </w:pPr>
          </w:p>
        </w:tc>
      </w:tr>
      <w:tr w14:paraId="2B5CC2EC">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2D8D">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D72E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30A55">
            <w:pPr>
              <w:spacing w:line="300" w:lineRule="exact"/>
              <w:jc w:val="left"/>
              <w:rPr>
                <w:rFonts w:ascii="宋体" w:hAnsi="宋体" w:eastAsia="宋体" w:cs="宋体"/>
                <w:color w:val="000000"/>
                <w:sz w:val="24"/>
                <w:szCs w:val="24"/>
              </w:rPr>
            </w:pPr>
          </w:p>
        </w:tc>
      </w:tr>
      <w:tr w14:paraId="706E59D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45B2">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EBEE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66017">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3BA36DA7">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DB8E9">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4C45C9E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B36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316BC">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37.89</w:t>
            </w:r>
          </w:p>
        </w:tc>
      </w:tr>
      <w:tr w14:paraId="3BBB75CA">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A8C9">
            <w:pPr>
              <w:spacing w:line="300" w:lineRule="exact"/>
              <w:rPr>
                <w:rFonts w:ascii="宋体" w:hAnsi="宋体" w:eastAsia="宋体" w:cs="宋体"/>
                <w:color w:val="000000"/>
                <w:sz w:val="24"/>
                <w:szCs w:val="24"/>
              </w:rPr>
            </w:pP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1438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DFD9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37.89</w:t>
            </w:r>
          </w:p>
        </w:tc>
      </w:tr>
      <w:tr w14:paraId="64171345">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C461">
            <w:pPr>
              <w:spacing w:line="300" w:lineRule="exact"/>
              <w:rPr>
                <w:rFonts w:ascii="宋体" w:hAnsi="宋体" w:eastAsia="宋体" w:cs="宋体"/>
                <w:color w:val="000000"/>
                <w:sz w:val="24"/>
                <w:szCs w:val="24"/>
              </w:rPr>
            </w:pP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3C48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0A0F8">
            <w:pPr>
              <w:spacing w:line="300" w:lineRule="exact"/>
              <w:jc w:val="right"/>
              <w:rPr>
                <w:rFonts w:ascii="宋体" w:hAnsi="宋体" w:eastAsia="宋体" w:cs="宋体"/>
                <w:color w:val="000000"/>
                <w:sz w:val="24"/>
                <w:szCs w:val="24"/>
              </w:rPr>
            </w:pPr>
          </w:p>
        </w:tc>
      </w:tr>
      <w:tr w14:paraId="5473752D">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BA1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930EE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6F472EE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2D43">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8F949">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完成煤矿远程监控管理系统升级改造、建立煤矿工业视频管理系统，符合省、市要求，达到对煤矿进行远程监控管理的目的。</w:t>
            </w:r>
          </w:p>
        </w:tc>
      </w:tr>
      <w:tr w14:paraId="24247DFC">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4E03402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C68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40A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919" w:type="pct"/>
            <w:tcBorders>
              <w:top w:val="single" w:color="000000" w:sz="4" w:space="0"/>
              <w:left w:val="single" w:color="000000" w:sz="4" w:space="0"/>
              <w:bottom w:val="single" w:color="auto" w:sz="4" w:space="0"/>
              <w:right w:val="single" w:color="000000" w:sz="4" w:space="0"/>
            </w:tcBorders>
            <w:shd w:val="clear" w:color="auto" w:fill="auto"/>
            <w:vAlign w:val="center"/>
          </w:tcPr>
          <w:p w14:paraId="7D0705A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14:paraId="778DB19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352" w:type="pct"/>
            <w:tcBorders>
              <w:top w:val="single" w:color="000000" w:sz="4" w:space="0"/>
              <w:left w:val="single" w:color="000000" w:sz="4" w:space="0"/>
              <w:bottom w:val="single" w:color="auto" w:sz="4" w:space="0"/>
              <w:right w:val="single" w:color="000000" w:sz="4" w:space="0"/>
            </w:tcBorders>
            <w:shd w:val="clear" w:color="auto" w:fill="auto"/>
            <w:vAlign w:val="center"/>
          </w:tcPr>
          <w:p w14:paraId="1069752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485" w:type="pct"/>
            <w:tcBorders>
              <w:top w:val="single" w:color="000000" w:sz="4" w:space="0"/>
              <w:left w:val="single" w:color="000000" w:sz="4" w:space="0"/>
              <w:bottom w:val="single" w:color="auto" w:sz="4" w:space="0"/>
              <w:right w:val="single" w:color="000000" w:sz="4" w:space="0"/>
            </w:tcBorders>
            <w:shd w:val="clear" w:color="auto" w:fill="auto"/>
            <w:vAlign w:val="center"/>
          </w:tcPr>
          <w:p w14:paraId="1FD3852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3" w:type="pct"/>
            <w:tcBorders>
              <w:top w:val="single" w:color="000000" w:sz="4" w:space="0"/>
              <w:left w:val="single" w:color="000000" w:sz="4" w:space="0"/>
              <w:bottom w:val="single" w:color="auto" w:sz="4" w:space="0"/>
              <w:right w:val="single" w:color="000000" w:sz="4" w:space="0"/>
            </w:tcBorders>
            <w:shd w:val="clear" w:color="auto" w:fill="auto"/>
            <w:vAlign w:val="center"/>
          </w:tcPr>
          <w:p w14:paraId="1223FBB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25" w:type="pct"/>
            <w:tcBorders>
              <w:top w:val="single" w:color="000000" w:sz="4" w:space="0"/>
              <w:left w:val="single" w:color="000000" w:sz="4" w:space="0"/>
              <w:bottom w:val="single" w:color="auto" w:sz="4" w:space="0"/>
              <w:right w:val="single" w:color="000000" w:sz="4" w:space="0"/>
            </w:tcBorders>
            <w:shd w:val="clear" w:color="auto" w:fill="auto"/>
            <w:vAlign w:val="center"/>
          </w:tcPr>
          <w:p w14:paraId="3B59DFE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238E2E15">
        <w:tblPrEx>
          <w:tblCellMar>
            <w:top w:w="15" w:type="dxa"/>
            <w:left w:w="15" w:type="dxa"/>
            <w:bottom w:w="15" w:type="dxa"/>
            <w:right w:w="15" w:type="dxa"/>
          </w:tblCellMar>
        </w:tblPrEx>
        <w:trPr>
          <w:trHeight w:val="478"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76A9E66">
            <w:pPr>
              <w:spacing w:line="300" w:lineRule="exact"/>
              <w:jc w:val="center"/>
              <w:rPr>
                <w:rFonts w:ascii="宋体" w:hAnsi="宋体" w:eastAsia="宋体" w:cs="宋体"/>
                <w:color w:val="000000"/>
                <w:sz w:val="24"/>
                <w:szCs w:val="24"/>
              </w:rPr>
            </w:pPr>
          </w:p>
        </w:tc>
        <w:tc>
          <w:tcPr>
            <w:tcW w:w="521" w:type="pct"/>
            <w:vMerge w:val="restart"/>
            <w:tcBorders>
              <w:top w:val="single" w:color="000000" w:sz="4" w:space="0"/>
              <w:left w:val="single" w:color="000000" w:sz="4" w:space="0"/>
              <w:right w:val="single" w:color="000000" w:sz="4" w:space="0"/>
            </w:tcBorders>
            <w:shd w:val="clear" w:color="auto" w:fill="auto"/>
            <w:vAlign w:val="center"/>
          </w:tcPr>
          <w:p w14:paraId="63CE9A5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591" w:type="pct"/>
            <w:vMerge w:val="restart"/>
            <w:tcBorders>
              <w:top w:val="single" w:color="000000" w:sz="4" w:space="0"/>
              <w:left w:val="single" w:color="000000" w:sz="4" w:space="0"/>
              <w:right w:val="single" w:color="auto" w:sz="4" w:space="0"/>
            </w:tcBorders>
            <w:shd w:val="clear" w:color="auto" w:fill="auto"/>
            <w:vAlign w:val="center"/>
          </w:tcPr>
          <w:p w14:paraId="29A32B1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14:paraId="2782A84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建立煤矿视频管理系统数量</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CC45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7C2E9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en-US" w:eastAsia="zh-CN" w:bidi="ar"/>
              </w:rPr>
              <w:t>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AAD3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en-US" w:eastAsia="zh-CN" w:bidi="ar"/>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2E878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5E16C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665A7D5">
        <w:tblPrEx>
          <w:tblCellMar>
            <w:top w:w="15" w:type="dxa"/>
            <w:left w:w="15" w:type="dxa"/>
            <w:bottom w:w="15" w:type="dxa"/>
            <w:right w:w="15" w:type="dxa"/>
          </w:tblCellMar>
        </w:tblPrEx>
        <w:trPr>
          <w:trHeight w:val="478" w:hRule="atLeast"/>
          <w:jc w:val="center"/>
        </w:trPr>
        <w:tc>
          <w:tcPr>
            <w:tcW w:w="311" w:type="pct"/>
            <w:vMerge w:val="continue"/>
            <w:tcBorders>
              <w:left w:val="single" w:color="000000" w:sz="4" w:space="0"/>
              <w:bottom w:val="single" w:color="000000" w:sz="4" w:space="0"/>
            </w:tcBorders>
            <w:shd w:val="clear" w:color="auto" w:fill="auto"/>
            <w:vAlign w:val="center"/>
          </w:tcPr>
          <w:p w14:paraId="42BEC1F7">
            <w:pPr>
              <w:keepNext w:val="0"/>
              <w:keepLines w:val="0"/>
              <w:widowControl/>
              <w:suppressLineNumbers w:val="0"/>
              <w:jc w:val="center"/>
              <w:textAlignment w:val="center"/>
            </w:pPr>
          </w:p>
        </w:tc>
        <w:tc>
          <w:tcPr>
            <w:tcW w:w="521" w:type="pct"/>
            <w:vMerge w:val="continue"/>
            <w:tcBorders>
              <w:left w:val="single" w:color="000000" w:sz="4" w:space="0"/>
              <w:bottom w:val="single" w:color="000000" w:sz="4" w:space="0"/>
              <w:right w:val="single" w:color="000000" w:sz="4" w:space="0"/>
            </w:tcBorders>
            <w:shd w:val="clear" w:color="auto" w:fill="auto"/>
            <w:vAlign w:val="center"/>
          </w:tcPr>
          <w:p w14:paraId="17312597">
            <w:pPr>
              <w:keepNext w:val="0"/>
              <w:keepLines w:val="0"/>
              <w:widowControl/>
              <w:suppressLineNumbers w:val="0"/>
              <w:jc w:val="center"/>
              <w:textAlignment w:val="center"/>
            </w:pPr>
          </w:p>
        </w:tc>
        <w:tc>
          <w:tcPr>
            <w:tcW w:w="591" w:type="pct"/>
            <w:vMerge w:val="continue"/>
            <w:tcBorders>
              <w:left w:val="single" w:color="000000" w:sz="4" w:space="0"/>
              <w:bottom w:val="single" w:color="000000" w:sz="4" w:space="0"/>
              <w:right w:val="single" w:color="auto" w:sz="4" w:space="0"/>
            </w:tcBorders>
            <w:shd w:val="clear" w:color="auto" w:fill="auto"/>
            <w:vAlign w:val="center"/>
          </w:tcPr>
          <w:p w14:paraId="7A0E70D0">
            <w:pPr>
              <w:keepNext w:val="0"/>
              <w:keepLines w:val="0"/>
              <w:widowControl/>
              <w:suppressLineNumbers w:val="0"/>
              <w:jc w:val="center"/>
              <w:textAlignment w:val="center"/>
            </w:pP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14:paraId="66A3E3B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完成煤矿远程监控管理系统升级改造数量</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06B2C1D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1A79DD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68128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50CFA0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37A76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7E37A95">
        <w:tblPrEx>
          <w:tblCellMar>
            <w:top w:w="15" w:type="dxa"/>
            <w:left w:w="15" w:type="dxa"/>
            <w:bottom w:w="15" w:type="dxa"/>
            <w:right w:w="15" w:type="dxa"/>
          </w:tblCellMar>
        </w:tblPrEx>
        <w:trPr>
          <w:trHeight w:val="48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86806D4">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8224">
            <w:pPr>
              <w:spacing w:line="300" w:lineRule="exact"/>
              <w:jc w:val="center"/>
              <w:rPr>
                <w:rFonts w:ascii="宋体" w:hAnsi="宋体" w:eastAsia="宋体" w:cs="宋体"/>
                <w:color w:val="000000"/>
                <w:sz w:val="24"/>
                <w:szCs w:val="24"/>
              </w:rPr>
            </w:pPr>
          </w:p>
        </w:tc>
        <w:tc>
          <w:tcPr>
            <w:tcW w:w="591" w:type="pct"/>
            <w:vMerge w:val="restart"/>
            <w:tcBorders>
              <w:top w:val="single" w:color="000000" w:sz="4" w:space="0"/>
              <w:left w:val="single" w:color="000000" w:sz="4" w:space="0"/>
              <w:right w:val="single" w:color="000000" w:sz="4" w:space="0"/>
            </w:tcBorders>
            <w:shd w:val="clear" w:color="auto" w:fill="auto"/>
            <w:vAlign w:val="center"/>
          </w:tcPr>
          <w:p w14:paraId="477873B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919" w:type="pct"/>
            <w:tcBorders>
              <w:top w:val="single" w:color="auto" w:sz="4" w:space="0"/>
              <w:left w:val="single" w:color="000000" w:sz="4" w:space="0"/>
              <w:bottom w:val="single" w:color="000000" w:sz="4" w:space="0"/>
              <w:right w:val="single" w:color="auto" w:sz="4" w:space="0"/>
            </w:tcBorders>
            <w:shd w:val="clear" w:color="auto" w:fill="auto"/>
            <w:vAlign w:val="center"/>
          </w:tcPr>
          <w:p w14:paraId="6738546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煤矿远程监控管理系统升级改造达标率</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14CF15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D79A550">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E7735C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1B45A232">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D6119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9A8484E">
        <w:tblPrEx>
          <w:tblCellMar>
            <w:top w:w="15" w:type="dxa"/>
            <w:left w:w="15" w:type="dxa"/>
            <w:bottom w:w="15" w:type="dxa"/>
            <w:right w:w="15" w:type="dxa"/>
          </w:tblCellMar>
        </w:tblPrEx>
        <w:trPr>
          <w:trHeight w:val="483" w:hRule="atLeast"/>
          <w:jc w:val="center"/>
        </w:trPr>
        <w:tc>
          <w:tcPr>
            <w:tcW w:w="311" w:type="pct"/>
            <w:vMerge w:val="continue"/>
            <w:tcBorders>
              <w:left w:val="single" w:color="000000" w:sz="4" w:space="0"/>
              <w:bottom w:val="single" w:color="000000" w:sz="4" w:space="0"/>
            </w:tcBorders>
            <w:shd w:val="clear" w:color="auto" w:fill="auto"/>
            <w:vAlign w:val="center"/>
          </w:tcPr>
          <w:p w14:paraId="7E82987D">
            <w:pPr>
              <w:keepNext w:val="0"/>
              <w:keepLines w:val="0"/>
              <w:widowControl/>
              <w:suppressLineNumbers w:val="0"/>
              <w:jc w:val="center"/>
              <w:textAlignment w:val="center"/>
            </w:pPr>
          </w:p>
        </w:tc>
        <w:tc>
          <w:tcPr>
            <w:tcW w:w="521" w:type="pct"/>
            <w:vMerge w:val="continue"/>
            <w:tcBorders>
              <w:left w:val="single" w:color="000000" w:sz="4" w:space="0"/>
              <w:bottom w:val="single" w:color="000000" w:sz="4" w:space="0"/>
              <w:right w:val="single" w:color="000000" w:sz="4" w:space="0"/>
            </w:tcBorders>
            <w:shd w:val="clear" w:color="auto" w:fill="auto"/>
            <w:vAlign w:val="center"/>
          </w:tcPr>
          <w:p w14:paraId="27A54A68">
            <w:pPr>
              <w:keepNext w:val="0"/>
              <w:keepLines w:val="0"/>
              <w:widowControl/>
              <w:suppressLineNumbers w:val="0"/>
              <w:jc w:val="center"/>
              <w:textAlignment w:val="center"/>
            </w:pPr>
          </w:p>
        </w:tc>
        <w:tc>
          <w:tcPr>
            <w:tcW w:w="591" w:type="pct"/>
            <w:vMerge w:val="continue"/>
            <w:tcBorders>
              <w:left w:val="single" w:color="000000" w:sz="4" w:space="0"/>
              <w:bottom w:val="single" w:color="000000" w:sz="4" w:space="0"/>
              <w:right w:val="single" w:color="000000" w:sz="4" w:space="0"/>
            </w:tcBorders>
            <w:shd w:val="clear" w:color="auto" w:fill="auto"/>
            <w:vAlign w:val="center"/>
          </w:tcPr>
          <w:p w14:paraId="5CDCDE48">
            <w:pPr>
              <w:keepNext w:val="0"/>
              <w:keepLines w:val="0"/>
              <w:widowControl/>
              <w:suppressLineNumbers w:val="0"/>
              <w:jc w:val="center"/>
              <w:textAlignment w:val="center"/>
            </w:pPr>
          </w:p>
        </w:tc>
        <w:tc>
          <w:tcPr>
            <w:tcW w:w="919" w:type="pct"/>
            <w:tcBorders>
              <w:top w:val="nil"/>
              <w:left w:val="single" w:color="000000" w:sz="4" w:space="0"/>
              <w:bottom w:val="single" w:color="000000" w:sz="4" w:space="0"/>
              <w:right w:val="single" w:color="auto" w:sz="4" w:space="0"/>
            </w:tcBorders>
            <w:shd w:val="clear" w:color="auto" w:fill="auto"/>
            <w:vAlign w:val="center"/>
          </w:tcPr>
          <w:p w14:paraId="76ADC38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建立煤矿视频管理系统达标率</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635D53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74DB7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962BDC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6D118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671ED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56DB0C2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D1C6151">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6747">
            <w:pPr>
              <w:spacing w:line="300" w:lineRule="exact"/>
              <w:jc w:val="center"/>
              <w:rPr>
                <w:rFonts w:ascii="宋体" w:hAnsi="宋体" w:eastAsia="宋体" w:cs="宋体"/>
                <w:color w:val="000000"/>
                <w:sz w:val="24"/>
                <w:szCs w:val="24"/>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2E7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919" w:type="pct"/>
            <w:tcBorders>
              <w:top w:val="nil"/>
              <w:left w:val="single" w:color="000000" w:sz="4" w:space="0"/>
              <w:bottom w:val="single" w:color="000000" w:sz="4" w:space="0"/>
              <w:right w:val="single" w:color="000000" w:sz="4" w:space="0"/>
            </w:tcBorders>
            <w:shd w:val="clear" w:color="auto" w:fill="auto"/>
            <w:vAlign w:val="center"/>
          </w:tcPr>
          <w:p w14:paraId="5426236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完成时限</w:t>
            </w:r>
          </w:p>
        </w:tc>
        <w:tc>
          <w:tcPr>
            <w:tcW w:w="450" w:type="pct"/>
            <w:tcBorders>
              <w:top w:val="single" w:color="auto" w:sz="4" w:space="0"/>
              <w:left w:val="nil"/>
              <w:bottom w:val="single" w:color="000000" w:sz="4" w:space="0"/>
              <w:right w:val="single" w:color="000000" w:sz="4" w:space="0"/>
            </w:tcBorders>
            <w:shd w:val="clear" w:color="auto" w:fill="auto"/>
            <w:vAlign w:val="center"/>
          </w:tcPr>
          <w:p w14:paraId="3EE0D8F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nil"/>
              <w:bottom w:val="single" w:color="000000" w:sz="4" w:space="0"/>
              <w:right w:val="single" w:color="000000" w:sz="4" w:space="0"/>
            </w:tcBorders>
            <w:shd w:val="clear" w:color="auto" w:fill="auto"/>
            <w:vAlign w:val="center"/>
          </w:tcPr>
          <w:p w14:paraId="5B47BBE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1</w:t>
            </w:r>
          </w:p>
        </w:tc>
        <w:tc>
          <w:tcPr>
            <w:tcW w:w="485" w:type="pct"/>
            <w:tcBorders>
              <w:top w:val="single" w:color="auto" w:sz="4" w:space="0"/>
              <w:left w:val="nil"/>
              <w:bottom w:val="single" w:color="000000" w:sz="4" w:space="0"/>
              <w:right w:val="single" w:color="000000" w:sz="4" w:space="0"/>
            </w:tcBorders>
            <w:shd w:val="clear" w:color="auto" w:fill="auto"/>
            <w:vAlign w:val="center"/>
          </w:tcPr>
          <w:p w14:paraId="19795BD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年</w:t>
            </w: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12BD087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nil"/>
              <w:bottom w:val="single" w:color="000000" w:sz="4" w:space="0"/>
              <w:right w:val="single" w:color="000000" w:sz="4" w:space="0"/>
            </w:tcBorders>
            <w:shd w:val="clear" w:color="auto" w:fill="auto"/>
            <w:vAlign w:val="center"/>
          </w:tcPr>
          <w:p w14:paraId="5E620C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E6339FF">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EB37053">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1DE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3AF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919" w:type="pct"/>
            <w:tcBorders>
              <w:top w:val="nil"/>
              <w:left w:val="single" w:color="000000" w:sz="4" w:space="0"/>
              <w:bottom w:val="single" w:color="000000" w:sz="4" w:space="0"/>
              <w:right w:val="single" w:color="000000" w:sz="4" w:space="0"/>
            </w:tcBorders>
            <w:shd w:val="clear" w:color="auto" w:fill="auto"/>
            <w:vAlign w:val="center"/>
          </w:tcPr>
          <w:p w14:paraId="299F23A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对煤矿进行远程监控，有效防范事故发生</w:t>
            </w:r>
          </w:p>
        </w:tc>
        <w:tc>
          <w:tcPr>
            <w:tcW w:w="450" w:type="pct"/>
            <w:tcBorders>
              <w:top w:val="nil"/>
              <w:left w:val="nil"/>
              <w:bottom w:val="single" w:color="000000" w:sz="4" w:space="0"/>
              <w:right w:val="single" w:color="000000" w:sz="4" w:space="0"/>
            </w:tcBorders>
            <w:shd w:val="clear" w:color="auto" w:fill="auto"/>
            <w:vAlign w:val="center"/>
          </w:tcPr>
          <w:p w14:paraId="529EEFE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352" w:type="pct"/>
            <w:tcBorders>
              <w:top w:val="nil"/>
              <w:left w:val="nil"/>
              <w:bottom w:val="single" w:color="000000" w:sz="4" w:space="0"/>
              <w:right w:val="single" w:color="000000" w:sz="4" w:space="0"/>
            </w:tcBorders>
            <w:shd w:val="clear" w:color="auto" w:fill="auto"/>
            <w:vAlign w:val="center"/>
          </w:tcPr>
          <w:p w14:paraId="1C62BA65">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w:t>
            </w:r>
          </w:p>
        </w:tc>
        <w:tc>
          <w:tcPr>
            <w:tcW w:w="485" w:type="pct"/>
            <w:tcBorders>
              <w:top w:val="nil"/>
              <w:left w:val="nil"/>
              <w:bottom w:val="single" w:color="000000" w:sz="4" w:space="0"/>
              <w:right w:val="single" w:color="000000" w:sz="4" w:space="0"/>
            </w:tcBorders>
            <w:shd w:val="clear" w:color="auto" w:fill="auto"/>
            <w:vAlign w:val="center"/>
          </w:tcPr>
          <w:p w14:paraId="6B72B51D">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4158EC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925" w:type="pct"/>
            <w:tcBorders>
              <w:top w:val="nil"/>
              <w:left w:val="nil"/>
              <w:bottom w:val="single" w:color="000000" w:sz="4" w:space="0"/>
              <w:right w:val="single" w:color="000000" w:sz="4" w:space="0"/>
            </w:tcBorders>
            <w:shd w:val="clear" w:color="auto" w:fill="auto"/>
            <w:vAlign w:val="center"/>
          </w:tcPr>
          <w:p w14:paraId="1889C2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w:t>
            </w:r>
          </w:p>
        </w:tc>
      </w:tr>
      <w:tr w14:paraId="51230AD0">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67529CB">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right w:val="single" w:color="000000" w:sz="4" w:space="0"/>
            </w:tcBorders>
            <w:shd w:val="clear" w:color="auto" w:fill="auto"/>
            <w:vAlign w:val="center"/>
          </w:tcPr>
          <w:p w14:paraId="079C7074">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4CC86D3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591" w:type="pct"/>
            <w:tcBorders>
              <w:top w:val="single" w:color="000000" w:sz="4" w:space="0"/>
              <w:left w:val="single" w:color="000000" w:sz="4" w:space="0"/>
              <w:right w:val="single" w:color="000000" w:sz="4" w:space="0"/>
            </w:tcBorders>
            <w:shd w:val="clear" w:color="auto" w:fill="auto"/>
            <w:vAlign w:val="center"/>
          </w:tcPr>
          <w:p w14:paraId="01E2CBD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919" w:type="pct"/>
            <w:tcBorders>
              <w:top w:val="nil"/>
              <w:left w:val="single" w:color="000000" w:sz="4" w:space="0"/>
              <w:bottom w:val="single" w:color="000000" w:sz="4" w:space="0"/>
              <w:right w:val="single" w:color="000000" w:sz="4" w:space="0"/>
            </w:tcBorders>
            <w:shd w:val="clear" w:color="auto" w:fill="auto"/>
            <w:vAlign w:val="center"/>
          </w:tcPr>
          <w:p w14:paraId="2E0FF89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w:t>
            </w:r>
          </w:p>
        </w:tc>
        <w:tc>
          <w:tcPr>
            <w:tcW w:w="450" w:type="pct"/>
            <w:tcBorders>
              <w:top w:val="nil"/>
              <w:left w:val="nil"/>
              <w:bottom w:val="single" w:color="000000" w:sz="4" w:space="0"/>
              <w:right w:val="single" w:color="000000" w:sz="4" w:space="0"/>
            </w:tcBorders>
            <w:shd w:val="clear" w:color="auto" w:fill="auto"/>
            <w:vAlign w:val="center"/>
          </w:tcPr>
          <w:p w14:paraId="3F50679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352" w:type="pct"/>
            <w:tcBorders>
              <w:top w:val="nil"/>
              <w:left w:val="nil"/>
              <w:bottom w:val="single" w:color="000000" w:sz="4" w:space="0"/>
              <w:right w:val="single" w:color="000000" w:sz="4" w:space="0"/>
            </w:tcBorders>
            <w:shd w:val="clear" w:color="auto" w:fill="auto"/>
            <w:vAlign w:val="center"/>
          </w:tcPr>
          <w:p w14:paraId="735D989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485" w:type="pct"/>
            <w:tcBorders>
              <w:top w:val="nil"/>
              <w:left w:val="nil"/>
              <w:bottom w:val="single" w:color="000000" w:sz="4" w:space="0"/>
              <w:right w:val="single" w:color="000000" w:sz="4" w:space="0"/>
            </w:tcBorders>
            <w:shd w:val="clear" w:color="auto" w:fill="auto"/>
            <w:vAlign w:val="center"/>
          </w:tcPr>
          <w:p w14:paraId="65B15DA0">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1E239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925" w:type="pct"/>
            <w:tcBorders>
              <w:top w:val="nil"/>
              <w:left w:val="nil"/>
              <w:bottom w:val="single" w:color="000000" w:sz="4" w:space="0"/>
              <w:right w:val="single" w:color="000000" w:sz="4" w:space="0"/>
            </w:tcBorders>
            <w:shd w:val="clear" w:color="auto" w:fill="auto"/>
            <w:vAlign w:val="center"/>
          </w:tcPr>
          <w:p w14:paraId="78D5AA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r>
      <w:tr w14:paraId="57BD61F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3F3D6B2">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A7C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352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C61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450" w:type="pct"/>
            <w:tcBorders>
              <w:top w:val="nil"/>
              <w:left w:val="nil"/>
              <w:bottom w:val="single" w:color="000000" w:sz="4" w:space="0"/>
              <w:right w:val="single" w:color="000000" w:sz="4" w:space="0"/>
            </w:tcBorders>
            <w:shd w:val="clear" w:color="auto" w:fill="auto"/>
            <w:vAlign w:val="center"/>
          </w:tcPr>
          <w:p w14:paraId="38842B3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nil"/>
              <w:left w:val="nil"/>
              <w:bottom w:val="single" w:color="000000" w:sz="4" w:space="0"/>
              <w:right w:val="single" w:color="000000" w:sz="4" w:space="0"/>
            </w:tcBorders>
            <w:shd w:val="clear" w:color="auto" w:fill="auto"/>
            <w:vAlign w:val="center"/>
          </w:tcPr>
          <w:p w14:paraId="694B8C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37.89</w:t>
            </w:r>
          </w:p>
        </w:tc>
        <w:tc>
          <w:tcPr>
            <w:tcW w:w="485" w:type="pct"/>
            <w:tcBorders>
              <w:top w:val="nil"/>
              <w:left w:val="nil"/>
              <w:bottom w:val="single" w:color="000000" w:sz="4" w:space="0"/>
              <w:right w:val="single" w:color="000000" w:sz="4" w:space="0"/>
            </w:tcBorders>
            <w:shd w:val="clear" w:color="auto" w:fill="auto"/>
            <w:vAlign w:val="center"/>
          </w:tcPr>
          <w:p w14:paraId="16BF7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0B5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ascii="宋体" w:hAnsi="宋体" w:eastAsia="宋体" w:cs="宋体"/>
                <w:i w:val="0"/>
                <w:iCs w:val="0"/>
                <w:color w:val="000000"/>
                <w:kern w:val="0"/>
                <w:sz w:val="18"/>
                <w:szCs w:val="18"/>
                <w:u w:val="none"/>
                <w:lang w:val="en-US" w:eastAsia="zh-CN" w:bidi="ar"/>
              </w:rPr>
              <w:t>10</w:t>
            </w:r>
          </w:p>
        </w:tc>
        <w:tc>
          <w:tcPr>
            <w:tcW w:w="925" w:type="pct"/>
            <w:tcBorders>
              <w:top w:val="nil"/>
              <w:left w:val="nil"/>
              <w:bottom w:val="single" w:color="000000" w:sz="4" w:space="0"/>
              <w:right w:val="single" w:color="000000" w:sz="4" w:space="0"/>
            </w:tcBorders>
            <w:shd w:val="clear" w:color="auto" w:fill="auto"/>
            <w:vAlign w:val="center"/>
          </w:tcPr>
          <w:p w14:paraId="1DAD66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37.89</w:t>
            </w:r>
          </w:p>
        </w:tc>
      </w:tr>
    </w:tbl>
    <w:p w14:paraId="393D8E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F99035-E0EE-44B7-896A-A768892A37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63F9BAE-76C4-4D4D-A4D4-46F9A565E010}"/>
  </w:font>
  <w:font w:name="方正小标宋简体">
    <w:panose1 w:val="02000000000000000000"/>
    <w:charset w:val="86"/>
    <w:family w:val="script"/>
    <w:pitch w:val="default"/>
    <w:sig w:usb0="00000001" w:usb1="08000000" w:usb2="00000000" w:usb3="00000000" w:csb0="00040000" w:csb1="00000000"/>
    <w:embedRegular r:id="rId3" w:fontKey="{957F1A66-DC60-47CC-8B2A-2FCFEC827CDF}"/>
  </w:font>
  <w:font w:name="仿宋_GB2312">
    <w:altName w:val="仿宋"/>
    <w:panose1 w:val="02010609030101010101"/>
    <w:charset w:val="86"/>
    <w:family w:val="modern"/>
    <w:pitch w:val="default"/>
    <w:sig w:usb0="00000000" w:usb1="00000000" w:usb2="00000000" w:usb3="00000000" w:csb0="00040000" w:csb1="00000000"/>
    <w:embedRegular r:id="rId4" w:fontKey="{F831BF30-7094-426D-AAA6-CA61F404DCCD}"/>
  </w:font>
  <w:font w:name="楷体_GB2312">
    <w:altName w:val="楷体"/>
    <w:panose1 w:val="02010609030101010101"/>
    <w:charset w:val="86"/>
    <w:family w:val="modern"/>
    <w:pitch w:val="default"/>
    <w:sig w:usb0="00000000" w:usb1="00000000" w:usb2="00000000" w:usb3="00000000" w:csb0="00040000" w:csb1="00000000"/>
    <w:embedRegular r:id="rId5" w:fontKey="{70328015-387B-442A-8C3E-14C6056828F2}"/>
  </w:font>
  <w:font w:name="Wingdings 2">
    <w:altName w:val="Wingdings"/>
    <w:panose1 w:val="05020102010507070707"/>
    <w:charset w:val="02"/>
    <w:family w:val="roman"/>
    <w:pitch w:val="default"/>
    <w:sig w:usb0="00000000" w:usb1="00000000" w:usb2="00000000" w:usb3="00000000" w:csb0="80000000" w:csb1="00000000"/>
    <w:embedRegular r:id="rId6" w:fontKey="{543465EE-AE66-4BA3-B09C-F1396F3CD9A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4397"/>
    <w:rsid w:val="4DE8050C"/>
    <w:rsid w:val="56A0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6261</Words>
  <Characters>6510</Characters>
  <Lines>0</Lines>
  <Paragraphs>0</Paragraphs>
  <TotalTime>2</TotalTime>
  <ScaleCrop>false</ScaleCrop>
  <LinksUpToDate>false</LinksUpToDate>
  <CharactersWithSpaces>6525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2025-10-22T02:32:00Z</dcterms:created>
  <dc:creator>Administrator</dc:creator>
  <cp:lastModifiedBy>钟耀辉</cp:lastModifiedBy>
  <dcterms:modified xsi:type="dcterms:W3CDTF">2025-10-27T08:44:56Z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eyJoZGlkIjoiYzRhZTZlN2M0NGU3NmUyYTMyYThlOWNjODAxMTc4NjgiLCJ1c2VySWQiOiIxNzEzMjE3MzA5In0=</vt:lpwstr>
  </property>
  <property fmtid="{D5CDD505-2E9C-101B-9397-08002B2CF9AE}" pid="4" name="ICV">
    <vt:lpwstr>885CC6D653EA46F09FFBC94DA7A2D154_13</vt:lpwstr>
  </property>
</Properties>
</file>