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6419">
      <w:pPr>
        <w:spacing w:line="600" w:lineRule="exact"/>
        <w:jc w:val="both"/>
        <w:rPr>
          <w:rFonts w:hint="eastAsia" w:ascii="Times New Roman" w:hAnsi="Times New Roman" w:eastAsia="黑体" w:cs="黑体"/>
          <w:color w:val="FF0000"/>
          <w:sz w:val="32"/>
          <w:szCs w:val="32"/>
          <w:highlight w:val="none"/>
        </w:rPr>
      </w:pPr>
      <w:bookmarkStart w:id="0" w:name="_Toc15396614"/>
      <w:bookmarkStart w:id="1" w:name="_Toc15377226"/>
      <w:bookmarkStart w:id="16" w:name="_GoBack"/>
      <w:bookmarkEnd w:id="16"/>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0"/>
    </w:p>
    <w:p w14:paraId="589640FA">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方正小标宋简体" w:cs="Times New Roman"/>
          <w:b w:val="0"/>
          <w:bCs/>
          <w:sz w:val="44"/>
          <w:szCs w:val="44"/>
          <w:highlight w:val="none"/>
          <w:shd w:val="clear" w:color="auto" w:fill="FFFFFF"/>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77DF0F0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val="en-US" w:eastAsia="zh-CN"/>
        </w:rPr>
        <w:t>2024年度</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0C2F3309">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64C43F7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val="zh-CN" w:eastAsia="zh-CN"/>
        </w:rPr>
      </w:pPr>
      <w:r>
        <w:rPr>
          <w:rFonts w:hint="default" w:ascii="Times New Roman" w:hAnsi="Times New Roman" w:eastAsia="黑体" w:cs="Times New Roman"/>
          <w:sz w:val="32"/>
          <w:szCs w:val="32"/>
          <w:highlight w:val="none"/>
          <w:lang w:val="zh-CN" w:eastAsia="zh-CN"/>
        </w:rPr>
        <w:t>一、部门（单位）基本情况</w:t>
      </w:r>
    </w:p>
    <w:p w14:paraId="7871EF8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highlight w:val="none"/>
          <w:shd w:val="clear" w:color="auto" w:fill="FFFFFF"/>
          <w:lang w:val="zh-CN"/>
        </w:rPr>
        <w:t>（一）机构组成</w:t>
      </w:r>
    </w:p>
    <w:p w14:paraId="7F4C6CC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县委社会工作部设下列内设机构，办公室（党建办）、基层政权建设和基层治理股、两新组织党建股、社工志愿服务股；下属事业单位1个，为中共渠县县委城乡基层治理促进中心。</w:t>
      </w:r>
    </w:p>
    <w:p w14:paraId="15C9FD5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default" w:ascii="Times New Roman" w:hAnsi="Times New Roman" w:eastAsia="方正仿宋_GBK" w:cs="Times New Roman"/>
          <w:b/>
          <w:bCs/>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shd w:val="clear" w:fill="FFFFFF"/>
          <w:lang w:val="zh-CN" w:eastAsia="zh-CN" w:bidi="ar-SA"/>
        </w:rPr>
        <w:t>（二）</w:t>
      </w:r>
      <w:r>
        <w:rPr>
          <w:rFonts w:hint="default" w:ascii="Times New Roman" w:hAnsi="Times New Roman" w:eastAsia="方正仿宋_GBK" w:cs="Times New Roman"/>
          <w:b/>
          <w:bCs/>
          <w:color w:val="000000"/>
          <w:kern w:val="0"/>
          <w:sz w:val="32"/>
          <w:szCs w:val="32"/>
          <w:highlight w:val="none"/>
          <w:shd w:val="clear" w:color="auto" w:fill="FFFFFF"/>
          <w:lang w:val="zh-CN"/>
        </w:rPr>
        <w:t>机构职能</w:t>
      </w:r>
    </w:p>
    <w:p w14:paraId="39B2143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val="en-US" w:eastAsia="zh-CN"/>
        </w:rPr>
        <w:t>1.</w:t>
      </w:r>
      <w:r>
        <w:rPr>
          <w:rFonts w:hint="default" w:ascii="Times New Roman" w:hAnsi="Times New Roman" w:eastAsia="方正仿宋_GBK" w:cs="Times New Roman"/>
          <w:sz w:val="32"/>
          <w:szCs w:val="32"/>
          <w:u w:val="none"/>
          <w:lang w:eastAsia="zh-CN"/>
        </w:rPr>
        <w:t>研究相关理论、政策和规划，</w:t>
      </w:r>
      <w:r>
        <w:rPr>
          <w:rFonts w:hint="default" w:ascii="Times New Roman" w:hAnsi="Times New Roman" w:eastAsia="方正仿宋_GBK" w:cs="Times New Roman"/>
          <w:sz w:val="32"/>
          <w:szCs w:val="32"/>
          <w:u w:val="none"/>
        </w:rPr>
        <w:t>拟订相关规范性文件并组织实施。深入调查研究，及时向</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委报告工作情况并提出建议。调查研究非公有制经济组织、社会组织服务管理工作有关问题并提出政策建议。指导</w:t>
      </w:r>
      <w:r>
        <w:rPr>
          <w:rFonts w:hint="default" w:ascii="Times New Roman" w:hAnsi="Times New Roman" w:eastAsia="方正仿宋_GBK" w:cs="Times New Roman"/>
          <w:sz w:val="32"/>
          <w:szCs w:val="32"/>
          <w:u w:val="none"/>
          <w:lang w:val="en-US" w:eastAsia="zh-CN"/>
        </w:rPr>
        <w:t>各乡镇（街道）</w:t>
      </w:r>
      <w:r>
        <w:rPr>
          <w:rFonts w:hint="default" w:ascii="Times New Roman" w:hAnsi="Times New Roman" w:eastAsia="方正仿宋_GBK" w:cs="Times New Roman"/>
          <w:sz w:val="32"/>
          <w:szCs w:val="32"/>
          <w:u w:val="none"/>
        </w:rPr>
        <w:t>开展</w:t>
      </w:r>
      <w:r>
        <w:rPr>
          <w:rFonts w:hint="default" w:ascii="Times New Roman" w:hAnsi="Times New Roman" w:eastAsia="方正仿宋_GBK" w:cs="Times New Roman"/>
          <w:sz w:val="32"/>
          <w:szCs w:val="32"/>
          <w:u w:val="none"/>
          <w:lang w:val="en-US" w:eastAsia="zh-CN"/>
        </w:rPr>
        <w:t>相关</w:t>
      </w:r>
      <w:r>
        <w:rPr>
          <w:rFonts w:hint="default" w:ascii="Times New Roman" w:hAnsi="Times New Roman" w:eastAsia="方正仿宋_GBK" w:cs="Times New Roman"/>
          <w:sz w:val="32"/>
          <w:szCs w:val="32"/>
          <w:u w:val="none"/>
        </w:rPr>
        <w:t>社会工作。</w:t>
      </w:r>
    </w:p>
    <w:p w14:paraId="69F1B2B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val="en-US" w:eastAsia="zh-CN"/>
        </w:rPr>
        <w:t>2.</w:t>
      </w:r>
      <w:r>
        <w:rPr>
          <w:rFonts w:hint="default" w:ascii="Times New Roman" w:hAnsi="Times New Roman" w:eastAsia="方正仿宋_GBK" w:cs="Times New Roman"/>
          <w:sz w:val="32"/>
          <w:szCs w:val="32"/>
          <w:u w:val="none"/>
        </w:rPr>
        <w:t>统筹指导全</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群众利益协调、诉求表达、矛盾调处、权益保障等人民信访工作，协调解决人民群众急难愁盼的重大问题。指导人民建议征集工作，负责征集、办理公民、法人和其他组织提出的意见建议，向</w:t>
      </w:r>
      <w:r>
        <w:rPr>
          <w:rFonts w:hint="default" w:ascii="Times New Roman" w:hAnsi="Times New Roman" w:eastAsia="方正仿宋_GBK" w:cs="Times New Roman"/>
          <w:sz w:val="32"/>
          <w:szCs w:val="32"/>
          <w:u w:val="none"/>
          <w:lang w:val="en-US" w:eastAsia="zh-CN"/>
        </w:rPr>
        <w:t>县委</w:t>
      </w:r>
      <w:r>
        <w:rPr>
          <w:rFonts w:hint="default" w:ascii="Times New Roman" w:hAnsi="Times New Roman" w:eastAsia="方正仿宋_GBK" w:cs="Times New Roman"/>
          <w:sz w:val="32"/>
          <w:szCs w:val="32"/>
          <w:u w:val="none"/>
        </w:rPr>
        <w:t>、</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政府及时反映公民、法人和其他组织对党和国家事业发展提出的重要意见建议。</w:t>
      </w:r>
    </w:p>
    <w:p w14:paraId="559C3F7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val="en-US" w:eastAsia="zh-CN"/>
        </w:rPr>
        <w:t>3.</w:t>
      </w:r>
      <w:r>
        <w:rPr>
          <w:rFonts w:hint="default" w:ascii="Times New Roman" w:hAnsi="Times New Roman" w:eastAsia="方正仿宋_GBK" w:cs="Times New Roman"/>
          <w:sz w:val="32"/>
          <w:szCs w:val="32"/>
          <w:u w:val="none"/>
        </w:rPr>
        <w:t>健全和落实党建引领基层治理领导体制和工作机制，统筹推进党建引领基层治理和基层政权建设，协调推进城乡社区治理体系、服务体系和治理能力建设，推动基层民主政治建设，指</w:t>
      </w:r>
      <w:r>
        <w:rPr>
          <w:rFonts w:hint="default" w:ascii="Times New Roman" w:hAnsi="Times New Roman" w:eastAsia="方正仿宋_GBK" w:cs="Times New Roman"/>
          <w:spacing w:val="-8"/>
          <w:sz w:val="32"/>
          <w:szCs w:val="32"/>
          <w:u w:val="none"/>
        </w:rPr>
        <w:t>导监督基层群众自治制度的有效实施，健全基层群众自治机制。</w:t>
      </w:r>
    </w:p>
    <w:p w14:paraId="46295FD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val="en-US" w:eastAsia="zh-CN"/>
        </w:rPr>
        <w:t>4.</w:t>
      </w:r>
      <w:r>
        <w:rPr>
          <w:rFonts w:hint="default" w:ascii="Times New Roman" w:hAnsi="Times New Roman" w:eastAsia="方正仿宋_GBK" w:cs="Times New Roman"/>
          <w:sz w:val="32"/>
          <w:szCs w:val="32"/>
          <w:u w:val="none"/>
        </w:rPr>
        <w:t>指导全</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性社会组织党建工作，统一领导全</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性行业协会商会党的工作，承办全</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性行业协会商会负责人人选的审核。协调推动全</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行业协会商会深化改革和转型发展，调查研究相关重大问题。</w:t>
      </w:r>
    </w:p>
    <w:p w14:paraId="0FDC91A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val="en-US" w:eastAsia="zh-CN"/>
        </w:rPr>
        <w:t>5.</w:t>
      </w:r>
      <w:r>
        <w:rPr>
          <w:rFonts w:hint="default" w:ascii="Times New Roman" w:hAnsi="Times New Roman" w:eastAsia="方正仿宋_GBK" w:cs="Times New Roman"/>
          <w:sz w:val="32"/>
          <w:szCs w:val="32"/>
          <w:u w:val="none"/>
        </w:rPr>
        <w:t>指导全</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混合所有制企业、非公有制企业和新经济组织、新社会组织、新就业群体（以下简称“两企三新”）党建工作，指导协调相关企业单位、社会组织、就业群体中党员的教育、管理、监督和服务工作，研究完善相关领域群众利益协调机制。</w:t>
      </w:r>
    </w:p>
    <w:p w14:paraId="5B0D409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val="en-US" w:eastAsia="zh-CN"/>
        </w:rPr>
        <w:t>6.</w:t>
      </w:r>
      <w:r>
        <w:rPr>
          <w:rFonts w:hint="default" w:ascii="Times New Roman" w:hAnsi="Times New Roman" w:eastAsia="方正仿宋_GBK" w:cs="Times New Roman"/>
          <w:sz w:val="32"/>
          <w:szCs w:val="32"/>
          <w:u w:val="none"/>
        </w:rPr>
        <w:t>负责全</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志愿服务工作的统筹规划、协调指导、督促检查和经验推广，指导推动社会工作人才队伍建设、志愿服务人才队伍建设和阵地建设以及志愿服务组织的规范管理工作，协调推动社会工作服务体系和志愿服务体系建设。</w:t>
      </w:r>
    </w:p>
    <w:p w14:paraId="5384D0A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val="en-US" w:eastAsia="zh-CN"/>
        </w:rPr>
        <w:t>7.</w:t>
      </w:r>
      <w:r>
        <w:rPr>
          <w:rFonts w:hint="default" w:ascii="Times New Roman" w:hAnsi="Times New Roman" w:eastAsia="方正仿宋_GBK" w:cs="Times New Roman"/>
          <w:sz w:val="32"/>
          <w:szCs w:val="32"/>
          <w:u w:val="none"/>
          <w:lang w:eastAsia="zh-CN"/>
        </w:rPr>
        <w:t>负责职责范围内的安全生产、职业健康、应急管理和生态环境保护工作。</w:t>
      </w:r>
    </w:p>
    <w:p w14:paraId="1DE5988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u w:val="none"/>
          <w:lang w:val="en-US" w:eastAsia="zh-CN"/>
        </w:rPr>
        <w:t>8.</w:t>
      </w:r>
      <w:r>
        <w:rPr>
          <w:rFonts w:hint="default" w:ascii="Times New Roman" w:hAnsi="Times New Roman" w:eastAsia="方正仿宋_GBK" w:cs="Times New Roman"/>
          <w:sz w:val="32"/>
          <w:szCs w:val="32"/>
          <w:u w:val="none"/>
        </w:rPr>
        <w:t>完成</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委交办的其他任务。</w:t>
      </w:r>
    </w:p>
    <w:p w14:paraId="4CDCCB8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shd w:val="clear" w:fill="FFFFFF"/>
          <w:lang w:val="zh-CN" w:eastAsia="zh-CN" w:bidi="ar-SA"/>
        </w:rPr>
        <w:t>（三）</w:t>
      </w:r>
      <w:r>
        <w:rPr>
          <w:rFonts w:hint="default" w:ascii="Times New Roman" w:hAnsi="Times New Roman" w:eastAsia="方正仿宋_GBK" w:cs="Times New Roman"/>
          <w:b/>
          <w:bCs/>
          <w:color w:val="000000"/>
          <w:kern w:val="0"/>
          <w:sz w:val="32"/>
          <w:szCs w:val="32"/>
          <w:highlight w:val="none"/>
          <w:shd w:val="clear" w:color="auto" w:fill="FFFFFF"/>
          <w:lang w:val="zh-CN"/>
        </w:rPr>
        <w:t>人员概况</w:t>
      </w:r>
    </w:p>
    <w:p w14:paraId="4F02027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年末，</w:t>
      </w:r>
      <w:r>
        <w:rPr>
          <w:rFonts w:hint="default" w:ascii="Times New Roman" w:hAnsi="Times New Roman" w:eastAsia="方正仿宋_GBK" w:cs="Times New Roman"/>
          <w:sz w:val="32"/>
          <w:szCs w:val="32"/>
          <w:lang w:val="en-US" w:eastAsia="zh-CN"/>
        </w:rPr>
        <w:t>中国共产党渠县委员会社会工作部</w:t>
      </w:r>
      <w:r>
        <w:rPr>
          <w:rFonts w:hint="default" w:ascii="Times New Roman" w:hAnsi="Times New Roman" w:eastAsia="方正仿宋_GBK" w:cs="Times New Roman"/>
          <w:sz w:val="32"/>
          <w:szCs w:val="32"/>
        </w:rPr>
        <w:t>单位编制</w:t>
      </w:r>
      <w:r>
        <w:rPr>
          <w:rFonts w:hint="default" w:ascii="Times New Roman" w:hAnsi="Times New Roman" w:eastAsia="方正仿宋_GBK" w:cs="Times New Roman"/>
          <w:sz w:val="32"/>
          <w:szCs w:val="32"/>
          <w:lang w:val="en-US" w:eastAsia="zh-CN"/>
        </w:rPr>
        <w:t>共有9个，中共渠县县委城乡基层治理促进中心</w:t>
      </w:r>
      <w:r>
        <w:rPr>
          <w:rFonts w:hint="default" w:ascii="Times New Roman" w:hAnsi="Times New Roman" w:eastAsia="方正仿宋_GBK" w:cs="Times New Roman"/>
          <w:sz w:val="32"/>
          <w:szCs w:val="32"/>
        </w:rPr>
        <w:t>年单位编制</w:t>
      </w:r>
      <w:r>
        <w:rPr>
          <w:rFonts w:hint="default" w:ascii="Times New Roman" w:hAnsi="Times New Roman" w:eastAsia="方正仿宋_GBK" w:cs="Times New Roman"/>
          <w:sz w:val="32"/>
          <w:szCs w:val="32"/>
          <w:lang w:val="en-US" w:eastAsia="zh-CN"/>
        </w:rPr>
        <w:t>共有11个，年</w:t>
      </w:r>
      <w:r>
        <w:rPr>
          <w:rFonts w:hint="default" w:ascii="Times New Roman" w:hAnsi="Times New Roman" w:eastAsia="方正仿宋_GBK" w:cs="Times New Roman"/>
          <w:sz w:val="32"/>
          <w:szCs w:val="32"/>
        </w:rPr>
        <w:t>末实有人数</w:t>
      </w:r>
      <w:r>
        <w:rPr>
          <w:rFonts w:hint="default" w:ascii="Times New Roman" w:hAnsi="Times New Roman" w:eastAsia="方正仿宋_GBK" w:cs="Times New Roman"/>
          <w:sz w:val="32"/>
          <w:szCs w:val="32"/>
          <w:lang w:val="en-US" w:eastAsia="zh-CN"/>
        </w:rPr>
        <w:t>7人。</w:t>
      </w:r>
    </w:p>
    <w:p w14:paraId="19D4897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val="zh-CN" w:eastAsia="zh-CN"/>
        </w:rPr>
      </w:pPr>
      <w:r>
        <w:rPr>
          <w:rFonts w:hint="default" w:ascii="Times New Roman" w:hAnsi="Times New Roman" w:eastAsia="黑体" w:cs="Times New Roman"/>
          <w:sz w:val="32"/>
          <w:szCs w:val="32"/>
          <w:highlight w:val="none"/>
          <w:lang w:val="zh-CN" w:eastAsia="zh-CN"/>
        </w:rPr>
        <w:t>二、部门资金收支情况</w:t>
      </w:r>
    </w:p>
    <w:p w14:paraId="1098D6E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highlight w:val="none"/>
          <w:shd w:val="clear" w:color="auto" w:fill="FFFFFF"/>
          <w:lang w:val="zh-CN"/>
        </w:rPr>
        <w:t>（一）收入情况</w:t>
      </w:r>
    </w:p>
    <w:p w14:paraId="6149284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en-US"/>
        </w:rPr>
      </w:pPr>
      <w:r>
        <w:rPr>
          <w:rFonts w:hint="default" w:ascii="Times New Roman" w:hAnsi="Times New Roman" w:eastAsia="方正仿宋_GBK" w:cs="Times New Roman"/>
          <w:sz w:val="32"/>
          <w:szCs w:val="32"/>
          <w:lang w:val="en-US" w:eastAsia="zh-CN"/>
        </w:rPr>
        <w:t>中国共产党渠县委员会社会工作部2024年度部门收入总额82.2万元，决算报表收入82.2万元。</w:t>
      </w:r>
    </w:p>
    <w:p w14:paraId="491DB29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shd w:val="clear" w:fill="FFFFFF"/>
          <w:lang w:val="zh-CN" w:eastAsia="zh-CN" w:bidi="ar-SA"/>
        </w:rPr>
        <w:t>（二）</w:t>
      </w:r>
      <w:r>
        <w:rPr>
          <w:rFonts w:hint="default" w:ascii="Times New Roman" w:hAnsi="Times New Roman" w:eastAsia="方正仿宋_GBK" w:cs="Times New Roman"/>
          <w:b/>
          <w:bCs/>
          <w:color w:val="000000"/>
          <w:kern w:val="0"/>
          <w:sz w:val="32"/>
          <w:szCs w:val="32"/>
          <w:highlight w:val="none"/>
          <w:shd w:val="clear" w:color="auto" w:fill="FFFFFF"/>
          <w:lang w:val="zh-CN"/>
        </w:rPr>
        <w:t>支出情况</w:t>
      </w:r>
    </w:p>
    <w:p w14:paraId="77370ED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中国共产党渠县委员会社会工作部2024年年初预算支出82.2万元、决算报表支出82.2万元。</w:t>
      </w:r>
    </w:p>
    <w:p w14:paraId="76B08DF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sz w:val="32"/>
          <w:szCs w:val="32"/>
        </w:rPr>
      </w:pPr>
      <w:r>
        <w:rPr>
          <w:rFonts w:hint="default" w:ascii="Times New Roman" w:hAnsi="Times New Roman" w:eastAsia="方正仿宋_GBK" w:cs="Times New Roman"/>
          <w:b/>
          <w:kern w:val="2"/>
          <w:sz w:val="32"/>
          <w:szCs w:val="32"/>
          <w:lang w:val="en-US" w:eastAsia="zh-CN" w:bidi="ar-SA"/>
        </w:rPr>
        <w:t>（三）</w:t>
      </w:r>
      <w:r>
        <w:rPr>
          <w:rFonts w:hint="default" w:ascii="Times New Roman" w:hAnsi="Times New Roman" w:eastAsia="方正仿宋_GBK" w:cs="Times New Roman"/>
          <w:b/>
          <w:sz w:val="32"/>
          <w:szCs w:val="32"/>
        </w:rPr>
        <w:t>结余分配和结转结余情况</w:t>
      </w:r>
    </w:p>
    <w:p w14:paraId="0F778A1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zh-CN" w:eastAsia="zh-CN"/>
        </w:rPr>
      </w:pPr>
      <w:r>
        <w:rPr>
          <w:rFonts w:hint="default" w:ascii="Times New Roman" w:hAnsi="Times New Roman" w:eastAsia="方正仿宋_GBK" w:cs="Times New Roman"/>
          <w:sz w:val="32"/>
          <w:szCs w:val="32"/>
          <w:lang w:val="en-US" w:eastAsia="zh-CN"/>
        </w:rPr>
        <w:t>中国共产党渠县委员会社会工作部2024年决算报表</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结转结余为0元。</w:t>
      </w:r>
    </w:p>
    <w:p w14:paraId="5135ED9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rPr>
      </w:pPr>
      <w:r>
        <w:rPr>
          <w:rFonts w:hint="default" w:ascii="Times New Roman" w:hAnsi="Times New Roman" w:eastAsia="黑体" w:cs="Times New Roman"/>
          <w:sz w:val="32"/>
          <w:szCs w:val="32"/>
          <w:highlight w:val="none"/>
          <w:lang w:val="zh-CN" w:eastAsia="zh-CN"/>
        </w:rPr>
        <w:t>三、部门预算绩效分析</w:t>
      </w:r>
    </w:p>
    <w:p w14:paraId="0645838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highlight w:val="none"/>
          <w:shd w:val="clear" w:color="auto" w:fill="FFFFFF"/>
          <w:lang w:val="zh-CN"/>
        </w:rPr>
        <w:t>（一）部门预算总体绩效分析</w:t>
      </w:r>
    </w:p>
    <w:p w14:paraId="7478C7A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1.</w:t>
      </w:r>
      <w:r>
        <w:rPr>
          <w:rFonts w:hint="default" w:ascii="Times New Roman" w:hAnsi="Times New Roman" w:eastAsia="方正仿宋_GBK" w:cs="Times New Roman"/>
          <w:color w:val="000000"/>
          <w:kern w:val="0"/>
          <w:sz w:val="32"/>
          <w:szCs w:val="32"/>
          <w:highlight w:val="none"/>
          <w:shd w:val="clear" w:color="auto" w:fill="FFFFFF"/>
          <w:lang w:val="zh-CN"/>
        </w:rPr>
        <w:t>履职效能（</w:t>
      </w:r>
      <w:r>
        <w:rPr>
          <w:rFonts w:hint="default" w:ascii="Times New Roman" w:hAnsi="Times New Roman" w:eastAsia="方正仿宋_GBK" w:cs="Times New Roman"/>
          <w:color w:val="000000"/>
          <w:kern w:val="0"/>
          <w:sz w:val="32"/>
          <w:szCs w:val="32"/>
          <w:highlight w:val="none"/>
          <w:shd w:val="clear" w:color="auto" w:fill="FFFFFF"/>
          <w:lang w:val="en-US" w:eastAsia="zh-CN"/>
        </w:rPr>
        <w:t>15分</w:t>
      </w:r>
      <w:r>
        <w:rPr>
          <w:rFonts w:hint="default" w:ascii="Times New Roman" w:hAnsi="Times New Roman" w:eastAsia="方正仿宋_GBK" w:cs="Times New Roman"/>
          <w:color w:val="000000"/>
          <w:kern w:val="0"/>
          <w:sz w:val="32"/>
          <w:szCs w:val="32"/>
          <w:highlight w:val="none"/>
          <w:shd w:val="clear" w:color="auto" w:fill="FFFFFF"/>
          <w:lang w:val="zh-CN"/>
        </w:rPr>
        <w:t>）</w:t>
      </w:r>
    </w:p>
    <w:p w14:paraId="33A6A24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(1)</w:t>
      </w:r>
      <w:r>
        <w:rPr>
          <w:rFonts w:hint="default" w:ascii="Times New Roman" w:hAnsi="Times New Roman" w:eastAsia="方正仿宋_GBK" w:cs="Times New Roman"/>
          <w:color w:val="000000"/>
          <w:kern w:val="0"/>
          <w:sz w:val="32"/>
          <w:szCs w:val="32"/>
          <w:highlight w:val="none"/>
          <w:shd w:val="clear" w:color="auto" w:fill="FFFFFF"/>
          <w:lang w:val="zh-CN"/>
        </w:rPr>
        <w:t>在党中央和省委、市委坚强领导下，我县坚决贯彻机构改革部署于2024年4月29日挂牌成立县委社会工作部，在较短时间内实现部门实体化运作，完成机构组建、职能整合、队伍优化等基础性工作，构建起“系统集成、协同高效”的工作体系。一年来，全县社会工作服务机制不断完善，新兴领域党建持续加强，基层治理基础逐步夯实，凝聚服务群众工作有声有色，实现我县社会工作良好开局。</w:t>
      </w:r>
    </w:p>
    <w:p w14:paraId="568AA11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(2)</w:t>
      </w:r>
      <w:r>
        <w:rPr>
          <w:rFonts w:hint="default" w:ascii="Times New Roman" w:hAnsi="Times New Roman" w:eastAsia="方正仿宋_GBK" w:cs="Times New Roman"/>
          <w:color w:val="000000"/>
          <w:kern w:val="0"/>
          <w:sz w:val="32"/>
          <w:szCs w:val="32"/>
          <w:highlight w:val="none"/>
          <w:shd w:val="clear" w:color="auto" w:fill="FFFFFF"/>
          <w:lang w:val="zh-CN"/>
        </w:rPr>
        <w:t>印发《渠县破解“小马拉大车”突出问题提升基层治理服务能力重点工作任务清单》、《关于进一步规范村（社区）组织出具证明事项的通知》和《关于进一步规范村（社区）组织挂牌工作的通知》，梳理“三张清单”，制定村级证明事项清单。建立村（社区）出具证明事项观察监督渠道，设立7个村（社区）减负工作监测点，推进基层治理减负措施落实。完善信息直报系统，实现一证一报一核。清理村（社区）工作机制挂牌1500余个，建立村（社区）“1个服务窗口+4块牌子+2个标识”的挂牌标识标准，并对新增挂牌实行“一牌一核”。严格执行村委会成员资格审查，依法依规对46名村（居）委会成员初提候选人进行审查。建立社区工作者县级骨干培训、街道（乡镇）全员培训机制。</w:t>
      </w:r>
    </w:p>
    <w:p w14:paraId="3E18F94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(3)推动品牌志愿服务项目建设，发布“衣旧有爱”“为您安个家”“宕渠法芽”等有效志愿服务项目1948个，12月12日，正式发布乡镇应急救援志愿服务队伍建设项目、“四体要勤、五谷要分”劳动知识进课堂项目、心理咨询进校园项目等5个重点志愿服务项目，进一步提升志愿服务专业性和实效性。指导全县在重要节点、重大节日开展“爱心送考”“清凉一夏”“防汛抗旱”“爱在重阳”“情暖冬至”等主题活动，进入社区、深入人群开展环境保护、文艺汇演、慰问服务、美食专享、家居改造等服务，惠及人群10万余人。“贡献志愿力量 创造美好生活”、“情暖冬至 福美渠县”志愿服务活动情况被人民网刊载。</w:t>
      </w:r>
    </w:p>
    <w:p w14:paraId="27872E1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2024年，县委社会工作部核心职能均完成预期目标，具体表现为：治理体系构建高效 （机构改革落地快、党建覆盖强化）；基层减负成效突出 （挂牌清理、证明规范、队伍优化）；志愿服务品牌彰显 （数量多、专业强、媒体认可）。</w:t>
      </w:r>
    </w:p>
    <w:p w14:paraId="6B2EC7A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eastAsia="zh-CN"/>
        </w:rPr>
      </w:pPr>
      <w:r>
        <w:rPr>
          <w:rFonts w:hint="default" w:ascii="Times New Roman" w:hAnsi="Times New Roman" w:eastAsia="方正仿宋_GBK" w:cs="Times New Roman"/>
          <w:color w:val="000000"/>
          <w:kern w:val="0"/>
          <w:sz w:val="32"/>
          <w:szCs w:val="32"/>
          <w:shd w:val="clear" w:fill="FFFFFF"/>
          <w:lang w:val="zh-CN" w:eastAsia="zh-CN" w:bidi="ar-SA"/>
        </w:rPr>
        <w:t>2.</w:t>
      </w:r>
      <w:r>
        <w:rPr>
          <w:rFonts w:hint="default" w:ascii="Times New Roman" w:hAnsi="Times New Roman" w:eastAsia="方正仿宋_GBK" w:cs="Times New Roman"/>
          <w:color w:val="000000"/>
          <w:kern w:val="0"/>
          <w:sz w:val="32"/>
          <w:szCs w:val="32"/>
          <w:highlight w:val="none"/>
          <w:shd w:val="clear" w:color="auto" w:fill="FFFFFF"/>
          <w:lang w:val="zh-CN" w:eastAsia="zh-CN"/>
        </w:rPr>
        <w:t>预算管理（</w:t>
      </w:r>
      <w:r>
        <w:rPr>
          <w:rFonts w:hint="default" w:ascii="Times New Roman" w:hAnsi="Times New Roman" w:eastAsia="方正仿宋_GBK" w:cs="Times New Roman"/>
          <w:color w:val="000000"/>
          <w:kern w:val="0"/>
          <w:sz w:val="32"/>
          <w:szCs w:val="32"/>
          <w:highlight w:val="none"/>
          <w:shd w:val="clear" w:color="auto" w:fill="FFFFFF"/>
          <w:lang w:val="en-US" w:eastAsia="zh-CN"/>
        </w:rPr>
        <w:t>25分</w:t>
      </w:r>
      <w:r>
        <w:rPr>
          <w:rFonts w:hint="default" w:ascii="Times New Roman" w:hAnsi="Times New Roman" w:eastAsia="方正仿宋_GBK" w:cs="Times New Roman"/>
          <w:color w:val="000000"/>
          <w:kern w:val="0"/>
          <w:sz w:val="32"/>
          <w:szCs w:val="32"/>
          <w:highlight w:val="none"/>
          <w:shd w:val="clear" w:color="auto" w:fill="FFFFFF"/>
          <w:lang w:val="zh-CN" w:eastAsia="zh-CN"/>
        </w:rPr>
        <w:t>）</w:t>
      </w:r>
    </w:p>
    <w:p w14:paraId="0EE78DB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 xml:space="preserve">（1）预算编制（12分）           </w:t>
      </w:r>
    </w:p>
    <w:p w14:paraId="4D17E58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rPr>
      </w:pPr>
      <w:r>
        <w:rPr>
          <w:rFonts w:hint="default" w:ascii="Times New Roman" w:hAnsi="Times New Roman" w:eastAsia="方正仿宋_GBK" w:cs="Times New Roman"/>
          <w:color w:val="000000"/>
          <w:kern w:val="0"/>
          <w:sz w:val="32"/>
          <w:szCs w:val="32"/>
          <w:highlight w:val="none"/>
          <w:shd w:val="clear" w:color="auto" w:fill="FFFFFF"/>
          <w:lang w:val="zh-CN"/>
        </w:rPr>
        <w:t>严格按照《</w:t>
      </w:r>
      <w:r>
        <w:rPr>
          <w:rFonts w:hint="default" w:ascii="Times New Roman" w:hAnsi="Times New Roman" w:eastAsia="方正仿宋_GBK" w:cs="Times New Roman"/>
          <w:color w:val="000000"/>
          <w:kern w:val="0"/>
          <w:sz w:val="32"/>
          <w:szCs w:val="32"/>
          <w:highlight w:val="none"/>
          <w:shd w:val="clear" w:color="auto" w:fill="FFFFFF"/>
          <w:lang w:val="en-US" w:eastAsia="zh-CN"/>
        </w:rPr>
        <w:t>中华人民共和国</w:t>
      </w:r>
      <w:r>
        <w:rPr>
          <w:rFonts w:hint="default" w:ascii="Times New Roman" w:hAnsi="Times New Roman" w:eastAsia="方正仿宋_GBK" w:cs="Times New Roman"/>
          <w:color w:val="000000"/>
          <w:kern w:val="0"/>
          <w:sz w:val="32"/>
          <w:szCs w:val="32"/>
          <w:highlight w:val="none"/>
          <w:shd w:val="clear" w:color="auto" w:fill="FFFFFF"/>
          <w:lang w:val="zh-CN"/>
        </w:rPr>
        <w:t>预算法》</w:t>
      </w:r>
      <w:r>
        <w:rPr>
          <w:rFonts w:hint="default" w:ascii="Times New Roman" w:hAnsi="Times New Roman" w:eastAsia="方正仿宋_GBK" w:cs="Times New Roman"/>
          <w:color w:val="000000"/>
          <w:kern w:val="0"/>
          <w:sz w:val="32"/>
          <w:szCs w:val="32"/>
          <w:highlight w:val="none"/>
          <w:shd w:val="clear" w:color="auto" w:fill="FFFFFF"/>
          <w:lang w:val="en-US" w:eastAsia="zh-CN"/>
        </w:rPr>
        <w:t>相关规定</w:t>
      </w:r>
      <w:r>
        <w:rPr>
          <w:rFonts w:hint="default" w:ascii="Times New Roman" w:hAnsi="Times New Roman" w:eastAsia="方正仿宋_GBK" w:cs="Times New Roman"/>
          <w:color w:val="000000"/>
          <w:kern w:val="0"/>
          <w:sz w:val="32"/>
          <w:szCs w:val="32"/>
          <w:highlight w:val="none"/>
          <w:shd w:val="clear" w:color="auto" w:fill="FFFFFF"/>
          <w:lang w:val="zh-CN"/>
        </w:rPr>
        <w:t>进行预算编制，选定目标类项目资金严格执行审批制度，进行事前绩效评估按照项目资金登记入库流程，事前有绩效事中有审批事后有监管。</w:t>
      </w:r>
    </w:p>
    <w:p w14:paraId="425AFF0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县委社会工作部2024年年初预算为82.2万元，全年预算数为82.2万元，一般公共预算财政拨款为82.2万元，决算数82.2万元，</w:t>
      </w:r>
      <w:r>
        <w:rPr>
          <w:rFonts w:hint="default" w:ascii="Times New Roman" w:hAnsi="Times New Roman" w:eastAsia="方正仿宋_GBK" w:cs="Times New Roman"/>
          <w:color w:val="000000"/>
          <w:kern w:val="0"/>
          <w:sz w:val="32"/>
          <w:szCs w:val="32"/>
          <w:highlight w:val="none"/>
          <w:shd w:val="clear" w:color="auto" w:fill="FFFFFF"/>
          <w:lang w:val="zh-CN"/>
        </w:rPr>
        <w:t>预算年终结余</w:t>
      </w:r>
      <w:r>
        <w:rPr>
          <w:rFonts w:hint="default" w:ascii="Times New Roman" w:hAnsi="Times New Roman" w:eastAsia="方正仿宋_GBK" w:cs="Times New Roman"/>
          <w:color w:val="000000"/>
          <w:kern w:val="0"/>
          <w:sz w:val="32"/>
          <w:szCs w:val="32"/>
          <w:highlight w:val="none"/>
          <w:shd w:val="clear" w:color="auto" w:fill="FFFFFF"/>
          <w:lang w:val="en-US" w:eastAsia="zh-CN"/>
        </w:rPr>
        <w:t>0元。该</w:t>
      </w:r>
      <w:r>
        <w:rPr>
          <w:rFonts w:hint="default" w:ascii="Times New Roman" w:hAnsi="Times New Roman" w:eastAsia="方正仿宋_GBK" w:cs="Times New Roman"/>
          <w:color w:val="auto"/>
          <w:kern w:val="0"/>
          <w:sz w:val="32"/>
          <w:szCs w:val="32"/>
          <w:highlight w:val="none"/>
          <w:shd w:val="clear" w:color="auto" w:fill="FFFFFF"/>
          <w:lang w:val="en-US" w:eastAsia="zh-CN"/>
        </w:rPr>
        <w:t>项指标得分12分。</w:t>
      </w:r>
    </w:p>
    <w:p w14:paraId="4E1D66B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shd w:val="clear" w:fill="FFFFFF"/>
          <w:lang w:val="en-US" w:eastAsia="zh-CN" w:bidi="ar-SA"/>
        </w:rPr>
        <w:t>（2）</w:t>
      </w:r>
      <w:r>
        <w:rPr>
          <w:rFonts w:hint="default" w:ascii="Times New Roman" w:hAnsi="Times New Roman" w:eastAsia="方正仿宋_GBK" w:cs="Times New Roman"/>
          <w:color w:val="000000"/>
          <w:kern w:val="0"/>
          <w:sz w:val="32"/>
          <w:szCs w:val="32"/>
          <w:highlight w:val="none"/>
          <w:shd w:val="clear" w:color="auto" w:fill="FFFFFF"/>
          <w:lang w:val="en-US" w:eastAsia="zh-CN"/>
        </w:rPr>
        <w:t>支出执行（6分）</w:t>
      </w:r>
    </w:p>
    <w:p w14:paraId="3A313100">
      <w:pPr>
        <w:keepNext w:val="0"/>
        <w:keepLines w:val="0"/>
        <w:pageBreakBefore w:val="0"/>
        <w:widowControl w:val="0"/>
        <w:numPr>
          <w:ilvl w:val="0"/>
          <w:numId w:val="0"/>
        </w:numPr>
        <w:tabs>
          <w:tab w:val="left" w:pos="906"/>
        </w:tab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en-US" w:eastAsia="zh-CN"/>
        </w:rPr>
        <w:t>中国共产党渠县委员会社会工作部2024年1至12月支出实际执行数82.2万元，预算执行率100%，未发生支出预警和支出违规的情况。该项指标得分6分。</w:t>
      </w:r>
    </w:p>
    <w:p w14:paraId="0F22328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shd w:val="clear" w:fill="FFFFFF"/>
          <w:lang w:val="en-US" w:eastAsia="zh-CN" w:bidi="ar-SA"/>
        </w:rPr>
        <w:t>（3）</w:t>
      </w:r>
      <w:r>
        <w:rPr>
          <w:rFonts w:hint="default" w:ascii="Times New Roman" w:hAnsi="Times New Roman" w:eastAsia="方正仿宋_GBK" w:cs="Times New Roman"/>
          <w:color w:val="auto"/>
          <w:kern w:val="0"/>
          <w:sz w:val="32"/>
          <w:szCs w:val="32"/>
          <w:highlight w:val="none"/>
          <w:shd w:val="clear" w:color="auto" w:fill="FFFFFF"/>
          <w:lang w:val="en-US" w:eastAsia="zh-CN"/>
        </w:rPr>
        <w:t>年终结余（2分）</w:t>
      </w:r>
    </w:p>
    <w:p w14:paraId="0ADB7B6D">
      <w:pPr>
        <w:keepNext w:val="0"/>
        <w:keepLines w:val="0"/>
        <w:pageBreakBefore w:val="0"/>
        <w:widowControl w:val="0"/>
        <w:numPr>
          <w:ilvl w:val="0"/>
          <w:numId w:val="0"/>
        </w:numPr>
        <w:tabs>
          <w:tab w:val="left" w:pos="1026"/>
        </w:tab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en-US" w:eastAsia="zh-CN"/>
        </w:rPr>
        <w:t>2024年我单位无注销和结转金额。该项指标得分2分。</w:t>
      </w:r>
    </w:p>
    <w:p w14:paraId="696DE2E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（4）严控一般性支出（5分）</w:t>
      </w:r>
    </w:p>
    <w:p w14:paraId="5E4D7FD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en-US" w:eastAsia="zh-CN"/>
        </w:rPr>
        <w:t>我部严控“三公”经费、会议、培训、差旅、办公设备购置、信息网络及软件购置更新等一般性支出情况。2024年“三公”经费支出0万元。该项指标得分5分。</w:t>
      </w:r>
    </w:p>
    <w:p w14:paraId="649DDB6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zh-CN"/>
        </w:rPr>
      </w:pPr>
      <w:r>
        <w:rPr>
          <w:rFonts w:hint="default" w:ascii="Times New Roman" w:hAnsi="Times New Roman" w:eastAsia="方正仿宋_GBK" w:cs="Times New Roman"/>
          <w:color w:val="auto"/>
          <w:kern w:val="0"/>
          <w:sz w:val="32"/>
          <w:szCs w:val="32"/>
          <w:shd w:val="clear" w:fill="FFFFFF"/>
          <w:lang w:val="zh-CN" w:eastAsia="zh-CN" w:bidi="ar-SA"/>
        </w:rPr>
        <w:t>3.</w:t>
      </w:r>
      <w:r>
        <w:rPr>
          <w:rFonts w:hint="default" w:ascii="Times New Roman" w:hAnsi="Times New Roman" w:eastAsia="方正仿宋_GBK" w:cs="Times New Roman"/>
          <w:color w:val="auto"/>
          <w:kern w:val="0"/>
          <w:sz w:val="32"/>
          <w:szCs w:val="32"/>
          <w:highlight w:val="none"/>
          <w:shd w:val="clear" w:color="auto" w:fill="FFFFFF"/>
          <w:lang w:val="zh-CN"/>
        </w:rPr>
        <w:t>财务管理（</w:t>
      </w:r>
      <w:r>
        <w:rPr>
          <w:rFonts w:hint="default" w:ascii="Times New Roman" w:hAnsi="Times New Roman" w:eastAsia="方正仿宋_GBK" w:cs="Times New Roman"/>
          <w:color w:val="auto"/>
          <w:kern w:val="0"/>
          <w:sz w:val="32"/>
          <w:szCs w:val="32"/>
          <w:highlight w:val="none"/>
          <w:shd w:val="clear" w:color="auto" w:fill="FFFFFF"/>
          <w:lang w:val="en-US" w:eastAsia="zh-CN"/>
        </w:rPr>
        <w:t>10分</w:t>
      </w:r>
      <w:r>
        <w:rPr>
          <w:rFonts w:hint="default" w:ascii="Times New Roman" w:hAnsi="Times New Roman" w:eastAsia="方正仿宋_GBK" w:cs="Times New Roman"/>
          <w:color w:val="auto"/>
          <w:kern w:val="0"/>
          <w:sz w:val="32"/>
          <w:szCs w:val="32"/>
          <w:highlight w:val="none"/>
          <w:shd w:val="clear" w:color="auto" w:fill="FFFFFF"/>
          <w:lang w:val="zh-CN"/>
        </w:rPr>
        <w:t>）</w:t>
      </w:r>
    </w:p>
    <w:p w14:paraId="09F1878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en-US" w:eastAsia="zh-CN"/>
        </w:rPr>
        <w:t>我部制定了财务管理相关制度，各项经济活动均严格按照制度要求落实。设置了财务工作岗位，明确职责权限，并严格实行不相容岗位分离规定。资金使用符合相关财务管理制度规定。该项指标得分10分。</w:t>
      </w:r>
    </w:p>
    <w:p w14:paraId="742D2E78">
      <w:pPr>
        <w:keepNext w:val="0"/>
        <w:keepLines w:val="0"/>
        <w:pageBreakBefore w:val="0"/>
        <w:numPr>
          <w:ilvl w:val="0"/>
          <w:numId w:val="0"/>
        </w:numPr>
        <w:kinsoku/>
        <w:wordWrap/>
        <w:overflowPunct/>
        <w:topLinePunct w:val="0"/>
        <w:autoSpaceDE/>
        <w:autoSpaceDN/>
        <w:bidi w:val="0"/>
        <w:spacing w:line="578" w:lineRule="exact"/>
        <w:ind w:firstLine="640" w:firstLineChars="200"/>
        <w:jc w:val="left"/>
        <w:textAlignment w:val="auto"/>
        <w:rPr>
          <w:rFonts w:hint="default" w:ascii="Times New Roman" w:hAnsi="Times New Roman" w:eastAsia="方正仿宋_GBK" w:cs="Times New Roman"/>
          <w:color w:val="auto"/>
          <w:kern w:val="0"/>
          <w:sz w:val="32"/>
          <w:szCs w:val="32"/>
          <w:highlight w:val="none"/>
          <w:shd w:val="clear" w:color="auto" w:fill="FFFFFF"/>
          <w:lang w:val="zh-CN"/>
        </w:rPr>
      </w:pPr>
      <w:r>
        <w:rPr>
          <w:rFonts w:hint="default" w:ascii="Times New Roman" w:hAnsi="Times New Roman" w:eastAsia="方正仿宋_GBK" w:cs="Times New Roman"/>
          <w:color w:val="auto"/>
          <w:kern w:val="0"/>
          <w:sz w:val="32"/>
          <w:szCs w:val="32"/>
          <w:shd w:val="clear" w:fill="FFFFFF"/>
          <w:lang w:val="zh-CN" w:eastAsia="zh-CN" w:bidi="ar-SA"/>
        </w:rPr>
        <w:t>4.</w:t>
      </w:r>
      <w:r>
        <w:rPr>
          <w:rFonts w:hint="default" w:ascii="Times New Roman" w:hAnsi="Times New Roman" w:eastAsia="方正仿宋_GBK" w:cs="Times New Roman"/>
          <w:color w:val="auto"/>
          <w:kern w:val="0"/>
          <w:sz w:val="32"/>
          <w:szCs w:val="32"/>
          <w:highlight w:val="none"/>
          <w:shd w:val="clear" w:color="auto" w:fill="FFFFFF"/>
          <w:lang w:val="zh-CN"/>
        </w:rPr>
        <w:t>资产管理（</w:t>
      </w:r>
      <w:r>
        <w:rPr>
          <w:rFonts w:hint="default" w:ascii="Times New Roman" w:hAnsi="Times New Roman" w:eastAsia="方正仿宋_GBK" w:cs="Times New Roman"/>
          <w:color w:val="auto"/>
          <w:kern w:val="0"/>
          <w:sz w:val="32"/>
          <w:szCs w:val="32"/>
          <w:highlight w:val="none"/>
          <w:shd w:val="clear" w:color="auto" w:fill="FFFFFF"/>
          <w:lang w:val="en-US" w:eastAsia="zh-CN"/>
        </w:rPr>
        <w:t>9分</w:t>
      </w:r>
      <w:r>
        <w:rPr>
          <w:rFonts w:hint="default" w:ascii="Times New Roman" w:hAnsi="Times New Roman" w:eastAsia="方正仿宋_GBK" w:cs="Times New Roman"/>
          <w:color w:val="auto"/>
          <w:kern w:val="0"/>
          <w:sz w:val="32"/>
          <w:szCs w:val="32"/>
          <w:highlight w:val="none"/>
          <w:shd w:val="clear" w:color="auto" w:fill="FFFFFF"/>
          <w:lang w:val="zh-CN"/>
        </w:rPr>
        <w:t>）</w:t>
      </w:r>
    </w:p>
    <w:p w14:paraId="549AF89C">
      <w:pPr>
        <w:keepNext w:val="0"/>
        <w:keepLines w:val="0"/>
        <w:pageBreakBefore w:val="0"/>
        <w:numPr>
          <w:ilvl w:val="0"/>
          <w:numId w:val="0"/>
        </w:numPr>
        <w:kinsoku/>
        <w:wordWrap/>
        <w:overflowPunct/>
        <w:topLinePunct w:val="0"/>
        <w:autoSpaceDE/>
        <w:autoSpaceDN/>
        <w:bidi w:val="0"/>
        <w:spacing w:line="578" w:lineRule="exact"/>
        <w:ind w:firstLine="640" w:firstLineChars="200"/>
        <w:jc w:val="left"/>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zh-CN"/>
        </w:rPr>
        <w:t>2024</w:t>
      </w:r>
      <w:r>
        <w:rPr>
          <w:rFonts w:hint="default" w:ascii="Times New Roman" w:hAnsi="Times New Roman" w:eastAsia="方正仿宋_GBK" w:cs="Times New Roman"/>
          <w:color w:val="auto"/>
          <w:kern w:val="0"/>
          <w:sz w:val="32"/>
          <w:szCs w:val="32"/>
          <w:highlight w:val="none"/>
          <w:shd w:val="clear" w:color="auto" w:fill="FFFFFF"/>
          <w:lang w:val="zh-CN" w:eastAsia="zh-CN"/>
        </w:rPr>
        <w:t>年末</w:t>
      </w:r>
      <w:r>
        <w:rPr>
          <w:rFonts w:hint="default" w:ascii="Times New Roman" w:hAnsi="Times New Roman" w:eastAsia="方正仿宋_GBK" w:cs="Times New Roman"/>
          <w:color w:val="auto"/>
          <w:kern w:val="0"/>
          <w:sz w:val="32"/>
          <w:szCs w:val="32"/>
          <w:highlight w:val="none"/>
          <w:shd w:val="clear" w:color="auto" w:fill="FFFFFF"/>
          <w:lang w:val="zh-CN"/>
        </w:rPr>
        <w:t>，本单位资产总额0.5万元，其中：流动资产0.5万元，占比100%；非流动资产0元，占比0%；货币资金0.5万元，占比总资产100% ，货币资金/总资产高于25%，系由于本单位2024年</w:t>
      </w:r>
      <w:r>
        <w:rPr>
          <w:rFonts w:hint="default" w:ascii="Times New Roman" w:hAnsi="Times New Roman" w:eastAsia="方正仿宋_GBK" w:cs="Times New Roman"/>
          <w:color w:val="auto"/>
          <w:kern w:val="0"/>
          <w:sz w:val="32"/>
          <w:szCs w:val="32"/>
          <w:highlight w:val="none"/>
          <w:shd w:val="clear" w:color="auto" w:fill="FFFFFF"/>
          <w:lang w:val="en-US" w:eastAsia="zh-CN"/>
        </w:rPr>
        <w:t>4</w:t>
      </w:r>
      <w:r>
        <w:rPr>
          <w:rFonts w:hint="default" w:ascii="Times New Roman" w:hAnsi="Times New Roman" w:eastAsia="方正仿宋_GBK" w:cs="Times New Roman"/>
          <w:color w:val="auto"/>
          <w:kern w:val="0"/>
          <w:sz w:val="32"/>
          <w:szCs w:val="32"/>
          <w:highlight w:val="none"/>
          <w:shd w:val="clear" w:color="auto" w:fill="FFFFFF"/>
          <w:lang w:val="zh-CN"/>
        </w:rPr>
        <w:t>月成立，固定资产等非流动资产尚未</w:t>
      </w:r>
      <w:r>
        <w:rPr>
          <w:rFonts w:hint="eastAsia" w:ascii="Times New Roman" w:hAnsi="Times New Roman" w:eastAsia="方正仿宋_GBK" w:cs="Times New Roman"/>
          <w:color w:val="auto"/>
          <w:kern w:val="0"/>
          <w:sz w:val="32"/>
          <w:szCs w:val="32"/>
          <w:highlight w:val="none"/>
          <w:shd w:val="clear" w:color="auto" w:fill="FFFFFF"/>
          <w:lang w:val="en-US" w:eastAsia="zh-CN"/>
        </w:rPr>
        <w:t>大规模</w:t>
      </w:r>
      <w:r>
        <w:rPr>
          <w:rFonts w:hint="default" w:ascii="Times New Roman" w:hAnsi="Times New Roman" w:eastAsia="方正仿宋_GBK" w:cs="Times New Roman"/>
          <w:color w:val="auto"/>
          <w:kern w:val="0"/>
          <w:sz w:val="32"/>
          <w:szCs w:val="32"/>
          <w:highlight w:val="none"/>
          <w:shd w:val="clear" w:color="auto" w:fill="FFFFFF"/>
          <w:lang w:val="zh-CN"/>
        </w:rPr>
        <w:t>购置。制定了资产管理制度，有专人负责，对固定资产建立</w:t>
      </w:r>
      <w:r>
        <w:rPr>
          <w:rFonts w:hint="eastAsia" w:eastAsia="方正仿宋_GBK" w:cs="Times New Roman"/>
          <w:color w:val="auto"/>
          <w:kern w:val="0"/>
          <w:sz w:val="32"/>
          <w:szCs w:val="32"/>
          <w:highlight w:val="none"/>
          <w:shd w:val="clear" w:color="auto" w:fill="FFFFFF"/>
          <w:lang w:val="zh-CN"/>
        </w:rPr>
        <w:t>台账</w:t>
      </w:r>
      <w:r>
        <w:rPr>
          <w:rFonts w:hint="default" w:ascii="Times New Roman" w:hAnsi="Times New Roman" w:eastAsia="方正仿宋_GBK" w:cs="Times New Roman"/>
          <w:color w:val="auto"/>
          <w:kern w:val="0"/>
          <w:sz w:val="32"/>
          <w:szCs w:val="32"/>
          <w:highlight w:val="none"/>
          <w:shd w:val="clear" w:color="auto" w:fill="FFFFFF"/>
          <w:lang w:val="zh-CN"/>
        </w:rPr>
        <w:t>，按照编制数和实有人员情况来配备固定资产，严格按照固定资产采购相关规定流程、对报废资产严格把关，杜绝了国有资产的流失。</w:t>
      </w:r>
      <w:r>
        <w:rPr>
          <w:rFonts w:hint="default" w:ascii="Times New Roman" w:hAnsi="Times New Roman" w:eastAsia="方正仿宋_GBK" w:cs="Times New Roman"/>
          <w:color w:val="auto"/>
          <w:kern w:val="0"/>
          <w:sz w:val="32"/>
          <w:szCs w:val="32"/>
          <w:highlight w:val="none"/>
          <w:shd w:val="clear" w:color="auto" w:fill="FFFFFF"/>
          <w:lang w:val="en-US" w:eastAsia="zh-CN"/>
        </w:rPr>
        <w:t>该项指标得分9分。</w:t>
      </w:r>
    </w:p>
    <w:p w14:paraId="42DE7CE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zh-CN"/>
        </w:rPr>
      </w:pPr>
      <w:r>
        <w:rPr>
          <w:rFonts w:hint="default" w:ascii="Times New Roman" w:hAnsi="Times New Roman" w:eastAsia="方正仿宋_GBK" w:cs="Times New Roman"/>
          <w:color w:val="auto"/>
          <w:kern w:val="0"/>
          <w:sz w:val="32"/>
          <w:szCs w:val="32"/>
          <w:shd w:val="clear" w:fill="FFFFFF"/>
          <w:lang w:val="zh-CN" w:eastAsia="zh-CN" w:bidi="ar-SA"/>
        </w:rPr>
        <w:t>5.</w:t>
      </w:r>
      <w:r>
        <w:rPr>
          <w:rFonts w:hint="default" w:ascii="Times New Roman" w:hAnsi="Times New Roman" w:eastAsia="方正仿宋_GBK" w:cs="Times New Roman"/>
          <w:color w:val="auto"/>
          <w:kern w:val="0"/>
          <w:sz w:val="32"/>
          <w:szCs w:val="32"/>
          <w:highlight w:val="none"/>
          <w:shd w:val="clear" w:color="auto" w:fill="FFFFFF"/>
          <w:lang w:val="zh-CN"/>
        </w:rPr>
        <w:t>采购管理（</w:t>
      </w:r>
      <w:r>
        <w:rPr>
          <w:rFonts w:hint="default" w:ascii="Times New Roman" w:hAnsi="Times New Roman" w:eastAsia="方正仿宋_GBK" w:cs="Times New Roman"/>
          <w:color w:val="auto"/>
          <w:kern w:val="0"/>
          <w:sz w:val="32"/>
          <w:szCs w:val="32"/>
          <w:highlight w:val="none"/>
          <w:shd w:val="clear" w:color="auto" w:fill="FFFFFF"/>
          <w:lang w:val="en-US" w:eastAsia="zh-CN"/>
        </w:rPr>
        <w:t>6分</w:t>
      </w:r>
      <w:r>
        <w:rPr>
          <w:rFonts w:hint="default" w:ascii="Times New Roman" w:hAnsi="Times New Roman" w:eastAsia="方正仿宋_GBK" w:cs="Times New Roman"/>
          <w:color w:val="auto"/>
          <w:kern w:val="0"/>
          <w:sz w:val="32"/>
          <w:szCs w:val="32"/>
          <w:highlight w:val="none"/>
          <w:shd w:val="clear" w:color="auto" w:fill="FFFFFF"/>
          <w:lang w:val="zh-CN"/>
        </w:rPr>
        <w:t>）</w:t>
      </w:r>
    </w:p>
    <w:p w14:paraId="24B053BF">
      <w:pPr>
        <w:keepNext w:val="0"/>
        <w:keepLines w:val="0"/>
        <w:pageBreakBefore w:val="0"/>
        <w:widowControl w:val="0"/>
        <w:numPr>
          <w:ilvl w:val="0"/>
          <w:numId w:val="0"/>
        </w:numPr>
        <w:tabs>
          <w:tab w:val="left" w:pos="846"/>
        </w:tab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zh-CN"/>
        </w:rPr>
        <w:tab/>
      </w:r>
      <w:r>
        <w:rPr>
          <w:rFonts w:hint="default" w:ascii="Times New Roman" w:hAnsi="Times New Roman" w:eastAsia="方正仿宋_GBK" w:cs="Times New Roman"/>
          <w:color w:val="auto"/>
          <w:kern w:val="0"/>
          <w:sz w:val="32"/>
          <w:szCs w:val="32"/>
          <w:highlight w:val="none"/>
          <w:shd w:val="clear" w:color="auto" w:fill="FFFFFF"/>
          <w:lang w:val="en-US" w:eastAsia="zh-CN"/>
        </w:rPr>
        <w:t>2024年无政府采购预算和支出。该项指标得分6分。</w:t>
      </w:r>
    </w:p>
    <w:p w14:paraId="1C2D12F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0"/>
          <w:sz w:val="32"/>
          <w:szCs w:val="32"/>
          <w:highlight w:val="none"/>
          <w:shd w:val="clear" w:color="auto" w:fill="FFFFFF"/>
          <w:lang w:val="zh-CN"/>
        </w:rPr>
        <w:t>（二）部门预算项目绩效分析</w:t>
      </w:r>
    </w:p>
    <w:p w14:paraId="0E545B3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zh-CN" w:eastAsia="zh-CN"/>
        </w:rPr>
      </w:pPr>
      <w:r>
        <w:rPr>
          <w:rFonts w:hint="default" w:ascii="Times New Roman" w:hAnsi="Times New Roman" w:eastAsia="方正仿宋_GBK" w:cs="Times New Roman"/>
          <w:color w:val="auto"/>
          <w:kern w:val="2"/>
          <w:sz w:val="32"/>
          <w:szCs w:val="32"/>
          <w:highlight w:val="none"/>
          <w:lang w:val="en-US" w:eastAsia="zh-CN" w:bidi="ar-SA"/>
        </w:rPr>
        <w:t>常年项目绩效分析。</w:t>
      </w:r>
      <w:r>
        <w:rPr>
          <w:rFonts w:hint="default" w:ascii="Times New Roman" w:hAnsi="Times New Roman" w:eastAsia="方正仿宋_GBK" w:cs="Times New Roman"/>
          <w:color w:val="auto"/>
          <w:kern w:val="0"/>
          <w:sz w:val="32"/>
          <w:szCs w:val="32"/>
          <w:highlight w:val="none"/>
          <w:shd w:val="clear" w:color="auto" w:fill="FFFFFF"/>
          <w:lang w:val="zh-CN" w:eastAsia="zh-CN"/>
        </w:rPr>
        <w:t>该类项目总数</w:t>
      </w:r>
      <w:r>
        <w:rPr>
          <w:rFonts w:hint="default" w:ascii="Times New Roman" w:hAnsi="Times New Roman" w:eastAsia="方正仿宋_GBK" w:cs="Times New Roman"/>
          <w:color w:val="auto"/>
          <w:kern w:val="0"/>
          <w:sz w:val="32"/>
          <w:szCs w:val="32"/>
          <w:highlight w:val="none"/>
          <w:shd w:val="clear" w:color="auto" w:fill="FFFFFF"/>
          <w:lang w:val="en-US" w:eastAsia="zh-CN"/>
        </w:rPr>
        <w:t>3</w:t>
      </w:r>
      <w:r>
        <w:rPr>
          <w:rFonts w:hint="default" w:ascii="Times New Roman" w:hAnsi="Times New Roman" w:eastAsia="方正仿宋_GBK" w:cs="Times New Roman"/>
          <w:color w:val="auto"/>
          <w:kern w:val="0"/>
          <w:sz w:val="32"/>
          <w:szCs w:val="32"/>
          <w:highlight w:val="none"/>
          <w:shd w:val="clear" w:color="auto" w:fill="FFFFFF"/>
          <w:lang w:val="zh-CN" w:eastAsia="zh-CN"/>
        </w:rPr>
        <w:t>个，涉及预算总金额</w:t>
      </w:r>
      <w:r>
        <w:rPr>
          <w:rFonts w:hint="default" w:ascii="Times New Roman" w:hAnsi="Times New Roman" w:eastAsia="方正仿宋_GBK" w:cs="Times New Roman"/>
          <w:color w:val="auto"/>
          <w:kern w:val="0"/>
          <w:sz w:val="32"/>
          <w:szCs w:val="32"/>
          <w:highlight w:val="none"/>
          <w:shd w:val="clear" w:color="auto" w:fill="FFFFFF"/>
          <w:lang w:val="en-US" w:eastAsia="zh-CN"/>
        </w:rPr>
        <w:t>60.67</w:t>
      </w:r>
      <w:r>
        <w:rPr>
          <w:rFonts w:hint="default" w:ascii="Times New Roman" w:hAnsi="Times New Roman" w:eastAsia="方正仿宋_GBK" w:cs="Times New Roman"/>
          <w:color w:val="auto"/>
          <w:kern w:val="0"/>
          <w:sz w:val="32"/>
          <w:szCs w:val="32"/>
          <w:highlight w:val="none"/>
          <w:shd w:val="clear" w:color="auto" w:fill="FFFFFF"/>
          <w:lang w:val="zh-CN" w:eastAsia="zh-CN"/>
        </w:rPr>
        <w:t>万元，</w:t>
      </w:r>
      <w:r>
        <w:rPr>
          <w:rFonts w:hint="default" w:ascii="Times New Roman" w:hAnsi="Times New Roman" w:eastAsia="方正仿宋_GBK" w:cs="Times New Roman"/>
          <w:color w:val="auto"/>
          <w:kern w:val="0"/>
          <w:sz w:val="32"/>
          <w:szCs w:val="32"/>
          <w:highlight w:val="none"/>
          <w:shd w:val="clear" w:color="auto" w:fill="FFFFFF"/>
          <w:lang w:val="zh-CN"/>
        </w:rPr>
        <w:t>1</w:t>
      </w:r>
      <w:r>
        <w:rPr>
          <w:rFonts w:hint="default" w:ascii="Times New Roman" w:hAnsi="Times New Roman" w:eastAsia="方正仿宋_GBK" w:cs="Times New Roman"/>
          <w:color w:val="auto"/>
          <w:kern w:val="0"/>
          <w:sz w:val="32"/>
          <w:szCs w:val="32"/>
          <w:highlight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shd w:val="clear" w:color="auto" w:fill="FFFFFF"/>
          <w:lang w:val="zh-CN"/>
        </w:rPr>
        <w:t>1</w:t>
      </w:r>
      <w:r>
        <w:rPr>
          <w:rFonts w:hint="default" w:ascii="Times New Roman" w:hAnsi="Times New Roman" w:eastAsia="方正仿宋_GBK" w:cs="Times New Roman"/>
          <w:color w:val="auto"/>
          <w:kern w:val="0"/>
          <w:sz w:val="32"/>
          <w:szCs w:val="32"/>
          <w:highlight w:val="none"/>
          <w:shd w:val="clear" w:color="auto" w:fill="FFFFFF"/>
          <w:lang w:val="en-US" w:eastAsia="zh-CN"/>
        </w:rPr>
        <w:t>2</w:t>
      </w:r>
      <w:r>
        <w:rPr>
          <w:rFonts w:hint="default" w:ascii="Times New Roman" w:hAnsi="Times New Roman" w:eastAsia="方正仿宋_GBK" w:cs="Times New Roman"/>
          <w:color w:val="auto"/>
          <w:kern w:val="0"/>
          <w:sz w:val="32"/>
          <w:szCs w:val="32"/>
          <w:highlight w:val="none"/>
          <w:shd w:val="clear" w:color="auto" w:fill="FFFFFF"/>
          <w:lang w:val="zh-CN"/>
        </w:rPr>
        <w:t>月预算执行总体进度为</w:t>
      </w:r>
      <w:r>
        <w:rPr>
          <w:rFonts w:hint="default" w:ascii="Times New Roman" w:hAnsi="Times New Roman" w:eastAsia="方正仿宋_GBK" w:cs="Times New Roman"/>
          <w:color w:val="auto"/>
          <w:kern w:val="0"/>
          <w:sz w:val="32"/>
          <w:szCs w:val="32"/>
          <w:highlight w:val="none"/>
          <w:shd w:val="clear" w:color="auto" w:fill="FFFFFF"/>
          <w:lang w:val="en-US" w:eastAsia="zh-CN"/>
        </w:rPr>
        <w:t>100</w:t>
      </w:r>
      <w:r>
        <w:rPr>
          <w:rFonts w:hint="default" w:ascii="Times New Roman" w:hAnsi="Times New Roman" w:eastAsia="方正仿宋_GBK" w:cs="Times New Roman"/>
          <w:color w:val="auto"/>
          <w:kern w:val="0"/>
          <w:sz w:val="32"/>
          <w:szCs w:val="32"/>
          <w:highlight w:val="none"/>
          <w:shd w:val="clear" w:color="auto" w:fill="FFFFFF"/>
          <w:lang w:val="zh-CN"/>
        </w:rPr>
        <w:t>%，其中：</w:t>
      </w:r>
      <w:r>
        <w:rPr>
          <w:rFonts w:hint="default" w:ascii="Times New Roman" w:hAnsi="Times New Roman" w:eastAsia="方正仿宋_GBK" w:cs="Times New Roman"/>
          <w:color w:val="auto"/>
          <w:kern w:val="0"/>
          <w:sz w:val="32"/>
          <w:szCs w:val="32"/>
          <w:highlight w:val="none"/>
          <w:shd w:val="clear" w:color="auto" w:fill="FFFFFF"/>
          <w:lang w:val="zh-CN" w:eastAsia="zh-CN"/>
        </w:rPr>
        <w:t>预算结余率大于</w:t>
      </w:r>
      <w:r>
        <w:rPr>
          <w:rFonts w:hint="default" w:ascii="Times New Roman" w:hAnsi="Times New Roman" w:eastAsia="方正仿宋_GBK" w:cs="Times New Roman"/>
          <w:color w:val="auto"/>
          <w:kern w:val="0"/>
          <w:sz w:val="32"/>
          <w:szCs w:val="32"/>
          <w:highlight w:val="none"/>
          <w:shd w:val="clear" w:color="auto" w:fill="FFFFFF"/>
          <w:lang w:val="en-US" w:eastAsia="zh-CN"/>
        </w:rPr>
        <w:t>10%</w:t>
      </w:r>
      <w:r>
        <w:rPr>
          <w:rFonts w:hint="default" w:ascii="Times New Roman" w:hAnsi="Times New Roman" w:eastAsia="方正仿宋_GBK" w:cs="Times New Roman"/>
          <w:color w:val="auto"/>
          <w:kern w:val="0"/>
          <w:sz w:val="32"/>
          <w:szCs w:val="32"/>
          <w:highlight w:val="none"/>
          <w:shd w:val="clear" w:color="auto" w:fill="FFFFFF"/>
          <w:lang w:val="zh-CN" w:eastAsia="zh-CN"/>
        </w:rPr>
        <w:t>的项目共计</w:t>
      </w:r>
      <w:r>
        <w:rPr>
          <w:rFonts w:hint="default" w:ascii="Times New Roman" w:hAnsi="Times New Roman" w:eastAsia="方正仿宋_GBK" w:cs="Times New Roman"/>
          <w:color w:val="auto"/>
          <w:kern w:val="0"/>
          <w:sz w:val="32"/>
          <w:szCs w:val="32"/>
          <w:highlight w:val="none"/>
          <w:shd w:val="clear" w:color="auto" w:fill="FFFFFF"/>
          <w:lang w:val="en-US" w:eastAsia="zh-CN"/>
        </w:rPr>
        <w:t>0</w:t>
      </w:r>
      <w:r>
        <w:rPr>
          <w:rFonts w:hint="default" w:ascii="Times New Roman" w:hAnsi="Times New Roman" w:eastAsia="方正仿宋_GBK" w:cs="Times New Roman"/>
          <w:color w:val="auto"/>
          <w:kern w:val="0"/>
          <w:sz w:val="32"/>
          <w:szCs w:val="32"/>
          <w:highlight w:val="none"/>
          <w:shd w:val="clear" w:color="auto" w:fill="FFFFFF"/>
          <w:lang w:val="zh-CN" w:eastAsia="zh-CN"/>
        </w:rPr>
        <w:t>个。</w:t>
      </w:r>
    </w:p>
    <w:p w14:paraId="547DFF4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2"/>
          <w:sz w:val="32"/>
          <w:szCs w:val="32"/>
          <w:lang w:val="zh-CN" w:eastAsia="zh-CN" w:bidi="ar-SA"/>
        </w:rPr>
        <w:t>1.</w:t>
      </w:r>
      <w:r>
        <w:rPr>
          <w:rFonts w:hint="default" w:ascii="Times New Roman" w:hAnsi="Times New Roman" w:eastAsia="方正仿宋_GBK" w:cs="Times New Roman"/>
          <w:color w:val="auto"/>
          <w:kern w:val="2"/>
          <w:sz w:val="32"/>
          <w:szCs w:val="32"/>
          <w:highlight w:val="none"/>
          <w:lang w:val="zh-CN" w:eastAsia="zh-CN" w:bidi="ar-SA"/>
        </w:rPr>
        <w:t>项目决策（</w:t>
      </w:r>
      <w:r>
        <w:rPr>
          <w:rFonts w:hint="default" w:ascii="Times New Roman" w:hAnsi="Times New Roman" w:eastAsia="方正仿宋_GBK" w:cs="Times New Roman"/>
          <w:color w:val="auto"/>
          <w:kern w:val="2"/>
          <w:sz w:val="32"/>
          <w:szCs w:val="32"/>
          <w:highlight w:val="none"/>
          <w:lang w:val="en-US" w:eastAsia="zh-CN" w:bidi="ar-SA"/>
        </w:rPr>
        <w:t>12分</w:t>
      </w:r>
      <w:r>
        <w:rPr>
          <w:rFonts w:hint="default" w:ascii="Times New Roman" w:hAnsi="Times New Roman" w:eastAsia="方正仿宋_GBK" w:cs="Times New Roman"/>
          <w:color w:val="auto"/>
          <w:kern w:val="2"/>
          <w:sz w:val="32"/>
          <w:szCs w:val="32"/>
          <w:highlight w:val="none"/>
          <w:lang w:val="zh-CN" w:eastAsia="zh-CN" w:bidi="ar-SA"/>
        </w:rPr>
        <w:t>）</w:t>
      </w:r>
    </w:p>
    <w:p w14:paraId="225FD30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shd w:val="clear" w:fill="FFFFFF"/>
          <w:lang w:val="en-US" w:eastAsia="zh-CN" w:bidi="ar-SA"/>
        </w:rPr>
        <w:t>（1）</w:t>
      </w:r>
      <w:r>
        <w:rPr>
          <w:rFonts w:hint="default" w:ascii="Times New Roman" w:hAnsi="Times New Roman" w:eastAsia="方正仿宋_GBK" w:cs="Times New Roman"/>
          <w:color w:val="auto"/>
          <w:kern w:val="0"/>
          <w:sz w:val="32"/>
          <w:szCs w:val="32"/>
          <w:highlight w:val="none"/>
          <w:shd w:val="clear" w:color="auto" w:fill="FFFFFF"/>
          <w:lang w:val="en-US" w:eastAsia="zh-CN"/>
        </w:rPr>
        <w:t>决策程序（4分）。符合事前评估条件的部门预算项目3个，并严格实施了事前评估程序。该项指标得分4分。</w:t>
      </w:r>
    </w:p>
    <w:p w14:paraId="5C55EA3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shd w:val="clear" w:fill="FFFFFF"/>
          <w:lang w:val="en-US" w:eastAsia="zh-CN" w:bidi="ar-SA"/>
        </w:rPr>
        <w:t>（2）</w:t>
      </w:r>
      <w:r>
        <w:rPr>
          <w:rFonts w:hint="default" w:ascii="Times New Roman" w:hAnsi="Times New Roman" w:eastAsia="方正仿宋_GBK" w:cs="Times New Roman"/>
          <w:color w:val="auto"/>
          <w:kern w:val="0"/>
          <w:sz w:val="32"/>
          <w:szCs w:val="32"/>
          <w:highlight w:val="none"/>
          <w:shd w:val="clear" w:color="auto" w:fill="FFFFFF"/>
          <w:lang w:val="en-US" w:eastAsia="zh-CN"/>
        </w:rPr>
        <w:t>目标设置（4分）。2024年，我部部门预算项目共有3个，按照《渠县财政局关于加强2024年预算编制阶段绩效目标管理工作的通知》要求，每个项目分别设置了整体目标和绩效目标，绩效目标要素完整，指标细化量化。该项指标得分4分。</w:t>
      </w:r>
    </w:p>
    <w:p w14:paraId="043FFBE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shd w:val="clear" w:fill="FFFFFF"/>
          <w:lang w:val="en-US" w:eastAsia="zh-CN" w:bidi="ar-SA"/>
        </w:rPr>
        <w:t>（3）</w:t>
      </w:r>
      <w:r>
        <w:rPr>
          <w:rFonts w:hint="default" w:ascii="Times New Roman" w:hAnsi="Times New Roman" w:eastAsia="方正仿宋_GBK" w:cs="Times New Roman"/>
          <w:color w:val="auto"/>
          <w:kern w:val="0"/>
          <w:sz w:val="32"/>
          <w:szCs w:val="32"/>
          <w:highlight w:val="none"/>
          <w:shd w:val="clear" w:color="auto" w:fill="FFFFFF"/>
          <w:lang w:val="en-US" w:eastAsia="zh-CN"/>
        </w:rPr>
        <w:t>项目入库（4分）。2024年，我单位在10月16日前入库3个，经计算，该项指标得分4分。</w:t>
      </w:r>
    </w:p>
    <w:p w14:paraId="2F86243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lang w:val="zh-CN" w:eastAsia="zh-CN" w:bidi="ar-SA"/>
        </w:rPr>
        <w:t>2.</w:t>
      </w:r>
      <w:r>
        <w:rPr>
          <w:rFonts w:hint="default" w:ascii="Times New Roman" w:hAnsi="Times New Roman" w:eastAsia="方正仿宋_GBK" w:cs="Times New Roman"/>
          <w:color w:val="auto"/>
          <w:kern w:val="2"/>
          <w:sz w:val="32"/>
          <w:szCs w:val="32"/>
          <w:highlight w:val="none"/>
          <w:lang w:val="en-US" w:eastAsia="zh-CN" w:bidi="ar-SA"/>
        </w:rPr>
        <w:t>项目执行（12分）</w:t>
      </w:r>
    </w:p>
    <w:p w14:paraId="65C078D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shd w:val="clear" w:fill="FFFFFF"/>
          <w:lang w:val="en-US" w:eastAsia="zh-CN" w:bidi="ar-SA"/>
        </w:rPr>
        <w:t>（1）</w:t>
      </w:r>
      <w:r>
        <w:rPr>
          <w:rFonts w:hint="default" w:ascii="Times New Roman" w:hAnsi="Times New Roman" w:eastAsia="方正仿宋_GBK" w:cs="Times New Roman"/>
          <w:color w:val="auto"/>
          <w:kern w:val="0"/>
          <w:sz w:val="32"/>
          <w:szCs w:val="32"/>
          <w:highlight w:val="none"/>
          <w:shd w:val="clear" w:color="auto" w:fill="FFFFFF"/>
          <w:lang w:val="en-US" w:eastAsia="zh-CN"/>
        </w:rPr>
        <w:t>执行同向（4分）。部门预算项目从列支晋级科目、功能科目分析，实际列支内容与绩效目标设置方向完全同向，无不相符的项目数量。该项指标得分4分。</w:t>
      </w:r>
    </w:p>
    <w:p w14:paraId="69CED46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shd w:val="clear" w:fill="FFFFFF"/>
          <w:lang w:val="en-US" w:eastAsia="zh-CN" w:bidi="ar-SA"/>
        </w:rPr>
        <w:t>（2）</w:t>
      </w:r>
      <w:r>
        <w:rPr>
          <w:rFonts w:hint="default" w:ascii="Times New Roman" w:hAnsi="Times New Roman" w:eastAsia="方正仿宋_GBK" w:cs="Times New Roman"/>
          <w:color w:val="auto"/>
          <w:kern w:val="0"/>
          <w:sz w:val="32"/>
          <w:szCs w:val="32"/>
          <w:highlight w:val="none"/>
          <w:shd w:val="clear" w:color="auto" w:fill="FFFFFF"/>
          <w:lang w:val="en-US" w:eastAsia="zh-CN"/>
        </w:rPr>
        <w:t>项目调整（4分）。一体化系统内不存在预算执行、目标完成等方面问题。该项指标得分4分。</w:t>
      </w:r>
    </w:p>
    <w:p w14:paraId="2D07610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shd w:val="clear" w:fill="FFFFFF"/>
          <w:lang w:val="en-US" w:eastAsia="zh-CN" w:bidi="ar-SA"/>
        </w:rPr>
        <w:t>（3）</w:t>
      </w:r>
      <w:r>
        <w:rPr>
          <w:rFonts w:hint="default" w:ascii="Times New Roman" w:hAnsi="Times New Roman" w:eastAsia="方正仿宋_GBK" w:cs="Times New Roman"/>
          <w:color w:val="auto"/>
          <w:kern w:val="0"/>
          <w:sz w:val="32"/>
          <w:szCs w:val="32"/>
          <w:highlight w:val="none"/>
          <w:shd w:val="clear" w:color="auto" w:fill="FFFFFF"/>
          <w:lang w:val="en-US" w:eastAsia="zh-CN"/>
        </w:rPr>
        <w:t>执行结果（4分）。我部调整后的专项项目预算数60.67万元，支付数60.67万元，支付率100%。该项指标得分4分。</w:t>
      </w:r>
    </w:p>
    <w:p w14:paraId="31241D8D">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3.目标实现</w:t>
      </w:r>
      <w:r>
        <w:rPr>
          <w:rFonts w:hint="default" w:ascii="Times New Roman" w:hAnsi="Times New Roman" w:eastAsia="方正仿宋_GBK" w:cs="Times New Roman"/>
          <w:color w:val="auto"/>
          <w:sz w:val="32"/>
          <w:szCs w:val="32"/>
          <w:lang w:val="en-US" w:eastAsia="zh-CN"/>
        </w:rPr>
        <w:t>（11分）</w:t>
      </w:r>
    </w:p>
    <w:p w14:paraId="216C6F60">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（1）目标完成（4分）。单位所有部门预算项目均已完成。该项指标得分4分。</w:t>
      </w:r>
    </w:p>
    <w:p w14:paraId="28914FCD">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（2）目标偏离（4分）。单位项目内已完成绩效目标均未偏离。该项指标得分4分。</w:t>
      </w:r>
    </w:p>
    <w:p w14:paraId="5702C7C9">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（3）实现效果（3分）。部门预算项目绩效目标达到了设定的效果。该项指标得分3分。</w:t>
      </w:r>
    </w:p>
    <w:p w14:paraId="431C4534">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我部2024年度不涉及国有资本经营预算、社会保险基金预算。</w:t>
      </w:r>
    </w:p>
    <w:p w14:paraId="2DB9E63E">
      <w:pPr>
        <w:keepNext w:val="0"/>
        <w:keepLines w:val="0"/>
        <w:pageBreakBefore w:val="0"/>
        <w:widowControl w:val="0"/>
        <w:numPr>
          <w:ilvl w:val="0"/>
          <w:numId w:val="0"/>
        </w:numPr>
        <w:tabs>
          <w:tab w:val="left" w:pos="996"/>
        </w:tabs>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zh-CN" w:eastAsia="zh-CN"/>
        </w:rPr>
      </w:pPr>
      <w:r>
        <w:rPr>
          <w:rFonts w:hint="default" w:ascii="Times New Roman" w:hAnsi="Times New Roman" w:eastAsia="方正仿宋_GBK" w:cs="Times New Roman"/>
          <w:b/>
          <w:bCs/>
          <w:color w:val="000000"/>
          <w:kern w:val="0"/>
          <w:sz w:val="32"/>
          <w:szCs w:val="32"/>
          <w:shd w:val="clear" w:fill="FFFFFF"/>
          <w:lang w:val="zh-CN" w:eastAsia="zh-CN" w:bidi="ar-SA"/>
        </w:rPr>
        <w:t>（三）</w:t>
      </w:r>
      <w:r>
        <w:rPr>
          <w:rFonts w:hint="default" w:ascii="Times New Roman" w:hAnsi="Times New Roman" w:eastAsia="方正仿宋_GBK" w:cs="Times New Roman"/>
          <w:b/>
          <w:bCs/>
          <w:color w:val="000000"/>
          <w:kern w:val="0"/>
          <w:sz w:val="32"/>
          <w:szCs w:val="32"/>
          <w:highlight w:val="none"/>
          <w:shd w:val="clear" w:color="auto" w:fill="FFFFFF"/>
          <w:lang w:val="zh-CN" w:eastAsia="zh-CN"/>
        </w:rPr>
        <w:t>绩效结果应用情况</w:t>
      </w:r>
    </w:p>
    <w:p w14:paraId="0EC69B23">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default" w:ascii="Times New Roman" w:hAnsi="Times New Roman" w:eastAsia="方正仿宋_GBK" w:cs="Times New Roman"/>
          <w:color w:val="4F81BD" w:themeColor="accent1"/>
          <w:sz w:val="32"/>
          <w:szCs w:val="32"/>
          <w:highlight w:val="none"/>
          <w:u w:val="none"/>
          <w:lang w:val="zh-CN" w:eastAsia="zh-CN" w:bidi="ar"/>
          <w14:textFill>
            <w14:solidFill>
              <w14:schemeClr w14:val="accent1"/>
            </w14:solidFill>
          </w14:textFill>
        </w:rPr>
      </w:pPr>
      <w:r>
        <w:rPr>
          <w:rFonts w:hint="default" w:ascii="Times New Roman" w:hAnsi="Times New Roman" w:eastAsia="方正仿宋_GBK" w:cs="Times New Roman"/>
          <w:color w:val="auto"/>
          <w:sz w:val="32"/>
          <w:szCs w:val="32"/>
        </w:rPr>
        <w:t>本年10月开展了对单位资金执行情况进行绩效监测，对预算资金执行情况开展绩效评价。对单位特定目标项目资金，严格进行事前绩效评价，严把预算关，符合预算的资金才纳入财政预算，并对其共性指标、特性指标、个性指标等进行详细绩效评价，将各种预算资金纳入全年绩效管理。</w:t>
      </w:r>
    </w:p>
    <w:p w14:paraId="095F511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val="zh-CN" w:eastAsia="zh-CN"/>
        </w:rPr>
      </w:pPr>
      <w:r>
        <w:rPr>
          <w:rFonts w:hint="default" w:ascii="Times New Roman" w:hAnsi="Times New Roman" w:eastAsia="黑体" w:cs="Times New Roman"/>
          <w:sz w:val="32"/>
          <w:szCs w:val="32"/>
          <w:highlight w:val="none"/>
          <w:lang w:val="zh-CN" w:eastAsia="zh-CN"/>
        </w:rPr>
        <w:t>四、评价结论及建议</w:t>
      </w:r>
    </w:p>
    <w:p w14:paraId="5429D0C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bCs/>
          <w:color w:val="000000"/>
          <w:kern w:val="0"/>
          <w:sz w:val="32"/>
          <w:szCs w:val="32"/>
          <w:highlight w:val="none"/>
          <w:shd w:val="clear" w:color="auto" w:fill="FFFFFF"/>
          <w:lang w:val="zh-CN"/>
        </w:rPr>
        <w:t>（一）评价结论</w:t>
      </w:r>
    </w:p>
    <w:p w14:paraId="68E388F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按照《部门预算绩效评价指标体系》设定的绩效指标和评分标准，我单位2024年度部门整体支出绩效评价得分92.5分。</w:t>
      </w:r>
    </w:p>
    <w:p w14:paraId="339DB2B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u w:val="none"/>
          <w:lang w:val="en-US" w:eastAsia="zh-CN" w:bidi="ar"/>
        </w:rPr>
      </w:pPr>
      <w:r>
        <w:rPr>
          <w:rFonts w:hint="default" w:ascii="Times New Roman" w:hAnsi="Times New Roman" w:eastAsia="方正仿宋_GBK" w:cs="Times New Roman"/>
          <w:kern w:val="2"/>
          <w:sz w:val="32"/>
          <w:szCs w:val="32"/>
          <w:lang w:val="en-US" w:eastAsia="zh-CN" w:bidi="ar"/>
        </w:rPr>
        <w:t>（二）</w:t>
      </w:r>
      <w:r>
        <w:rPr>
          <w:rFonts w:hint="default" w:ascii="Times New Roman" w:hAnsi="Times New Roman" w:eastAsia="方正仿宋_GBK" w:cs="Times New Roman"/>
          <w:b/>
          <w:bCs/>
          <w:color w:val="000000"/>
          <w:kern w:val="0"/>
          <w:sz w:val="32"/>
          <w:szCs w:val="32"/>
          <w:highlight w:val="none"/>
          <w:shd w:val="clear" w:color="auto" w:fill="FFFFFF"/>
          <w:lang w:val="zh-CN"/>
        </w:rPr>
        <w:t>存在问题</w:t>
      </w:r>
    </w:p>
    <w:p w14:paraId="0447649D">
      <w:pPr>
        <w:keepNext w:val="0"/>
        <w:keepLines w:val="0"/>
        <w:pageBreakBefore w:val="0"/>
        <w:widowControl/>
        <w:numPr>
          <w:ilvl w:val="0"/>
          <w:numId w:val="0"/>
        </w:numPr>
        <w:tabs>
          <w:tab w:val="left" w:pos="1251"/>
        </w:tab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u w:val="none"/>
          <w:lang w:val="en-US" w:eastAsia="zh-CN" w:bidi="ar"/>
        </w:rPr>
      </w:pPr>
      <w:r>
        <w:rPr>
          <w:rFonts w:hint="default" w:ascii="Times New Roman" w:hAnsi="Times New Roman" w:eastAsia="方正仿宋_GBK" w:cs="Times New Roman"/>
          <w:sz w:val="32"/>
          <w:szCs w:val="32"/>
          <w:u w:val="none"/>
          <w:lang w:val="en-US" w:eastAsia="zh-CN" w:bidi="ar"/>
        </w:rPr>
        <w:t>无</w:t>
      </w:r>
    </w:p>
    <w:p w14:paraId="234FC45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sz w:val="32"/>
          <w:szCs w:val="32"/>
          <w:u w:val="none"/>
          <w:lang w:val="en" w:eastAsia="zh-CN" w:bidi="ar"/>
        </w:rPr>
      </w:pPr>
      <w:r>
        <w:rPr>
          <w:rFonts w:hint="default" w:ascii="Times New Roman" w:hAnsi="Times New Roman" w:eastAsia="方正仿宋_GBK" w:cs="Times New Roman"/>
          <w:b/>
          <w:bCs/>
          <w:color w:val="000000"/>
          <w:kern w:val="0"/>
          <w:sz w:val="32"/>
          <w:szCs w:val="32"/>
          <w:highlight w:val="none"/>
          <w:shd w:val="clear" w:color="auto" w:fill="FFFFFF"/>
          <w:lang w:val="zh-CN" w:eastAsia="zh-CN"/>
        </w:rPr>
        <w:t>（三）改进建议</w:t>
      </w:r>
    </w:p>
    <w:p w14:paraId="03EC848E">
      <w:pPr>
        <w:pStyle w:val="7"/>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kern w:val="2"/>
          <w:sz w:val="32"/>
          <w:szCs w:val="32"/>
          <w:u w:val="none"/>
          <w:lang w:val="en-US" w:eastAsia="zh-CN" w:bidi="ar"/>
        </w:rPr>
      </w:pPr>
      <w:r>
        <w:rPr>
          <w:rFonts w:hint="default" w:ascii="Times New Roman" w:hAnsi="Times New Roman" w:eastAsia="方正仿宋_GBK" w:cs="Times New Roman"/>
          <w:kern w:val="2"/>
          <w:sz w:val="32"/>
          <w:szCs w:val="32"/>
          <w:u w:val="none"/>
          <w:lang w:val="en-US" w:eastAsia="zh-CN" w:bidi="ar"/>
        </w:rPr>
        <w:t>在接下来的工作中，将做好项目事前评估，优化项目绩效编制，更科学的细化项目绩效目标，对有偏差的绩效目标进行及时纠正整改。有计划、有步骤、全面有效的实施部门预算绩效管理。</w:t>
      </w:r>
    </w:p>
    <w:p w14:paraId="0E0BB006">
      <w:pPr>
        <w:pStyle w:val="7"/>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sz w:val="32"/>
          <w:szCs w:val="32"/>
          <w:lang w:val="en-US"/>
        </w:rPr>
      </w:pPr>
    </w:p>
    <w:p w14:paraId="5500E2D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w:t>
      </w:r>
      <w:r>
        <w:rPr>
          <w:rFonts w:hint="eastAsia" w:ascii="Times New Roman" w:eastAsia="仿宋_GB2312" w:cs="Times New Roman"/>
          <w:kern w:val="2"/>
          <w:sz w:val="32"/>
          <w:szCs w:val="32"/>
          <w:u w:val="none"/>
          <w:lang w:val="en-US" w:eastAsia="zh-CN" w:bidi="ar"/>
        </w:rPr>
        <w:t>整体</w:t>
      </w:r>
      <w:r>
        <w:rPr>
          <w:rFonts w:hint="eastAsia" w:ascii="Times New Roman" w:hAnsi="Times New Roman" w:eastAsia="仿宋_GB2312" w:cs="Times New Roman"/>
          <w:kern w:val="2"/>
          <w:sz w:val="32"/>
          <w:szCs w:val="32"/>
          <w:u w:val="none"/>
          <w:lang w:val="en-US" w:eastAsia="zh-CN" w:bidi="ar"/>
        </w:rPr>
        <w:t>支出绩效</w:t>
      </w:r>
      <w:r>
        <w:rPr>
          <w:rFonts w:hint="eastAsia" w:ascii="Times New Roman" w:eastAsia="仿宋_GB2312" w:cs="Times New Roman"/>
          <w:kern w:val="2"/>
          <w:sz w:val="32"/>
          <w:szCs w:val="32"/>
          <w:u w:val="none"/>
          <w:lang w:val="en-US" w:eastAsia="zh-CN" w:bidi="ar"/>
        </w:rPr>
        <w:t>目标完成情况</w:t>
      </w:r>
      <w:r>
        <w:rPr>
          <w:rFonts w:hint="eastAsia" w:ascii="Times New Roman" w:hAnsi="Times New Roman" w:eastAsia="仿宋_GB2312" w:cs="Times New Roman"/>
          <w:kern w:val="2"/>
          <w:sz w:val="32"/>
          <w:szCs w:val="32"/>
          <w:u w:val="none"/>
          <w:lang w:val="en-US" w:eastAsia="zh-CN" w:bidi="ar"/>
        </w:rPr>
        <w:t>自评表</w:t>
      </w:r>
    </w:p>
    <w:p w14:paraId="080CF8A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E11844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D04E46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98E110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E3F3D4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DF5C53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E018E3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9"/>
        <w:gridCol w:w="1347"/>
        <w:gridCol w:w="1273"/>
        <w:gridCol w:w="1100"/>
        <w:gridCol w:w="1144"/>
        <w:gridCol w:w="1"/>
        <w:gridCol w:w="1289"/>
        <w:gridCol w:w="1058"/>
        <w:gridCol w:w="926"/>
        <w:gridCol w:w="1113"/>
      </w:tblGrid>
      <w:tr w14:paraId="4281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jc w:val="center"/>
        </w:trPr>
        <w:tc>
          <w:tcPr>
            <w:tcW w:w="10560" w:type="dxa"/>
            <w:gridSpan w:val="10"/>
            <w:noWrap w:val="0"/>
            <w:vAlign w:val="center"/>
          </w:tcPr>
          <w:p w14:paraId="48A1D7A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w:t>
            </w:r>
            <w:r>
              <w:rPr>
                <w:rFonts w:hint="eastAsia" w:ascii="Times New Roman" w:hAnsi="Times New Roman" w:eastAsia="方正小标宋简体" w:cs="Times New Roman"/>
                <w:i w:val="0"/>
                <w:color w:val="000000"/>
                <w:kern w:val="0"/>
                <w:sz w:val="44"/>
                <w:szCs w:val="44"/>
                <w:u w:val="none"/>
                <w:lang w:val="en-US" w:eastAsia="zh-CN" w:bidi="ar"/>
              </w:rPr>
              <w:t>支出</w:t>
            </w:r>
            <w:r>
              <w:rPr>
                <w:rFonts w:hint="default" w:ascii="Times New Roman" w:hAnsi="Times New Roman" w:eastAsia="方正小标宋简体" w:cs="Times New Roman"/>
                <w:i w:val="0"/>
                <w:color w:val="000000"/>
                <w:kern w:val="0"/>
                <w:sz w:val="44"/>
                <w:szCs w:val="44"/>
                <w:u w:val="none"/>
                <w:lang w:val="en-US" w:eastAsia="zh-CN" w:bidi="ar"/>
              </w:rPr>
              <w:t>绩效目标完成情况自评表</w:t>
            </w:r>
          </w:p>
        </w:tc>
      </w:tr>
      <w:tr w14:paraId="137C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noWrap w:val="0"/>
            <w:vAlign w:val="center"/>
          </w:tcPr>
          <w:p w14:paraId="1D7B07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78BA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noWrap w:val="0"/>
            <w:vAlign w:val="center"/>
          </w:tcPr>
          <w:p w14:paraId="344D078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1102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noWrap w:val="0"/>
            <w:vAlign w:val="center"/>
          </w:tcPr>
          <w:p w14:paraId="68C18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26727D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ascii="Times New Roman" w:hAnsi="Times New Roman" w:cs="Times New Roman"/>
                <w:i w:val="0"/>
                <w:color w:val="000000"/>
                <w:kern w:val="0"/>
                <w:sz w:val="24"/>
                <w:szCs w:val="24"/>
                <w:u w:val="none"/>
                <w:lang w:val="en-US" w:eastAsia="zh-CN" w:bidi="ar"/>
              </w:rPr>
              <w:t>中国共产党渠县委员会社会工作部</w:t>
            </w:r>
          </w:p>
        </w:tc>
      </w:tr>
      <w:tr w14:paraId="4C36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7D5DC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07D034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noWrap w:val="0"/>
            <w:vAlign w:val="center"/>
          </w:tcPr>
          <w:p w14:paraId="74EF85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noWrap w:val="0"/>
            <w:vAlign w:val="center"/>
          </w:tcPr>
          <w:p w14:paraId="68291D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20DD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E3C6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1A7A88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ascii="Times New Roman" w:hAnsi="Times New Roman" w:cs="Times New Roman"/>
                <w:i w:val="0"/>
                <w:color w:val="000000"/>
                <w:kern w:val="0"/>
                <w:sz w:val="24"/>
                <w:szCs w:val="24"/>
                <w:u w:val="none"/>
                <w:lang w:val="en-US" w:eastAsia="zh-CN" w:bidi="ar"/>
              </w:rPr>
              <w:t>82.20</w:t>
            </w:r>
          </w:p>
        </w:tc>
        <w:tc>
          <w:tcPr>
            <w:tcW w:w="2244" w:type="dxa"/>
            <w:gridSpan w:val="2"/>
            <w:tcBorders>
              <w:top w:val="single" w:color="000000" w:sz="4" w:space="0"/>
              <w:left w:val="single" w:color="000000" w:sz="4" w:space="0"/>
              <w:bottom w:val="single" w:color="000000" w:sz="4" w:space="0"/>
              <w:right w:val="single" w:color="000000" w:sz="4" w:space="0"/>
            </w:tcBorders>
            <w:noWrap w:val="0"/>
            <w:vAlign w:val="center"/>
          </w:tcPr>
          <w:p w14:paraId="228A95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82.20</w:t>
            </w:r>
          </w:p>
        </w:tc>
        <w:tc>
          <w:tcPr>
            <w:tcW w:w="4387" w:type="dxa"/>
            <w:gridSpan w:val="5"/>
            <w:tcBorders>
              <w:top w:val="single" w:color="000000" w:sz="4" w:space="0"/>
              <w:left w:val="single" w:color="000000" w:sz="4" w:space="0"/>
              <w:bottom w:val="single" w:color="000000" w:sz="4" w:space="0"/>
              <w:right w:val="single" w:color="000000" w:sz="4" w:space="0"/>
            </w:tcBorders>
            <w:noWrap w:val="0"/>
            <w:vAlign w:val="center"/>
          </w:tcPr>
          <w:p w14:paraId="7BCA9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0</w:t>
            </w:r>
          </w:p>
        </w:tc>
      </w:tr>
      <w:tr w14:paraId="7E1B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D153C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3450E3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noWrap w:val="0"/>
            <w:vAlign w:val="center"/>
          </w:tcPr>
          <w:p w14:paraId="2F2943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宋体" w:hAnsi="宋体" w:eastAsia="宋体" w:cs="宋体"/>
                <w:i w:val="0"/>
                <w:iCs w:val="0"/>
                <w:color w:val="000000"/>
                <w:sz w:val="18"/>
                <w:szCs w:val="18"/>
                <w:u w:val="none"/>
                <w:lang w:val="en-US" w:eastAsia="zh-CN"/>
              </w:rPr>
              <w:t>2024年4月29日挂牌成立县委社会工作部，</w:t>
            </w:r>
            <w:r>
              <w:rPr>
                <w:rFonts w:hint="eastAsia" w:ascii="宋体" w:hAnsi="宋体" w:eastAsia="宋体" w:cs="宋体"/>
                <w:i w:val="0"/>
                <w:iCs w:val="0"/>
                <w:color w:val="000000"/>
                <w:sz w:val="18"/>
                <w:szCs w:val="18"/>
                <w:u w:val="none"/>
                <w:lang w:val="en-US" w:eastAsia="zh-CN"/>
              </w:rPr>
              <w:t>在较短时间内实现部门实体化运作，完成机构组建、职能整合、队伍优化等基础性工作，构建起“系统集成、协同高效”的工作体系。全县社会工作服务机制不断完善，新兴领域党建持续加强，基层治理基础逐步夯实，凝聚服务群众工作有声有色，</w:t>
            </w:r>
            <w:r>
              <w:rPr>
                <w:rFonts w:hint="default" w:ascii="宋体" w:hAnsi="宋体" w:eastAsia="宋体" w:cs="宋体"/>
                <w:i w:val="0"/>
                <w:iCs w:val="0"/>
                <w:color w:val="000000"/>
                <w:sz w:val="18"/>
                <w:szCs w:val="18"/>
                <w:u w:val="none"/>
                <w:lang w:val="en-US" w:eastAsia="zh-CN"/>
              </w:rPr>
              <w:t>实现</w:t>
            </w:r>
            <w:r>
              <w:rPr>
                <w:rFonts w:hint="eastAsia" w:ascii="宋体" w:hAnsi="宋体" w:eastAsia="宋体" w:cs="宋体"/>
                <w:i w:val="0"/>
                <w:iCs w:val="0"/>
                <w:color w:val="000000"/>
                <w:sz w:val="18"/>
                <w:szCs w:val="18"/>
                <w:u w:val="none"/>
                <w:lang w:val="en-US" w:eastAsia="zh-CN"/>
              </w:rPr>
              <w:t>我县社会工作</w:t>
            </w:r>
            <w:r>
              <w:rPr>
                <w:rFonts w:hint="default" w:ascii="宋体" w:hAnsi="宋体" w:eastAsia="宋体" w:cs="宋体"/>
                <w:i w:val="0"/>
                <w:iCs w:val="0"/>
                <w:color w:val="000000"/>
                <w:sz w:val="18"/>
                <w:szCs w:val="18"/>
                <w:u w:val="none"/>
                <w:lang w:val="en-US" w:eastAsia="zh-CN"/>
              </w:rPr>
              <w:t>良好开局</w:t>
            </w:r>
            <w:r>
              <w:rPr>
                <w:rFonts w:hint="eastAsia" w:ascii="Times New Roman" w:hAnsi="Times New Roman" w:eastAsia="方正仿宋_GBK" w:cs="Times New Roman"/>
                <w:i w:val="0"/>
                <w:iCs w:val="0"/>
                <w:caps w:val="0"/>
                <w:color w:val="auto"/>
                <w:spacing w:val="0"/>
                <w:sz w:val="24"/>
                <w:szCs w:val="24"/>
                <w:lang w:eastAsia="zh-CN"/>
              </w:rPr>
              <w:t>。</w:t>
            </w:r>
          </w:p>
        </w:tc>
      </w:tr>
      <w:tr w14:paraId="5827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right w:val="single" w:color="000000" w:sz="4" w:space="0"/>
            </w:tcBorders>
            <w:noWrap w:val="0"/>
            <w:vAlign w:val="center"/>
          </w:tcPr>
          <w:p w14:paraId="34B1C1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58C7B5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4930C6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727E7B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1583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6294E43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65254E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基层政权建设和基层治理</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0F895C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sz w:val="18"/>
                <w:szCs w:val="18"/>
                <w:u w:val="none"/>
                <w:lang w:val="en-US" w:eastAsia="zh-CN"/>
              </w:rPr>
              <w:t>健全落实党建引领基层治理领导体制和工作机制，统筹推进党建引领基层治理和基层政权建设，协调推进城乡社区治理体系、服务体系和治理能力建设，推动基层民主建设，指导监督基层群众自治制度的有效实施，健全基层群众自治机制。</w:t>
            </w:r>
          </w:p>
        </w:tc>
      </w:tr>
      <w:tr w14:paraId="690A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72C01EC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51CCCEA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志愿服务</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720A0AD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开展志愿者项目培育及志愿者培训，提高全民素质，促进社会发展进步。</w:t>
            </w:r>
          </w:p>
        </w:tc>
      </w:tr>
      <w:tr w14:paraId="21F0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bottom w:val="single" w:color="000000" w:sz="4" w:space="0"/>
              <w:right w:val="single" w:color="000000" w:sz="4" w:space="0"/>
            </w:tcBorders>
            <w:noWrap w:val="0"/>
            <w:vAlign w:val="center"/>
          </w:tcPr>
          <w:p w14:paraId="0F1A8B2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3FF3C8C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宋体" w:hAnsi="宋体" w:eastAsia="宋体" w:cs="宋体"/>
                <w:i w:val="0"/>
                <w:iCs w:val="0"/>
                <w:color w:val="000000"/>
                <w:kern w:val="0"/>
                <w:sz w:val="18"/>
                <w:szCs w:val="18"/>
                <w:u w:val="none"/>
                <w:lang w:val="en-US" w:eastAsia="zh-CN" w:bidi="ar"/>
              </w:rPr>
            </w:pPr>
            <w:r>
              <w:rPr>
                <w:rFonts w:hint="eastAsia" w:ascii="Times New Roman" w:hAnsi="Times New Roman" w:cs="Times New Roman"/>
                <w:i w:val="0"/>
                <w:color w:val="000000"/>
                <w:sz w:val="24"/>
                <w:szCs w:val="24"/>
                <w:u w:val="none"/>
                <w:lang w:val="en-US" w:eastAsia="zh-CN"/>
              </w:rPr>
              <w:t>两新组织党建</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22CA2E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sz w:val="18"/>
                <w:szCs w:val="18"/>
                <w:u w:val="none"/>
                <w:lang w:val="en-US" w:eastAsia="zh-CN"/>
              </w:rPr>
              <w:t>根据党中央关于抓好新兴领域党建工作的重要指示精神，扎实推进新经济组织、新社会组织、新就业群体党的建设工作，促进新兴领域党建与企业生产经营、产业园区发展、社会治理等深度融合，不断增强基层党组织的政治功能和组织功能，统筹推进新兴领域党建工作“两个覆盖”，服务引领新兴领域各类组织和群体坚定感党恩、听党话、跟党走。</w:t>
            </w:r>
          </w:p>
        </w:tc>
      </w:tr>
      <w:tr w14:paraId="4BF5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30017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63FCE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03B43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F2EF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EF170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3DF120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6DE672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469C1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0226F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noWrap w:val="0"/>
            <w:vAlign w:val="center"/>
          </w:tcPr>
          <w:p w14:paraId="5D0F76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A32DB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4B714E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1EE0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E646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1AA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F112D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100" w:type="dxa"/>
            <w:tcBorders>
              <w:top w:val="single" w:color="000000" w:sz="4" w:space="0"/>
              <w:left w:val="single" w:color="000000" w:sz="4" w:space="0"/>
              <w:right w:val="single" w:color="000000" w:sz="4" w:space="0"/>
            </w:tcBorders>
            <w:noWrap w:val="0"/>
            <w:vAlign w:val="center"/>
          </w:tcPr>
          <w:p w14:paraId="647483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sz w:val="24"/>
                <w:szCs w:val="24"/>
                <w:u w:val="none"/>
                <w:lang w:eastAsia="zh-CN"/>
              </w:rPr>
            </w:pPr>
            <w:r>
              <w:rPr>
                <w:rFonts w:hint="default" w:ascii="宋体" w:hAnsi="宋体" w:eastAsia="宋体" w:cs="宋体"/>
                <w:i w:val="0"/>
                <w:iCs w:val="0"/>
                <w:color w:val="000000"/>
                <w:sz w:val="18"/>
                <w:szCs w:val="18"/>
                <w:u w:val="none"/>
                <w:lang w:val="en-US" w:eastAsia="zh-CN"/>
              </w:rPr>
              <w:t>指导全县村（社区）完成相关工作</w:t>
            </w:r>
            <w:r>
              <w:rPr>
                <w:rFonts w:hint="eastAsia" w:ascii="宋体" w:hAnsi="宋体" w:eastAsia="宋体" w:cs="宋体"/>
                <w:i w:val="0"/>
                <w:iCs w:val="0"/>
                <w:color w:val="000000"/>
                <w:sz w:val="18"/>
                <w:szCs w:val="18"/>
                <w:u w:val="none"/>
                <w:lang w:val="en-US" w:eastAsia="zh-CN"/>
              </w:rPr>
              <w:t>，组建各个职能部门科室，开展志愿者训练、培训及志愿项目培育</w:t>
            </w:r>
          </w:p>
        </w:tc>
        <w:tc>
          <w:tcPr>
            <w:tcW w:w="1145" w:type="dxa"/>
            <w:gridSpan w:val="2"/>
            <w:tcBorders>
              <w:top w:val="single" w:color="000000" w:sz="4" w:space="0"/>
              <w:left w:val="single" w:color="000000" w:sz="4" w:space="0"/>
              <w:right w:val="single" w:color="000000" w:sz="4" w:space="0"/>
            </w:tcBorders>
            <w:noWrap w:val="0"/>
            <w:vAlign w:val="center"/>
          </w:tcPr>
          <w:p w14:paraId="2AE464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Arial" w:hAnsi="Arial" w:eastAsia="宋体" w:cs="Arial"/>
                <w:i w:val="0"/>
                <w:color w:val="000000"/>
                <w:sz w:val="24"/>
                <w:szCs w:val="24"/>
                <w:u w:val="none"/>
              </w:rPr>
              <w:t>≥</w:t>
            </w:r>
          </w:p>
        </w:tc>
        <w:tc>
          <w:tcPr>
            <w:tcW w:w="1289" w:type="dxa"/>
            <w:tcBorders>
              <w:top w:val="single" w:color="000000" w:sz="4" w:space="0"/>
              <w:left w:val="single" w:color="000000" w:sz="4" w:space="0"/>
              <w:right w:val="single" w:color="000000" w:sz="4" w:space="0"/>
            </w:tcBorders>
            <w:noWrap w:val="0"/>
            <w:vAlign w:val="center"/>
          </w:tcPr>
          <w:p w14:paraId="6CF18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415</w:t>
            </w:r>
          </w:p>
        </w:tc>
        <w:tc>
          <w:tcPr>
            <w:tcW w:w="1058" w:type="dxa"/>
            <w:tcBorders>
              <w:top w:val="single" w:color="000000" w:sz="4" w:space="0"/>
              <w:left w:val="single" w:color="000000" w:sz="4" w:space="0"/>
              <w:right w:val="single" w:color="000000" w:sz="4" w:space="0"/>
            </w:tcBorders>
            <w:noWrap w:val="0"/>
            <w:vAlign w:val="center"/>
          </w:tcPr>
          <w:p w14:paraId="112074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个</w:t>
            </w:r>
          </w:p>
        </w:tc>
        <w:tc>
          <w:tcPr>
            <w:tcW w:w="926" w:type="dxa"/>
            <w:tcBorders>
              <w:top w:val="single" w:color="000000" w:sz="4" w:space="0"/>
              <w:left w:val="single" w:color="000000" w:sz="4" w:space="0"/>
              <w:right w:val="single" w:color="000000" w:sz="4" w:space="0"/>
            </w:tcBorders>
            <w:noWrap w:val="0"/>
            <w:vAlign w:val="center"/>
          </w:tcPr>
          <w:p w14:paraId="578A99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w:t>
            </w:r>
          </w:p>
        </w:tc>
        <w:tc>
          <w:tcPr>
            <w:tcW w:w="1113" w:type="dxa"/>
            <w:tcBorders>
              <w:left w:val="single" w:color="000000" w:sz="4" w:space="0"/>
              <w:bottom w:val="single" w:color="000000" w:sz="4" w:space="0"/>
              <w:right w:val="single" w:color="000000" w:sz="4" w:space="0"/>
            </w:tcBorders>
            <w:noWrap w:val="0"/>
            <w:vAlign w:val="center"/>
          </w:tcPr>
          <w:p w14:paraId="2330E7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415</w:t>
            </w:r>
          </w:p>
        </w:tc>
      </w:tr>
      <w:tr w14:paraId="7080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EC79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D7C9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60DFD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DB37F0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宋体" w:hAnsi="宋体" w:eastAsia="宋体" w:cs="宋体"/>
                <w:i w:val="0"/>
                <w:iCs w:val="0"/>
                <w:color w:val="000000"/>
                <w:sz w:val="18"/>
                <w:szCs w:val="18"/>
                <w:u w:val="none"/>
                <w:lang w:val="en-US" w:eastAsia="zh-CN"/>
              </w:rPr>
              <w:t>全县村（社区）基层治理工作完成率</w:t>
            </w:r>
            <w:r>
              <w:rPr>
                <w:rFonts w:hint="eastAsia" w:ascii="宋体" w:hAnsi="宋体" w:eastAsia="宋体" w:cs="宋体"/>
                <w:i w:val="0"/>
                <w:iCs w:val="0"/>
                <w:color w:val="000000"/>
                <w:sz w:val="18"/>
                <w:szCs w:val="18"/>
                <w:u w:val="none"/>
                <w:lang w:val="en-US" w:eastAsia="zh-CN"/>
              </w:rPr>
              <w:t>，社区工作者队伍建设合格率</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358407F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default" w:ascii="Arial" w:hAnsi="Arial" w:eastAsia="宋体" w:cs="Arial"/>
                <w:i w:val="0"/>
                <w:color w:val="000000"/>
                <w:sz w:val="24"/>
                <w:szCs w:val="24"/>
                <w:u w:val="none"/>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33A49D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E4681B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sz w:val="24"/>
                <w:szCs w:val="24"/>
                <w:u w:val="none"/>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CE42C1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2C1916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95</w:t>
            </w:r>
          </w:p>
        </w:tc>
      </w:tr>
      <w:tr w14:paraId="72C8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F1C7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A2A1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48A79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7C308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开展前期筹备组建工作时限</w:t>
            </w:r>
            <w:r>
              <w:rPr>
                <w:rFonts w:hint="eastAsia" w:ascii="宋体" w:hAnsi="宋体" w:cs="宋体"/>
                <w:i w:val="0"/>
                <w:iCs w:val="0"/>
                <w:color w:val="000000"/>
                <w:sz w:val="18"/>
                <w:szCs w:val="18"/>
                <w:u w:val="none"/>
                <w:lang w:val="en-US" w:eastAsia="zh-CN"/>
              </w:rPr>
              <w:t>，常态开展“破解小马拉大车”突出问题专项整治</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68A301E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default" w:ascii="Arial" w:hAnsi="Arial" w:eastAsia="宋体" w:cs="Arial"/>
                <w:i w:val="0"/>
                <w:color w:val="000000"/>
                <w:sz w:val="24"/>
                <w:szCs w:val="24"/>
                <w:u w:val="none"/>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3ED865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D80AA5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月</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6B0EA1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8464DE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12</w:t>
            </w:r>
          </w:p>
        </w:tc>
      </w:tr>
      <w:tr w14:paraId="59F60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968E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5C914F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tcBorders>
              <w:top w:val="single" w:color="000000" w:sz="4" w:space="0"/>
              <w:left w:val="single" w:color="000000" w:sz="4" w:space="0"/>
              <w:right w:val="single" w:color="000000" w:sz="4" w:space="0"/>
            </w:tcBorders>
            <w:noWrap w:val="0"/>
            <w:vAlign w:val="center"/>
          </w:tcPr>
          <w:p w14:paraId="48EAB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74B22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CF697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促进基层治理机制健全、促进社会发展进步</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088E853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定性</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4C8E02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促进</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77E1E4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9C9312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DFE4BD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r>
      <w:tr w14:paraId="1FA0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6560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2A617A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07FF7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2C0B2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群众满意</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59F09A9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default" w:ascii="Arial" w:hAnsi="Arial" w:eastAsia="宋体" w:cs="Arial"/>
                <w:i w:val="0"/>
                <w:color w:val="000000"/>
                <w:sz w:val="24"/>
                <w:szCs w:val="24"/>
                <w:u w:val="none"/>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332ACE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730006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sz w:val="24"/>
                <w:szCs w:val="24"/>
                <w:u w:val="none"/>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B03061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1443D8A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95</w:t>
            </w:r>
          </w:p>
        </w:tc>
      </w:tr>
    </w:tbl>
    <w:p w14:paraId="2A218080">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314E019">
      <w:pPr>
        <w:pStyle w:val="5"/>
        <w:rPr>
          <w:rFonts w:hint="eastAsia" w:ascii="Times New Roman" w:hAnsi="Times New Roman" w:cs="宋体"/>
          <w:color w:val="FF0000"/>
          <w:kern w:val="0"/>
          <w:sz w:val="32"/>
          <w:szCs w:val="32"/>
          <w:highlight w:val="yellow"/>
          <w:shd w:val="clear" w:color="auto" w:fill="FFFFFF"/>
          <w:lang w:val="zh-CN"/>
        </w:rPr>
      </w:pPr>
    </w:p>
    <w:p w14:paraId="6E27EDBD">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19DD5A36">
      <w:pPr>
        <w:pStyle w:val="5"/>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278689BA">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1BB86D2E">
      <w:pPr>
        <w:pStyle w:val="34"/>
        <w:keepNext w:val="0"/>
        <w:keepLines w:val="0"/>
        <w:pageBreakBefore w:val="0"/>
        <w:kinsoku/>
        <w:wordWrap/>
        <w:overflowPunct/>
        <w:topLinePunct w:val="0"/>
        <w:autoSpaceDE/>
        <w:autoSpaceDN/>
        <w:bidi w:val="0"/>
        <w:spacing w:beforeLines="0" w:afterLines="0" w:line="578" w:lineRule="exact"/>
        <w:jc w:val="center"/>
        <w:textAlignment w:val="auto"/>
        <w:rPr>
          <w:rFonts w:hint="default" w:ascii="Times New Roman" w:hAnsi="Times New Roman" w:eastAsia="方正小标宋简体" w:cs="Times New Roman"/>
          <w:color w:val="auto"/>
          <w:kern w:val="2"/>
          <w:sz w:val="44"/>
          <w:szCs w:val="44"/>
          <w:lang w:val="en-US" w:eastAsia="zh-CN"/>
        </w:rPr>
      </w:pPr>
      <w:r>
        <w:rPr>
          <w:rFonts w:hint="eastAsia" w:ascii="Times New Roman" w:hAnsi="Times New Roman" w:eastAsia="方正小标宋简体" w:cs="Times New Roman"/>
          <w:color w:val="auto"/>
          <w:kern w:val="2"/>
          <w:sz w:val="44"/>
          <w:szCs w:val="44"/>
          <w:lang w:val="en-US" w:eastAsia="zh-CN"/>
        </w:rPr>
        <w:t>中共渠县县委社会工作部</w:t>
      </w:r>
      <w:r>
        <w:rPr>
          <w:rFonts w:hint="default" w:ascii="Times New Roman" w:hAnsi="Times New Roman" w:eastAsia="方正小标宋简体" w:cs="Times New Roman"/>
          <w:color w:val="auto"/>
          <w:kern w:val="2"/>
          <w:sz w:val="44"/>
          <w:szCs w:val="44"/>
          <w:lang w:val="en-US" w:eastAsia="zh-CN"/>
        </w:rPr>
        <w:t>前期运行经费</w:t>
      </w:r>
    </w:p>
    <w:p w14:paraId="5B097DDF">
      <w:pPr>
        <w:pStyle w:val="34"/>
        <w:keepNext w:val="0"/>
        <w:keepLines w:val="0"/>
        <w:pageBreakBefore w:val="0"/>
        <w:kinsoku/>
        <w:wordWrap/>
        <w:overflowPunct/>
        <w:topLinePunct w:val="0"/>
        <w:autoSpaceDE/>
        <w:autoSpaceDN/>
        <w:bidi w:val="0"/>
        <w:spacing w:beforeLines="0" w:afterLines="0" w:line="578" w:lineRule="exact"/>
        <w:jc w:val="center"/>
        <w:textAlignment w:val="auto"/>
        <w:rPr>
          <w:rFonts w:hint="eastAsia" w:ascii="Times New Roman" w:hAnsi="Times New Roman" w:eastAsia="方正小标宋简体" w:cs="Times New Roman"/>
          <w:color w:val="auto"/>
          <w:kern w:val="2"/>
          <w:sz w:val="44"/>
          <w:szCs w:val="44"/>
          <w:lang w:val="en-US" w:eastAsia="zh-CN"/>
        </w:rPr>
      </w:pPr>
      <w:r>
        <w:rPr>
          <w:rFonts w:hint="default" w:ascii="Times New Roman" w:hAnsi="Times New Roman" w:eastAsia="方正小标宋简体" w:cs="Times New Roman"/>
          <w:color w:val="auto"/>
          <w:kern w:val="2"/>
          <w:sz w:val="44"/>
          <w:szCs w:val="44"/>
          <w:lang w:val="en-US" w:eastAsia="zh-CN"/>
        </w:rPr>
        <w:t>绩效评价报告</w:t>
      </w:r>
    </w:p>
    <w:p w14:paraId="6E37402F">
      <w:pPr>
        <w:pStyle w:val="34"/>
        <w:keepNext w:val="0"/>
        <w:keepLines w:val="0"/>
        <w:pageBreakBefore w:val="0"/>
        <w:kinsoku/>
        <w:wordWrap/>
        <w:overflowPunct/>
        <w:topLinePunct w:val="0"/>
        <w:autoSpaceDE/>
        <w:autoSpaceDN/>
        <w:bidi w:val="0"/>
        <w:spacing w:beforeLines="0" w:afterLines="0" w:line="578" w:lineRule="exact"/>
        <w:jc w:val="center"/>
        <w:textAlignment w:val="auto"/>
        <w:rPr>
          <w:rFonts w:hint="default" w:ascii="Times New Roman" w:hAnsi="Times New Roman" w:eastAsia="方正小标宋简体" w:cs="Times New Roman"/>
          <w:color w:val="auto"/>
          <w:kern w:val="2"/>
          <w:sz w:val="44"/>
          <w:szCs w:val="44"/>
          <w:lang w:val="en-US" w:eastAsia="zh-CN"/>
        </w:rPr>
      </w:pPr>
    </w:p>
    <w:p w14:paraId="36BE79D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val="zh-CN" w:eastAsia="zh-CN"/>
        </w:rPr>
      </w:pPr>
      <w:r>
        <w:rPr>
          <w:rFonts w:hint="default" w:ascii="Times New Roman" w:hAnsi="Times New Roman" w:eastAsia="黑体" w:cs="Times New Roman"/>
          <w:sz w:val="32"/>
          <w:szCs w:val="32"/>
          <w:highlight w:val="none"/>
          <w:lang w:val="en-US" w:eastAsia="zh-CN"/>
        </w:rPr>
        <w:t>一、</w:t>
      </w:r>
      <w:r>
        <w:rPr>
          <w:rFonts w:hint="default" w:ascii="Times New Roman" w:hAnsi="Times New Roman" w:eastAsia="黑体" w:cs="Times New Roman"/>
          <w:sz w:val="32"/>
          <w:szCs w:val="32"/>
          <w:highlight w:val="none"/>
          <w:lang w:val="zh-CN" w:eastAsia="zh-CN"/>
        </w:rPr>
        <w:t>项目概况</w:t>
      </w:r>
    </w:p>
    <w:p w14:paraId="52E9267F">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kern w:val="2"/>
          <w:sz w:val="32"/>
          <w:szCs w:val="32"/>
          <w:lang w:val="zh-CN" w:eastAsia="zh-CN" w:bidi="ar-SA"/>
        </w:rPr>
      </w:pPr>
      <w:r>
        <w:rPr>
          <w:rFonts w:hint="default" w:ascii="Times New Roman" w:hAnsi="Times New Roman" w:eastAsia="楷体_GB2312" w:cs="Times New Roman"/>
          <w:b/>
          <w:color w:val="auto"/>
          <w:kern w:val="2"/>
          <w:sz w:val="32"/>
          <w:szCs w:val="32"/>
          <w:lang w:val="zh-CN" w:eastAsia="zh-CN" w:bidi="ar-SA"/>
        </w:rPr>
        <w:t>（一）设立背景及基本情况</w:t>
      </w:r>
    </w:p>
    <w:p w14:paraId="0CCE2F6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中共渠县县委社会工作部于2024年4月29日，正式揭牌成立。根据政府批示同意，解决前期运行经费10万元。完成前期筹备组建工作，组建各个职能部门科室。财政局印发渠财行</w:t>
      </w:r>
      <w:r>
        <w:rPr>
          <w:rFonts w:hint="eastAsia" w:ascii="宋体" w:hAnsi="宋体" w:eastAsia="宋体" w:cs="宋体"/>
          <w:color w:val="auto"/>
          <w:kern w:val="0"/>
          <w:sz w:val="32"/>
          <w:szCs w:val="32"/>
          <w:highlight w:val="none"/>
          <w:u w:val="none"/>
          <w:shd w:val="clear" w:color="auto" w:fill="FFFFFF"/>
          <w:lang w:val="en-US"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2024</w:t>
      </w:r>
      <w:r>
        <w:rPr>
          <w:rFonts w:hint="eastAsia" w:ascii="宋体" w:hAnsi="宋体" w:eastAsia="宋体" w:cs="宋体"/>
          <w:color w:val="auto"/>
          <w:kern w:val="0"/>
          <w:sz w:val="32"/>
          <w:szCs w:val="32"/>
          <w:highlight w:val="none"/>
          <w:u w:val="none"/>
          <w:shd w:val="clear" w:color="auto" w:fill="FFFFFF"/>
          <w:lang w:val="en-US"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86号文件，中国共产党渠县委员会社会工作部立项</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前期运行经费</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p>
    <w:p w14:paraId="69C6F16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县委社会工作部办公室（党建办）</w:t>
      </w:r>
      <w:r>
        <w:rPr>
          <w:rFonts w:hint="default" w:ascii="Times New Roman" w:hAnsi="Times New Roman" w:eastAsia="仿宋_GB2312" w:cs="Times New Roman"/>
          <w:color w:val="auto"/>
          <w:kern w:val="0"/>
          <w:sz w:val="32"/>
          <w:szCs w:val="32"/>
          <w:highlight w:val="none"/>
          <w:u w:val="none"/>
          <w:shd w:val="clear" w:color="auto" w:fill="FFFFFF"/>
          <w:lang w:val="zh-CN" w:eastAsia="zh-CN"/>
        </w:rPr>
        <w:t>负责部机关日常运转，承担综合协调、文电会务、机要保密、信息公开、文书档案、政府采购、后勤保障等工作。承担部机关财务和国有资产工作，指导和监督直属单位财务工作。负责牵头办理人大代表建议、政协委员提案工作。承担部机关及直属单位的干部人事、机构编制、教育培训、队伍建设等工作和离退休干部工作。负责部机关及直属单位的党的建设和纪检工作，领导部机关群团组织的工作。负责机关绩效管理和其他重要事项的督查督办。承担部机关内部审计工作。负责有关重要文稿起草、重点工作调查研究和规范性文件审查备案工作。承担本部门新闻宣传工作。负责部机关和所属事业单位法治建设，负责相关政策法规的业务培训等工作</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463EE303">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kern w:val="2"/>
          <w:sz w:val="32"/>
          <w:szCs w:val="32"/>
          <w:lang w:val="en-US" w:eastAsia="zh-CN" w:bidi="ar-SA"/>
        </w:rPr>
        <w:t>（二）</w:t>
      </w:r>
      <w:r>
        <w:rPr>
          <w:rFonts w:hint="default" w:ascii="Times New Roman" w:hAnsi="Times New Roman" w:eastAsia="楷体_GB2312" w:cs="Times New Roman"/>
          <w:b/>
          <w:color w:val="auto"/>
          <w:sz w:val="32"/>
          <w:szCs w:val="32"/>
          <w:highlight w:val="none"/>
          <w:u w:val="none"/>
          <w:lang w:val="en-US" w:eastAsia="zh-CN"/>
        </w:rPr>
        <w:t>实施目的及支持方向</w:t>
      </w:r>
    </w:p>
    <w:p w14:paraId="6FE0AAF7">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楷体_GB2312" w:cs="Times New Roman"/>
          <w:b/>
          <w:color w:val="auto"/>
          <w:sz w:val="32"/>
          <w:szCs w:val="32"/>
          <w:highlight w:val="none"/>
          <w:u w:val="none"/>
          <w:lang w:val="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已严格按要求制定项目</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资金</w:t>
      </w:r>
      <w:r>
        <w:rPr>
          <w:rFonts w:hint="default" w:ascii="Times New Roman" w:hAnsi="Times New Roman" w:eastAsia="仿宋_GB2312" w:cs="Times New Roman"/>
          <w:color w:val="auto"/>
          <w:kern w:val="0"/>
          <w:sz w:val="32"/>
          <w:szCs w:val="32"/>
          <w:highlight w:val="none"/>
          <w:u w:val="none"/>
          <w:shd w:val="clear" w:color="auto" w:fill="FFFFFF"/>
          <w:lang w:val="zh-CN"/>
        </w:rPr>
        <w:t>管理办法</w:t>
      </w:r>
      <w:r>
        <w:rPr>
          <w:rFonts w:hint="eastAsia" w:ascii="Times New Roman" w:hAnsi="Times New Roman" w:eastAsia="仿宋_GB2312" w:cs="Times New Roman"/>
          <w:color w:val="auto"/>
          <w:kern w:val="0"/>
          <w:sz w:val="32"/>
          <w:szCs w:val="32"/>
          <w:highlight w:val="none"/>
          <w:u w:val="none"/>
          <w:shd w:val="clear" w:color="auto" w:fill="FFFFFF"/>
          <w:lang w:val="zh-CN"/>
        </w:rPr>
        <w:t>。</w:t>
      </w:r>
      <w:r>
        <w:rPr>
          <w:rFonts w:hint="default" w:ascii="Times New Roman" w:hAnsi="Times New Roman" w:eastAsia="仿宋_GB2312" w:cs="Times New Roman"/>
          <w:color w:val="auto"/>
          <w:kern w:val="0"/>
          <w:sz w:val="32"/>
          <w:szCs w:val="32"/>
          <w:highlight w:val="none"/>
          <w:u w:val="none"/>
          <w:shd w:val="clear" w:color="auto" w:fill="FFFFFF"/>
          <w:lang w:val="zh-CN"/>
        </w:rPr>
        <w:t>项目实施目的和主要工作任务</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是完成前期筹备组建工作，组建各个职能部门科室。</w:t>
      </w:r>
    </w:p>
    <w:p w14:paraId="426B23E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kern w:val="2"/>
          <w:sz w:val="32"/>
          <w:szCs w:val="32"/>
          <w:lang w:val="en-US" w:eastAsia="zh-CN" w:bidi="ar-SA"/>
        </w:rPr>
        <w:t>（三）</w:t>
      </w:r>
      <w:r>
        <w:rPr>
          <w:rFonts w:hint="default" w:ascii="Times New Roman" w:hAnsi="Times New Roman" w:eastAsia="楷体_GB2312" w:cs="Times New Roman"/>
          <w:b/>
          <w:color w:val="auto"/>
          <w:sz w:val="32"/>
          <w:szCs w:val="32"/>
          <w:highlight w:val="none"/>
          <w:u w:val="none"/>
          <w:lang w:val="en-US" w:eastAsia="zh-CN"/>
        </w:rPr>
        <w:t>预算安排及分配管理</w:t>
      </w:r>
    </w:p>
    <w:p w14:paraId="54021A3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根据财政资金使用情况，该项目预算10万元，实际拨付10万元，全部用于本部前期筹备组建工作，组建各个职能部门科室。</w:t>
      </w:r>
    </w:p>
    <w:p w14:paraId="1534BE00">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kern w:val="2"/>
          <w:sz w:val="32"/>
          <w:szCs w:val="32"/>
          <w:lang w:val="zh-CN" w:eastAsia="zh-CN" w:bidi="ar-SA"/>
        </w:rPr>
        <w:t>（四）</w:t>
      </w:r>
      <w:r>
        <w:rPr>
          <w:rFonts w:hint="default" w:ascii="Times New Roman" w:hAnsi="Times New Roman" w:eastAsia="楷体_GB2312" w:cs="Times New Roman"/>
          <w:b/>
          <w:color w:val="auto"/>
          <w:sz w:val="32"/>
          <w:szCs w:val="32"/>
          <w:highlight w:val="none"/>
          <w:u w:val="none"/>
          <w:lang w:val="zh-CN" w:eastAsia="zh-CN"/>
        </w:rPr>
        <w:t>项目绩效目标设置</w:t>
      </w:r>
    </w:p>
    <w:p w14:paraId="7EA7C9C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该项目依据2025年专项预算项目绩效评价指标体系要求进行绩效自评，对项目绩效指标进行综合评分，确保项目自评结果的准确性，并编制《专项预算项目绩效目标完成情况自评表》。</w:t>
      </w:r>
    </w:p>
    <w:p w14:paraId="5AE2CDD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539A8C9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71CE207E">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color w:val="auto"/>
          <w:kern w:val="0"/>
          <w:sz w:val="32"/>
          <w:szCs w:val="32"/>
          <w:highlight w:val="none"/>
          <w:u w:val="none"/>
          <w:shd w:val="clear" w:color="auto" w:fill="FFFFFF"/>
          <w:lang w:val="en-US" w:eastAsia="zh-CN"/>
        </w:rPr>
      </w:pP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通过对该项目绩效进行自评，厘清资金使用去向构成，为下次的项目绩效目标、资金明细等制定提供有力决策依据。</w:t>
      </w:r>
    </w:p>
    <w:p w14:paraId="229E23C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eastAsia" w:ascii="Times New Roman" w:hAnsi="Times New Roman" w:eastAsia="楷体_GB2312" w:cs="Times New Roman"/>
          <w:b/>
          <w:color w:val="auto"/>
          <w:kern w:val="2"/>
          <w:sz w:val="32"/>
          <w:szCs w:val="32"/>
          <w:lang w:val="zh-CN" w:eastAsia="zh-CN" w:bidi="ar-SA"/>
        </w:rPr>
        <w:t>（二）</w:t>
      </w:r>
      <w:r>
        <w:rPr>
          <w:rFonts w:hint="default" w:ascii="Times New Roman" w:hAnsi="Times New Roman" w:eastAsia="楷体_GB2312" w:cs="Times New Roman"/>
          <w:b/>
          <w:color w:val="auto"/>
          <w:sz w:val="32"/>
          <w:szCs w:val="32"/>
          <w:highlight w:val="none"/>
          <w:u w:val="none"/>
          <w:lang w:val="zh-CN"/>
        </w:rPr>
        <w:t>预设问题及评价重点</w:t>
      </w:r>
    </w:p>
    <w:p w14:paraId="6D10C78E">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color w:val="auto"/>
          <w:kern w:val="0"/>
          <w:sz w:val="32"/>
          <w:szCs w:val="32"/>
          <w:highlight w:val="none"/>
          <w:u w:val="none"/>
          <w:shd w:val="clear" w:color="auto" w:fill="FFFFFF"/>
          <w:lang w:val="zh-CN" w:eastAsia="zh-CN"/>
        </w:rPr>
      </w:pP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按</w:t>
      </w: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预期目标</w:t>
      </w: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完成</w:t>
      </w: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，实施结果与绩效目标相匹配。</w:t>
      </w:r>
    </w:p>
    <w:p w14:paraId="15C2841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资金支出使用全过程</w:t>
      </w:r>
      <w:r>
        <w:rPr>
          <w:rFonts w:hint="eastAsia" w:ascii="Times New Roman" w:hAnsi="Times New Roman" w:eastAsia="仿宋_GB2312" w:cs="Times New Roman"/>
          <w:color w:val="auto"/>
          <w:sz w:val="32"/>
          <w:szCs w:val="32"/>
          <w:lang w:val="en-US" w:eastAsia="zh-CN"/>
        </w:rPr>
        <w:t>完善无任何其他问题，</w:t>
      </w:r>
      <w:r>
        <w:rPr>
          <w:rFonts w:hint="default" w:ascii="Times New Roman" w:hAnsi="Times New Roman" w:eastAsia="仿宋_GB2312" w:cs="Times New Roman"/>
          <w:color w:val="auto"/>
          <w:sz w:val="32"/>
          <w:szCs w:val="32"/>
        </w:rPr>
        <w:t>实施效果</w:t>
      </w:r>
      <w:r>
        <w:rPr>
          <w:rFonts w:hint="eastAsia" w:ascii="Times New Roman" w:hAnsi="Times New Roman" w:eastAsia="仿宋_GB2312" w:cs="Times New Roman"/>
          <w:color w:val="auto"/>
          <w:sz w:val="32"/>
          <w:szCs w:val="32"/>
          <w:lang w:val="en-US" w:eastAsia="zh-CN"/>
        </w:rPr>
        <w:t>良好。</w:t>
      </w:r>
    </w:p>
    <w:p w14:paraId="664F88B0">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eastAsia" w:ascii="Times New Roman" w:hAnsi="Times New Roman" w:eastAsia="楷体_GB2312" w:cs="Times New Roman"/>
          <w:b/>
          <w:color w:val="auto"/>
          <w:kern w:val="2"/>
          <w:sz w:val="32"/>
          <w:szCs w:val="32"/>
          <w:lang w:val="zh-CN" w:eastAsia="zh-CN" w:bidi="ar-SA"/>
        </w:rPr>
        <w:t>（三）</w:t>
      </w:r>
      <w:r>
        <w:rPr>
          <w:rFonts w:hint="default" w:ascii="Times New Roman" w:hAnsi="Times New Roman" w:eastAsia="楷体_GB2312" w:cs="Times New Roman"/>
          <w:b/>
          <w:color w:val="auto"/>
          <w:sz w:val="32"/>
          <w:szCs w:val="32"/>
          <w:highlight w:val="none"/>
          <w:u w:val="none"/>
          <w:lang w:val="zh-CN"/>
        </w:rPr>
        <w:t>评价方法</w:t>
      </w:r>
    </w:p>
    <w:p w14:paraId="4AB9027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项目绩效自评采用全面公平公正相结合原则考评。对</w:t>
      </w:r>
      <w:r>
        <w:rPr>
          <w:rFonts w:hint="eastAsia" w:ascii="Times New Roman" w:hAnsi="Times New Roman" w:eastAsia="仿宋_GB2312" w:cs="Times New Roman"/>
          <w:color w:val="auto"/>
          <w:sz w:val="32"/>
          <w:szCs w:val="32"/>
          <w:lang w:val="en-US" w:eastAsia="zh-CN"/>
        </w:rPr>
        <w:t>部门前期筹备组建</w:t>
      </w:r>
      <w:r>
        <w:rPr>
          <w:rFonts w:hint="default" w:ascii="Times New Roman" w:hAnsi="Times New Roman" w:eastAsia="仿宋_GB2312" w:cs="Times New Roman"/>
          <w:color w:val="auto"/>
          <w:sz w:val="32"/>
          <w:szCs w:val="32"/>
          <w:lang w:val="zh-CN" w:eastAsia="zh-CN"/>
        </w:rPr>
        <w:t>工作开展和资金支付情况进行核查。</w:t>
      </w:r>
    </w:p>
    <w:p w14:paraId="6D192101">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楷体_GB2312" w:cs="Times New Roman"/>
          <w:b/>
          <w:color w:val="auto"/>
          <w:kern w:val="2"/>
          <w:sz w:val="32"/>
          <w:szCs w:val="32"/>
          <w:lang w:val="zh-CN" w:eastAsia="zh-CN" w:bidi="ar-SA"/>
        </w:rPr>
      </w:pPr>
      <w:r>
        <w:rPr>
          <w:rFonts w:hint="eastAsia" w:ascii="Times New Roman" w:hAnsi="Times New Roman" w:eastAsia="楷体_GB2312" w:cs="Times New Roman"/>
          <w:b/>
          <w:color w:val="auto"/>
          <w:kern w:val="2"/>
          <w:sz w:val="32"/>
          <w:szCs w:val="32"/>
          <w:lang w:val="zh-CN" w:eastAsia="zh-CN" w:bidi="ar-SA"/>
        </w:rPr>
        <w:t>（四）</w:t>
      </w:r>
      <w:r>
        <w:rPr>
          <w:rFonts w:hint="default" w:ascii="Times New Roman" w:hAnsi="Times New Roman" w:eastAsia="楷体_GB2312" w:cs="Times New Roman"/>
          <w:b/>
          <w:color w:val="auto"/>
          <w:kern w:val="2"/>
          <w:sz w:val="32"/>
          <w:szCs w:val="32"/>
          <w:lang w:val="zh-CN" w:eastAsia="zh-CN" w:bidi="ar-SA"/>
        </w:rPr>
        <w:t>评价组织</w:t>
      </w:r>
    </w:p>
    <w:p w14:paraId="11E76C1C">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eastAsia="zh-CN"/>
        </w:rPr>
        <w:t>评价组人</w:t>
      </w:r>
      <w:r>
        <w:rPr>
          <w:rFonts w:hint="default" w:ascii="Times New Roman" w:hAnsi="Times New Roman" w:eastAsia="仿宋_GB2312" w:cs="Times New Roman"/>
          <w:color w:val="auto"/>
          <w:sz w:val="32"/>
          <w:szCs w:val="32"/>
        </w:rPr>
        <w:t>员由项目管理人员和财务人员共同进行，项目管理人员主要负责项目决策、项目管理、项目实施、项目结果等评价评分;财务人员主要负责用资金用途合规性、程序合规性、标准合规性评价评分。</w:t>
      </w:r>
    </w:p>
    <w:p w14:paraId="4D34561D">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eastAsia="仿宋_GB2312" w:cs="Times New Roman"/>
          <w:color w:val="auto"/>
          <w:sz w:val="32"/>
          <w:szCs w:val="32"/>
          <w:highlight w:val="none"/>
          <w:u w:val="none"/>
          <w:lang w:val="zh-CN"/>
        </w:rPr>
        <w:tab/>
      </w:r>
    </w:p>
    <w:p w14:paraId="142E962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r>
        <w:rPr>
          <w:rFonts w:hint="eastAsia"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en-US" w:eastAsia="zh-CN"/>
        </w:rPr>
        <w:t>54分</w:t>
      </w:r>
      <w:r>
        <w:rPr>
          <w:rFonts w:hint="eastAsia" w:ascii="Times New Roman" w:hAnsi="Times New Roman" w:eastAsia="楷体_GB2312" w:cs="Times New Roman"/>
          <w:b/>
          <w:bCs/>
          <w:color w:val="auto"/>
          <w:kern w:val="0"/>
          <w:sz w:val="32"/>
          <w:szCs w:val="32"/>
          <w:highlight w:val="none"/>
          <w:shd w:val="clear" w:color="auto" w:fill="FFFFFF"/>
          <w:lang w:val="zh-CN"/>
        </w:rPr>
        <w:t>）</w:t>
      </w:r>
    </w:p>
    <w:p w14:paraId="2AFAFCD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eastAsia"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18分</w:t>
      </w:r>
      <w:r>
        <w:rPr>
          <w:rFonts w:hint="eastAsia" w:ascii="Times New Roman" w:hAnsi="Times New Roman" w:eastAsia="楷体_GB2312" w:cs="Times New Roman"/>
          <w:color w:val="auto"/>
          <w:sz w:val="32"/>
          <w:szCs w:val="32"/>
          <w:lang w:eastAsia="zh-CN"/>
        </w:rPr>
        <w:t>）</w:t>
      </w:r>
    </w:p>
    <w:p w14:paraId="371B928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严格按照规定履行评估论证，并按照项目入库管理流程进行申报审核，项目规划论证符合中央、省、</w:t>
      </w:r>
      <w:r>
        <w:rPr>
          <w:rFonts w:hint="eastAsia"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政府和财政要求，项目绩效目标设置科学合理，项目资金与项目总体规划、相关行业事业发展相匹配，聚焦重大任务、重点领域、重点环节和重点项目。该指标得分18分。</w:t>
      </w:r>
    </w:p>
    <w:p w14:paraId="6188A51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eastAsia="zh-CN"/>
        </w:rPr>
      </w:pPr>
      <w:r>
        <w:rPr>
          <w:rFonts w:hint="eastAsia"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eastAsia="zh-CN"/>
        </w:rPr>
        <w:t>项目管理</w:t>
      </w:r>
      <w:r>
        <w:rPr>
          <w:rFonts w:hint="eastAsia"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18分</w:t>
      </w:r>
      <w:r>
        <w:rPr>
          <w:rFonts w:hint="eastAsia" w:ascii="Times New Roman" w:hAnsi="Times New Roman" w:eastAsia="楷体_GB2312" w:cs="Times New Roman"/>
          <w:color w:val="auto"/>
          <w:sz w:val="32"/>
          <w:szCs w:val="32"/>
          <w:lang w:eastAsia="zh-CN"/>
        </w:rPr>
        <w:t>）</w:t>
      </w:r>
    </w:p>
    <w:p w14:paraId="3F428D6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项目制度办法体系健全、要素完备；项目资金分配因素选取、权重设置、区域分布，项目管理、审批符合管理要求；能够对绩效，项目绩效进行监管，并且按要求开展。该指标得分18分。</w:t>
      </w:r>
    </w:p>
    <w:p w14:paraId="04E659C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3.</w:t>
      </w:r>
      <w:r>
        <w:rPr>
          <w:rFonts w:hint="default" w:ascii="Times New Roman" w:hAnsi="Times New Roman" w:eastAsia="楷体_GB2312" w:cs="Times New Roman"/>
          <w:color w:val="auto"/>
          <w:sz w:val="32"/>
          <w:szCs w:val="32"/>
          <w:lang w:val="en-US" w:eastAsia="zh-CN"/>
        </w:rPr>
        <w:t>项目实施</w:t>
      </w:r>
      <w:r>
        <w:rPr>
          <w:rFonts w:hint="eastAsia" w:ascii="Times New Roman" w:hAnsi="Times New Roman" w:eastAsia="楷体_GB2312" w:cs="Times New Roman"/>
          <w:color w:val="auto"/>
          <w:sz w:val="32"/>
          <w:szCs w:val="32"/>
          <w:lang w:val="en-US" w:eastAsia="zh-CN"/>
        </w:rPr>
        <w:t>（9分）</w:t>
      </w:r>
    </w:p>
    <w:p w14:paraId="2C60662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截至2024年底，财政拨付项目资金10万元，进度100%，我部执行金额10万元，执行率100%。</w:t>
      </w:r>
      <w:r>
        <w:rPr>
          <w:rFonts w:hint="eastAsia" w:ascii="Times New Roman" w:hAnsi="Times New Roman" w:eastAsia="仿宋_GB2312" w:cs="Times New Roman"/>
          <w:color w:val="auto"/>
          <w:sz w:val="32"/>
          <w:szCs w:val="32"/>
          <w:lang w:val="en-US" w:eastAsia="zh-CN"/>
        </w:rPr>
        <w:t>该指标得分9分。</w:t>
      </w:r>
    </w:p>
    <w:p w14:paraId="6C78CE1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kern w:val="2"/>
          <w:sz w:val="32"/>
          <w:szCs w:val="32"/>
          <w:lang w:val="en-US" w:eastAsia="zh-CN" w:bidi="ar-SA"/>
        </w:rPr>
        <w:t>4.</w:t>
      </w:r>
      <w:r>
        <w:rPr>
          <w:rFonts w:hint="default" w:ascii="Times New Roman" w:hAnsi="Times New Roman" w:eastAsia="楷体_GB2312" w:cs="Times New Roman"/>
          <w:color w:val="auto"/>
          <w:sz w:val="32"/>
          <w:szCs w:val="32"/>
          <w:lang w:val="en-US" w:eastAsia="zh-CN"/>
        </w:rPr>
        <w:t>项目结果</w:t>
      </w:r>
      <w:r>
        <w:rPr>
          <w:rFonts w:hint="eastAsia" w:ascii="Times New Roman" w:hAnsi="Times New Roman" w:eastAsia="楷体_GB2312" w:cs="Times New Roman"/>
          <w:color w:val="auto"/>
          <w:sz w:val="32"/>
          <w:szCs w:val="32"/>
          <w:lang w:val="en-US" w:eastAsia="zh-CN"/>
        </w:rPr>
        <w:t>（9分）</w:t>
      </w:r>
    </w:p>
    <w:p w14:paraId="3478174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围绕各项绩效目标认真履职，预算项目绩效目标数量指标基本完成，项目整体目标基本实现，未发现预算项目绩效目标数量指标实现程度与预期目标的偏离情况的情况，项目按计划实施，其各项效益指标、满意度指标均达到绩效目标预期效果。</w:t>
      </w:r>
      <w:r>
        <w:rPr>
          <w:rFonts w:hint="eastAsia" w:ascii="Times New Roman" w:hAnsi="Times New Roman" w:eastAsia="仿宋_GB2312" w:cs="Times New Roman"/>
          <w:color w:val="auto"/>
          <w:sz w:val="32"/>
          <w:szCs w:val="32"/>
          <w:lang w:val="en-US" w:eastAsia="zh-CN"/>
        </w:rPr>
        <w:t>该指标得分9分。</w:t>
      </w:r>
    </w:p>
    <w:p w14:paraId="5EDAACF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楷体_GB2312" w:cs="Times New Roman"/>
          <w:color w:val="auto"/>
          <w:sz w:val="32"/>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r>
        <w:rPr>
          <w:rFonts w:hint="eastAsia"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en-US" w:eastAsia="zh-CN"/>
        </w:rPr>
        <w:t>30分</w:t>
      </w:r>
      <w:r>
        <w:rPr>
          <w:rFonts w:hint="eastAsia" w:ascii="Times New Roman" w:hAnsi="Times New Roman" w:eastAsia="楷体_GB2312" w:cs="Times New Roman"/>
          <w:b/>
          <w:bCs/>
          <w:color w:val="auto"/>
          <w:kern w:val="0"/>
          <w:sz w:val="32"/>
          <w:szCs w:val="32"/>
          <w:highlight w:val="none"/>
          <w:shd w:val="clear" w:color="auto" w:fill="FFFFFF"/>
          <w:lang w:val="zh-CN"/>
        </w:rPr>
        <w:t>）</w:t>
      </w:r>
    </w:p>
    <w:p w14:paraId="0A05988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行政运转。本项目资金均在规定用途、适用范围内进行资金分配，资金管理程序符合专项资金管理要求，资金分配标准符合专项资金管理要求，未发现资金管理和使用过程中不符合专项资金管理要求的情况。</w:t>
      </w:r>
      <w:r>
        <w:rPr>
          <w:rFonts w:hint="eastAsia" w:ascii="Times New Roman" w:hAnsi="Times New Roman" w:eastAsia="仿宋_GB2312" w:cs="Times New Roman"/>
          <w:color w:val="auto"/>
          <w:sz w:val="32"/>
          <w:szCs w:val="32"/>
          <w:lang w:val="en-US" w:eastAsia="zh-CN"/>
        </w:rPr>
        <w:t>该指标得分30分。</w:t>
      </w:r>
    </w:p>
    <w:p w14:paraId="6215A4F1">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r>
        <w:rPr>
          <w:rFonts w:hint="eastAsia" w:ascii="Times New Roman" w:hAnsi="Times New Roman" w:eastAsia="楷体_GB2312" w:cs="Times New Roman"/>
          <w:b/>
          <w:bCs/>
          <w:color w:val="auto"/>
          <w:kern w:val="0"/>
          <w:sz w:val="32"/>
          <w:szCs w:val="32"/>
          <w:highlight w:val="none"/>
          <w:shd w:val="clear" w:color="auto" w:fill="FFFFFF"/>
          <w:lang w:val="en-US" w:eastAsia="zh-CN"/>
        </w:rPr>
        <w:t>(16分）</w:t>
      </w:r>
    </w:p>
    <w:p w14:paraId="4A9A28F8">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1.资金拨付及时性：资金发放在2024年内完成。该指标得分8分。</w:t>
      </w:r>
    </w:p>
    <w:p w14:paraId="4CB072DF">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2.资金补助质效：高质量保障部门前期组建筹备工作开展。该指标得分8分。</w:t>
      </w:r>
    </w:p>
    <w:p w14:paraId="4C04E873">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en-US" w:eastAsia="en-US" w:bidi="ar-SA"/>
        </w:rPr>
      </w:pPr>
      <w:r>
        <w:rPr>
          <w:rFonts w:hint="default" w:ascii="Times New Roman" w:hAnsi="Times New Roman" w:eastAsia="黑体" w:cs="Times New Roman"/>
          <w:color w:val="auto"/>
          <w:kern w:val="0"/>
          <w:position w:val="3"/>
          <w:sz w:val="32"/>
          <w:szCs w:val="32"/>
          <w:highlight w:val="none"/>
          <w:u w:val="none"/>
          <w:lang w:val="en-US" w:eastAsia="zh-CN" w:bidi="ar-SA"/>
        </w:rPr>
        <w:t>四</w:t>
      </w:r>
      <w:r>
        <w:rPr>
          <w:rFonts w:hint="default" w:ascii="Times New Roman" w:hAnsi="Times New Roman" w:eastAsia="黑体" w:cs="Times New Roman"/>
          <w:color w:val="auto"/>
          <w:kern w:val="0"/>
          <w:position w:val="3"/>
          <w:sz w:val="32"/>
          <w:szCs w:val="32"/>
          <w:highlight w:val="none"/>
          <w:u w:val="none"/>
          <w:lang w:val="en-US" w:eastAsia="en-US" w:bidi="ar-SA"/>
        </w:rPr>
        <w:t>、评价结论</w:t>
      </w:r>
    </w:p>
    <w:p w14:paraId="622BBBC1">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仿宋_GB2312" w:cs="Times New Roman"/>
          <w:b w:val="0"/>
          <w:bCs w:val="0"/>
          <w:color w:val="auto"/>
          <w:kern w:val="2"/>
          <w:position w:val="0"/>
          <w:sz w:val="32"/>
          <w:szCs w:val="32"/>
          <w:highlight w:val="none"/>
          <w:lang w:val="en-US" w:eastAsia="zh-CN" w:bidi="ar-SA"/>
        </w:rPr>
      </w:pPr>
      <w:r>
        <w:rPr>
          <w:rFonts w:hint="eastAsia" w:ascii="Times New Roman" w:hAnsi="Times New Roman" w:eastAsia="仿宋_GB2312" w:cs="Times New Roman"/>
          <w:b w:val="0"/>
          <w:bCs w:val="0"/>
          <w:color w:val="auto"/>
          <w:kern w:val="0"/>
          <w:position w:val="3"/>
          <w:sz w:val="32"/>
          <w:szCs w:val="32"/>
          <w:highlight w:val="none"/>
          <w:lang w:val="en-US" w:eastAsia="zh-CN" w:bidi="ar-SA"/>
        </w:rPr>
        <w:t>该项目决策依据充分，目标明确；项目实施过程资金管理科学，财务控制和业务控制规范；项目绩效目标完成情况基本达到预期效果，绩效自评得分100 分。</w:t>
      </w:r>
    </w:p>
    <w:p w14:paraId="0558C6C8">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en-US" w:eastAsia="zh-CN" w:bidi="ar-SA"/>
        </w:rPr>
      </w:pPr>
      <w:r>
        <w:rPr>
          <w:rFonts w:hint="default" w:ascii="Times New Roman" w:hAnsi="Times New Roman" w:eastAsia="黑体" w:cs="Times New Roman"/>
          <w:color w:val="auto"/>
          <w:kern w:val="0"/>
          <w:position w:val="3"/>
          <w:sz w:val="32"/>
          <w:szCs w:val="32"/>
          <w:highlight w:val="none"/>
          <w:u w:val="none"/>
          <w:lang w:val="en-US" w:eastAsia="zh-CN" w:bidi="ar-SA"/>
        </w:rPr>
        <w:t>五、存在主要问题</w:t>
      </w:r>
    </w:p>
    <w:p w14:paraId="0B7B99EE">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eastAsia" w:ascii="Times New Roman" w:hAnsi="Times New Roman" w:eastAsia="仿宋_GB2312" w:cs="Times New Roman"/>
          <w:b w:val="0"/>
          <w:bCs w:val="0"/>
          <w:color w:val="auto"/>
          <w:kern w:val="0"/>
          <w:position w:val="3"/>
          <w:sz w:val="32"/>
          <w:szCs w:val="32"/>
          <w:highlight w:val="none"/>
          <w:lang w:val="en-US" w:eastAsia="zh-CN" w:bidi="ar-SA"/>
        </w:rPr>
        <w:t>无</w:t>
      </w:r>
    </w:p>
    <w:p w14:paraId="6797E77D">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eastAsia" w:ascii="Times New Roman" w:hAnsi="Times New Roman" w:eastAsia="黑体" w:cs="Times New Roman"/>
          <w:color w:val="auto"/>
          <w:kern w:val="0"/>
          <w:position w:val="3"/>
          <w:sz w:val="32"/>
          <w:szCs w:val="32"/>
          <w:lang w:val="zh-CN" w:eastAsia="zh-CN" w:bidi="ar-SA"/>
        </w:rPr>
        <w:t>六、</w:t>
      </w:r>
      <w:r>
        <w:rPr>
          <w:rFonts w:hint="default" w:ascii="Times New Roman" w:hAnsi="Times New Roman" w:eastAsia="黑体" w:cs="Times New Roman"/>
          <w:color w:val="auto"/>
          <w:kern w:val="0"/>
          <w:position w:val="3"/>
          <w:sz w:val="32"/>
          <w:szCs w:val="32"/>
          <w:highlight w:val="none"/>
          <w:u w:val="none"/>
          <w:lang w:val="zh-CN" w:eastAsia="zh-CN" w:bidi="ar-SA"/>
        </w:rPr>
        <w:t>改进建议</w:t>
      </w:r>
    </w:p>
    <w:p w14:paraId="36661FE5">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color w:val="auto"/>
        </w:rPr>
      </w:pPr>
      <w:r>
        <w:rPr>
          <w:rFonts w:hint="eastAsia" w:ascii="Times New Roman" w:hAnsi="Times New Roman" w:eastAsia="仿宋_GB2312" w:cs="Times New Roman"/>
          <w:b w:val="0"/>
          <w:bCs w:val="0"/>
          <w:color w:val="auto"/>
          <w:kern w:val="0"/>
          <w:position w:val="3"/>
          <w:sz w:val="32"/>
          <w:szCs w:val="32"/>
          <w:highlight w:val="none"/>
          <w:lang w:val="en-US" w:eastAsia="zh-CN" w:bidi="ar-SA"/>
        </w:rPr>
        <w:t>无</w:t>
      </w:r>
    </w:p>
    <w:p w14:paraId="491D614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F736B6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default" w:ascii="Times New Roman" w:hAnsi="Times New Roman" w:eastAsia="仿宋_GB2312" w:cs="Times New Roman"/>
          <w:kern w:val="2"/>
          <w:sz w:val="32"/>
          <w:szCs w:val="32"/>
          <w:u w:val="none"/>
          <w:lang w:val="en-US" w:eastAsia="zh-CN" w:bidi="ar"/>
        </w:rPr>
        <w:t>专项预算项目绩效目标完成情况自评表</w:t>
      </w:r>
    </w:p>
    <w:p w14:paraId="39F2FBCC">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727B8881">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462760ED">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19B98F76">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09EDBCAD">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5A1EE5F5">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4C549BBF">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4E6779C2">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396C22E1">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17181BCB">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0304E6ED">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4F5A26B7">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22912727">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11064150">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31C5C124">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533B3434">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788C63B9">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3190FFD8">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附表</w:t>
      </w:r>
    </w:p>
    <w:tbl>
      <w:tblPr>
        <w:tblStyle w:val="15"/>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90"/>
        <w:gridCol w:w="1651"/>
      </w:tblGrid>
      <w:tr w14:paraId="6440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0233" w:type="dxa"/>
            <w:gridSpan w:val="10"/>
            <w:noWrap w:val="0"/>
            <w:vAlign w:val="center"/>
          </w:tcPr>
          <w:p w14:paraId="488ADAB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default" w:ascii="Times New Roman" w:hAnsi="Times New Roman" w:eastAsia="黑体" w:cs="Times New Roman"/>
                <w:i w:val="0"/>
                <w:color w:val="000000"/>
                <w:sz w:val="30"/>
                <w:szCs w:val="30"/>
                <w:u w:val="none"/>
              </w:rPr>
            </w:pPr>
            <w:bookmarkStart w:id="2" w:name="_Toc15396618"/>
            <w:r>
              <w:rPr>
                <w:rFonts w:hint="default" w:ascii="Times New Roman" w:hAnsi="Times New Roman" w:eastAsia="方正小标宋简体" w:cs="Times New Roman"/>
                <w:i w:val="0"/>
                <w:color w:val="000000"/>
                <w:kern w:val="0"/>
                <w:sz w:val="40"/>
                <w:szCs w:val="40"/>
                <w:u w:val="none"/>
                <w:lang w:val="en-US" w:eastAsia="zh-CN" w:bidi="ar"/>
              </w:rPr>
              <w:t>专项预算项目绩效目标完成情况自评表</w:t>
            </w:r>
          </w:p>
        </w:tc>
      </w:tr>
      <w:tr w14:paraId="469A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4DCCD5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项目名称</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2C218B21">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51172525T000012853606-前期运行经费</w:t>
            </w:r>
          </w:p>
        </w:tc>
      </w:tr>
      <w:tr w14:paraId="1DCE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5597F7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预算单位</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6558C10C">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中国共产党渠县委员会社会工作部</w:t>
            </w:r>
          </w:p>
        </w:tc>
      </w:tr>
      <w:tr w14:paraId="1EEE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428BDC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项目类型</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3B4B20BD">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行政运转类</w:t>
            </w:r>
          </w:p>
        </w:tc>
      </w:tr>
      <w:tr w14:paraId="7027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7928B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ED6E7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中长期规划（名称、文号，仅指</w:t>
            </w:r>
          </w:p>
          <w:p w14:paraId="556579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常年项目）</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4DB90251">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w:t>
            </w:r>
            <w:r>
              <w:rPr>
                <w:rFonts w:hint="eastAsia" w:ascii="Times New Roman" w:hAnsi="Times New Roman" w:cs="Times New Roman"/>
                <w:i w:val="0"/>
                <w:color w:val="000000"/>
                <w:sz w:val="24"/>
                <w:szCs w:val="24"/>
                <w:u w:val="none"/>
                <w:lang w:val="en-US" w:eastAsia="zh-CN"/>
              </w:rPr>
              <w:t>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86号</w:t>
            </w:r>
          </w:p>
        </w:tc>
      </w:tr>
      <w:tr w14:paraId="6503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E431A">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618DB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资金管理办法（名称、文号）</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7745E1BB">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w:t>
            </w:r>
            <w:r>
              <w:rPr>
                <w:rFonts w:hint="eastAsia" w:ascii="Times New Roman" w:hAnsi="Times New Roman" w:cs="Times New Roman"/>
                <w:i w:val="0"/>
                <w:color w:val="000000"/>
                <w:sz w:val="24"/>
                <w:szCs w:val="24"/>
                <w:u w:val="none"/>
                <w:lang w:val="en-US" w:eastAsia="zh-CN"/>
              </w:rPr>
              <w:t>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86号</w:t>
            </w:r>
          </w:p>
        </w:tc>
      </w:tr>
      <w:tr w14:paraId="2FB6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3A04D">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4B82BA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14:paraId="27016F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bottom"/>
          </w:tcPr>
          <w:p w14:paraId="71F08F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bottom"/>
          </w:tcPr>
          <w:p w14:paraId="7376D3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FE"/>
            </w:r>
            <w:r>
              <w:rPr>
                <w:rFonts w:hint="eastAsia" w:ascii="宋体" w:hAnsi="宋体" w:eastAsia="宋体" w:cs="宋体"/>
                <w:i w:val="0"/>
                <w:color w:val="000000"/>
                <w:kern w:val="0"/>
                <w:sz w:val="24"/>
                <w:szCs w:val="24"/>
                <w:u w:val="none"/>
                <w:lang w:val="en-US" w:eastAsia="zh-CN" w:bidi="ar"/>
              </w:rPr>
              <w:t>据实据效</w:t>
            </w:r>
          </w:p>
        </w:tc>
        <w:tc>
          <w:tcPr>
            <w:tcW w:w="1841" w:type="dxa"/>
            <w:gridSpan w:val="2"/>
            <w:tcBorders>
              <w:top w:val="single" w:color="000000" w:sz="4" w:space="0"/>
              <w:left w:val="single" w:color="000000" w:sz="4" w:space="0"/>
              <w:bottom w:val="single" w:color="000000" w:sz="4" w:space="0"/>
              <w:right w:val="single" w:color="000000" w:sz="4" w:space="0"/>
            </w:tcBorders>
            <w:noWrap w:val="0"/>
            <w:vAlign w:val="bottom"/>
          </w:tcPr>
          <w:p w14:paraId="651EDC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因素法与项目法相结合</w:t>
            </w:r>
          </w:p>
        </w:tc>
      </w:tr>
      <w:tr w14:paraId="234C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0C8A2">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7B0F0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立项依据</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695D5558">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w:t>
            </w:r>
            <w:r>
              <w:rPr>
                <w:rFonts w:hint="eastAsia" w:ascii="Times New Roman" w:hAnsi="Times New Roman" w:cs="Times New Roman"/>
                <w:i w:val="0"/>
                <w:color w:val="000000"/>
                <w:sz w:val="24"/>
                <w:szCs w:val="24"/>
                <w:u w:val="none"/>
                <w:lang w:val="en-US" w:eastAsia="zh-CN"/>
              </w:rPr>
              <w:t>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86号</w:t>
            </w:r>
          </w:p>
        </w:tc>
      </w:tr>
      <w:tr w14:paraId="3344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F1311">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F070E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使用范围</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72FC66B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本单位</w:t>
            </w:r>
          </w:p>
        </w:tc>
      </w:tr>
      <w:tr w14:paraId="3BC4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05AF7">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C1D4C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申报（补助）条件</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68AB9AC9">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无</w:t>
            </w:r>
          </w:p>
        </w:tc>
      </w:tr>
      <w:tr w14:paraId="4FA1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8A75A">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50345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项目起止年限</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34E6ADFC">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2024.05-2024.12</w:t>
            </w:r>
          </w:p>
        </w:tc>
      </w:tr>
      <w:tr w14:paraId="455C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8C34C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项目资金</w:t>
            </w:r>
          </w:p>
          <w:p w14:paraId="1088BC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7E2BA8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年度资金总额：</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7BD66626">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r>
      <w:tr w14:paraId="22C7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F77360">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09B2D96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其中：财政拨款</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705706E5">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r>
      <w:tr w14:paraId="0BC6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1ABB73">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53DB05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其他资金</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61DBEDF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0</w:t>
            </w:r>
          </w:p>
        </w:tc>
      </w:tr>
      <w:tr w14:paraId="4F36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C10B8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总体 目标</w:t>
            </w:r>
          </w:p>
        </w:tc>
        <w:tc>
          <w:tcPr>
            <w:tcW w:w="9581" w:type="dxa"/>
            <w:gridSpan w:val="9"/>
            <w:tcBorders>
              <w:top w:val="single" w:color="000000" w:sz="4" w:space="0"/>
              <w:left w:val="single" w:color="000000" w:sz="4" w:space="0"/>
              <w:bottom w:val="single" w:color="000000" w:sz="4" w:space="0"/>
              <w:right w:val="single" w:color="000000" w:sz="4" w:space="0"/>
            </w:tcBorders>
            <w:noWrap w:val="0"/>
            <w:vAlign w:val="center"/>
          </w:tcPr>
          <w:p w14:paraId="0BD1A2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年度目标</w:t>
            </w:r>
          </w:p>
        </w:tc>
      </w:tr>
      <w:tr w14:paraId="7E8C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877E0">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9581" w:type="dxa"/>
            <w:gridSpan w:val="9"/>
            <w:tcBorders>
              <w:top w:val="single" w:color="000000" w:sz="4" w:space="0"/>
              <w:left w:val="single" w:color="000000" w:sz="4" w:space="0"/>
              <w:bottom w:val="single" w:color="000000" w:sz="4" w:space="0"/>
              <w:right w:val="single" w:color="000000" w:sz="4" w:space="0"/>
            </w:tcBorders>
            <w:noWrap w:val="0"/>
            <w:vAlign w:val="center"/>
          </w:tcPr>
          <w:p w14:paraId="20894BA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sz w:val="18"/>
                <w:szCs w:val="18"/>
                <w:u w:val="none"/>
              </w:rPr>
              <w:t>中共渠县县委社会工作部于2024年4月29日，正式揭牌成立。根据政府批示同意，解决前期运行经费10万元。</w:t>
            </w:r>
          </w:p>
        </w:tc>
      </w:tr>
      <w:tr w14:paraId="0E955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2054A9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64A26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CEE39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76757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F3272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69E23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C3FB17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7D26F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841" w:type="dxa"/>
            <w:gridSpan w:val="2"/>
            <w:tcBorders>
              <w:top w:val="single" w:color="000000" w:sz="4" w:space="0"/>
              <w:left w:val="single" w:color="000000" w:sz="4" w:space="0"/>
              <w:bottom w:val="single" w:color="000000" w:sz="4" w:space="0"/>
              <w:right w:val="single" w:color="000000" w:sz="4" w:space="0"/>
            </w:tcBorders>
            <w:noWrap w:val="0"/>
            <w:vAlign w:val="center"/>
          </w:tcPr>
          <w:p w14:paraId="3900AD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实际完成指标值</w:t>
            </w:r>
          </w:p>
        </w:tc>
      </w:tr>
      <w:tr w14:paraId="3D10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2EA3D9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6F36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4096C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7DCA3D9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前期筹备组建工作合格率</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4AEC6C3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6064730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95</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7D5A239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w:t>
            </w:r>
          </w:p>
        </w:tc>
        <w:tc>
          <w:tcPr>
            <w:tcW w:w="1128" w:type="dxa"/>
            <w:gridSpan w:val="2"/>
            <w:tcBorders>
              <w:top w:val="single" w:color="000000" w:sz="4" w:space="0"/>
              <w:left w:val="single" w:color="000000" w:sz="4" w:space="0"/>
              <w:right w:val="single" w:color="000000" w:sz="4" w:space="0"/>
            </w:tcBorders>
            <w:shd w:val="clear" w:color="auto" w:fill="auto"/>
            <w:noWrap w:val="0"/>
            <w:vAlign w:val="center"/>
          </w:tcPr>
          <w:p w14:paraId="736A592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10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15F2B">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100</w:t>
            </w:r>
          </w:p>
        </w:tc>
      </w:tr>
      <w:tr w14:paraId="55C61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23A9F7F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DB3B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F98B5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38AF9244">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hint="eastAsia" w:ascii="等线" w:hAnsi="等线" w:eastAsia="等线" w:cs="等线"/>
                <w:i w:val="0"/>
                <w:iCs w:val="0"/>
                <w:color w:val="000000"/>
                <w:kern w:val="0"/>
                <w:sz w:val="18"/>
                <w:szCs w:val="18"/>
                <w:u w:val="none"/>
                <w:lang w:val="en-US" w:eastAsia="zh-CN" w:bidi="ar"/>
              </w:rPr>
              <w:t>开展前期筹备组建工作时限</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70C727FA">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747B4419">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hint="eastAsia" w:ascii="等线" w:hAnsi="等线" w:eastAsia="等线" w:cs="等线"/>
                <w:i w:val="0"/>
                <w:iCs w:val="0"/>
                <w:color w:val="000000"/>
                <w:kern w:val="0"/>
                <w:sz w:val="18"/>
                <w:szCs w:val="18"/>
                <w:u w:val="none"/>
                <w:lang w:val="en-US" w:eastAsia="zh-CN" w:bidi="ar"/>
              </w:rPr>
              <w:t>8</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12660186">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hint="eastAsia" w:ascii="等线" w:hAnsi="等线" w:eastAsia="等线" w:cs="等线"/>
                <w:i w:val="0"/>
                <w:iCs w:val="0"/>
                <w:color w:val="000000"/>
                <w:kern w:val="0"/>
                <w:sz w:val="18"/>
                <w:szCs w:val="18"/>
                <w:u w:val="none"/>
                <w:lang w:val="en-US" w:eastAsia="zh-CN" w:bidi="ar"/>
              </w:rPr>
              <w:t>月</w:t>
            </w:r>
          </w:p>
        </w:tc>
        <w:tc>
          <w:tcPr>
            <w:tcW w:w="1128" w:type="dxa"/>
            <w:gridSpan w:val="2"/>
            <w:tcBorders>
              <w:top w:val="single" w:color="000000" w:sz="4" w:space="0"/>
              <w:left w:val="single" w:color="000000" w:sz="4" w:space="0"/>
              <w:right w:val="single" w:color="000000" w:sz="4" w:space="0"/>
            </w:tcBorders>
            <w:shd w:val="clear" w:color="auto" w:fill="auto"/>
            <w:noWrap w:val="0"/>
            <w:vAlign w:val="center"/>
          </w:tcPr>
          <w:p w14:paraId="1B27FA7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20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46A53">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100</w:t>
            </w:r>
          </w:p>
        </w:tc>
      </w:tr>
      <w:tr w14:paraId="2884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8"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9F39AA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E5AE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63147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10A9DBDE">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组建各个职能部门科室</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28B83C9F">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56D04CBF">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4</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1A4F4B0F">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right w:val="single" w:color="000000" w:sz="4" w:space="0"/>
            </w:tcBorders>
            <w:shd w:val="clear" w:color="auto" w:fill="auto"/>
            <w:noWrap w:val="0"/>
            <w:vAlign w:val="center"/>
          </w:tcPr>
          <w:p w14:paraId="1E942FCF">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20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FE774">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100</w:t>
            </w:r>
          </w:p>
        </w:tc>
      </w:tr>
      <w:tr w14:paraId="561B8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5"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49D969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0A008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50" w:type="dxa"/>
            <w:tcBorders>
              <w:top w:val="single" w:color="000000" w:sz="4" w:space="0"/>
              <w:left w:val="single" w:color="000000" w:sz="4" w:space="0"/>
              <w:right w:val="single" w:color="000000" w:sz="4" w:space="0"/>
            </w:tcBorders>
            <w:noWrap w:val="0"/>
            <w:vAlign w:val="center"/>
          </w:tcPr>
          <w:p w14:paraId="5EDB4E6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5BD31C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0FB2A00D">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促进社会发展进步</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75F5A6A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定性</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21ECCC66">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促进</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30794EDA">
            <w:pPr>
              <w:jc w:val="center"/>
              <w:rPr>
                <w:rFonts w:hint="default" w:ascii="宋体" w:hAnsi="宋体" w:eastAsia="宋体" w:cs="宋体"/>
                <w:color w:val="000000"/>
                <w:kern w:val="0"/>
                <w:sz w:val="18"/>
                <w:szCs w:val="18"/>
                <w:lang w:val="en-US" w:eastAsia="zh-CN" w:bidi="ar"/>
              </w:rPr>
            </w:pPr>
          </w:p>
        </w:tc>
        <w:tc>
          <w:tcPr>
            <w:tcW w:w="1128" w:type="dxa"/>
            <w:gridSpan w:val="2"/>
            <w:tcBorders>
              <w:top w:val="single" w:color="000000" w:sz="4" w:space="0"/>
              <w:left w:val="single" w:color="000000" w:sz="4" w:space="0"/>
              <w:right w:val="single" w:color="000000" w:sz="4" w:space="0"/>
            </w:tcBorders>
            <w:shd w:val="clear" w:color="auto" w:fill="auto"/>
            <w:noWrap w:val="0"/>
            <w:vAlign w:val="center"/>
          </w:tcPr>
          <w:p w14:paraId="5C84144E">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20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E7B09">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100</w:t>
            </w:r>
          </w:p>
        </w:tc>
      </w:tr>
      <w:tr w14:paraId="438B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8A815A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right w:val="single" w:color="000000" w:sz="4" w:space="0"/>
            </w:tcBorders>
            <w:noWrap w:val="0"/>
            <w:vAlign w:val="center"/>
          </w:tcPr>
          <w:p w14:paraId="4BAA00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满意度</w:t>
            </w:r>
          </w:p>
          <w:p w14:paraId="433D68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250" w:type="dxa"/>
            <w:tcBorders>
              <w:top w:val="single" w:color="000000" w:sz="4" w:space="0"/>
              <w:left w:val="single" w:color="000000" w:sz="4" w:space="0"/>
              <w:right w:val="single" w:color="000000" w:sz="4" w:space="0"/>
            </w:tcBorders>
            <w:noWrap w:val="0"/>
            <w:vAlign w:val="center"/>
          </w:tcPr>
          <w:p w14:paraId="31A04C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服务对象</w:t>
            </w:r>
          </w:p>
          <w:p w14:paraId="3812ED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312" w:type="dxa"/>
            <w:tcBorders>
              <w:top w:val="single" w:color="000000" w:sz="4" w:space="0"/>
              <w:bottom w:val="single" w:color="000000" w:sz="4" w:space="0"/>
              <w:right w:val="single" w:color="000000" w:sz="4" w:space="0"/>
            </w:tcBorders>
            <w:shd w:val="clear" w:color="auto" w:fill="auto"/>
            <w:noWrap w:val="0"/>
            <w:vAlign w:val="center"/>
          </w:tcPr>
          <w:p w14:paraId="124E9AD1">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群众满意</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7C23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85F9D">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96</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DF130">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94FC6">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20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F7A14">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100</w:t>
            </w:r>
          </w:p>
        </w:tc>
      </w:tr>
      <w:tr w14:paraId="0CF9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B4CD21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073CE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A5F50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经济成本</w:t>
            </w:r>
          </w:p>
          <w:p w14:paraId="71D400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12" w:type="dxa"/>
            <w:tcBorders>
              <w:top w:val="single" w:color="000000" w:sz="4" w:space="0"/>
              <w:bottom w:val="single" w:color="000000" w:sz="4" w:space="0"/>
              <w:right w:val="single" w:color="000000" w:sz="4" w:space="0"/>
            </w:tcBorders>
            <w:shd w:val="clear" w:color="auto" w:fill="auto"/>
            <w:noWrap w:val="0"/>
            <w:vAlign w:val="center"/>
          </w:tcPr>
          <w:p w14:paraId="665B1814">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严格控制成本</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F049A">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FD93B">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100000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B5D15">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元</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F6A3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10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41085">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100</w:t>
            </w:r>
          </w:p>
        </w:tc>
      </w:tr>
    </w:tbl>
    <w:p w14:paraId="607E2833">
      <w:pPr>
        <w:pStyle w:val="34"/>
        <w:keepNext w:val="0"/>
        <w:keepLines w:val="0"/>
        <w:pageBreakBefore w:val="0"/>
        <w:widowControl w:val="0"/>
        <w:kinsoku/>
        <w:wordWrap/>
        <w:overflowPunct/>
        <w:topLinePunct w:val="0"/>
        <w:autoSpaceDE/>
        <w:autoSpaceDN/>
        <w:bidi w:val="0"/>
        <w:adjustRightInd/>
        <w:snapToGrid/>
        <w:spacing w:beforeLines="0" w:afterLines="0" w:line="578" w:lineRule="exact"/>
        <w:jc w:val="center"/>
        <w:textAlignment w:val="auto"/>
        <w:rPr>
          <w:rFonts w:hint="default" w:ascii="Times New Roman" w:hAnsi="Times New Roman" w:eastAsia="方正小标宋简体" w:cs="Times New Roman"/>
          <w:color w:val="auto"/>
          <w:kern w:val="2"/>
          <w:sz w:val="44"/>
          <w:szCs w:val="44"/>
          <w:lang w:val="en-US" w:eastAsia="zh-CN"/>
        </w:rPr>
      </w:pPr>
      <w:r>
        <w:rPr>
          <w:rFonts w:hint="eastAsia" w:ascii="Times New Roman" w:hAnsi="Times New Roman" w:eastAsia="仿宋_GB2312" w:cs="仿宋_GB2312"/>
          <w:b w:val="0"/>
          <w:bCs w:val="0"/>
          <w:kern w:val="0"/>
          <w:position w:val="0"/>
          <w:sz w:val="32"/>
          <w:szCs w:val="32"/>
          <w:highlight w:val="none"/>
          <w:lang w:val="en-US" w:eastAsia="zh-CN" w:bidi="ar-SA"/>
        </w:rPr>
        <w:br w:type="page"/>
      </w:r>
      <w:r>
        <w:rPr>
          <w:rFonts w:hint="default" w:ascii="Times New Roman" w:hAnsi="Times New Roman" w:eastAsia="方正小标宋简体" w:cs="Times New Roman"/>
          <w:color w:val="auto"/>
          <w:kern w:val="2"/>
          <w:sz w:val="44"/>
          <w:szCs w:val="44"/>
          <w:lang w:val="en-US" w:eastAsia="zh-CN"/>
        </w:rPr>
        <w:t>2024年城乡基层治理工作经费</w:t>
      </w:r>
    </w:p>
    <w:p w14:paraId="798B8BA1">
      <w:pPr>
        <w:pStyle w:val="34"/>
        <w:keepNext w:val="0"/>
        <w:keepLines w:val="0"/>
        <w:pageBreakBefore w:val="0"/>
        <w:widowControl w:val="0"/>
        <w:kinsoku/>
        <w:wordWrap/>
        <w:overflowPunct/>
        <w:topLinePunct w:val="0"/>
        <w:autoSpaceDE/>
        <w:autoSpaceDN/>
        <w:bidi w:val="0"/>
        <w:adjustRightInd/>
        <w:snapToGrid/>
        <w:spacing w:beforeLines="0" w:afterLines="0" w:line="578" w:lineRule="exact"/>
        <w:jc w:val="center"/>
        <w:textAlignment w:val="auto"/>
        <w:rPr>
          <w:rFonts w:hint="eastAsia" w:ascii="Times New Roman" w:hAnsi="Times New Roman" w:eastAsia="方正小标宋简体" w:cs="Times New Roman"/>
          <w:color w:val="auto"/>
          <w:kern w:val="2"/>
          <w:sz w:val="44"/>
          <w:szCs w:val="44"/>
          <w:lang w:eastAsia="zh-CN"/>
        </w:rPr>
      </w:pPr>
      <w:r>
        <w:rPr>
          <w:rFonts w:hint="default" w:ascii="Times New Roman" w:hAnsi="Times New Roman" w:eastAsia="方正小标宋简体" w:cs="Times New Roman"/>
          <w:color w:val="auto"/>
          <w:kern w:val="2"/>
          <w:sz w:val="44"/>
          <w:szCs w:val="44"/>
        </w:rPr>
        <w:t>绩效评价报告</w:t>
      </w:r>
    </w:p>
    <w:p w14:paraId="5CF0D1F6">
      <w:pPr>
        <w:pStyle w:val="34"/>
        <w:keepNext w:val="0"/>
        <w:keepLines w:val="0"/>
        <w:pageBreakBefore w:val="0"/>
        <w:kinsoku/>
        <w:wordWrap/>
        <w:overflowPunct/>
        <w:topLinePunct w:val="0"/>
        <w:autoSpaceDE/>
        <w:autoSpaceDN/>
        <w:bidi w:val="0"/>
        <w:spacing w:beforeLines="0" w:afterLines="0" w:line="578" w:lineRule="exact"/>
        <w:ind w:firstLine="640"/>
        <w:jc w:val="center"/>
        <w:textAlignment w:val="auto"/>
        <w:rPr>
          <w:rFonts w:hint="default" w:ascii="Times New Roman" w:hAnsi="Times New Roman" w:eastAsia="Times New Roman" w:cs="Times New Roman"/>
          <w:color w:val="auto"/>
          <w:kern w:val="2"/>
          <w:sz w:val="32"/>
          <w:szCs w:val="32"/>
        </w:rPr>
      </w:pPr>
    </w:p>
    <w:p w14:paraId="3BA6CA1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val="zh-CN" w:eastAsia="zh-CN"/>
        </w:rPr>
      </w:pPr>
      <w:r>
        <w:rPr>
          <w:rFonts w:hint="default" w:ascii="Times New Roman" w:hAnsi="Times New Roman" w:eastAsia="黑体" w:cs="Times New Roman"/>
          <w:sz w:val="32"/>
          <w:szCs w:val="32"/>
          <w:highlight w:val="none"/>
          <w:lang w:val="en-US" w:eastAsia="zh-CN"/>
        </w:rPr>
        <w:t>一、</w:t>
      </w:r>
      <w:r>
        <w:rPr>
          <w:rFonts w:hint="default" w:ascii="Times New Roman" w:hAnsi="Times New Roman" w:eastAsia="黑体" w:cs="Times New Roman"/>
          <w:sz w:val="32"/>
          <w:szCs w:val="32"/>
          <w:highlight w:val="none"/>
          <w:lang w:val="zh-CN" w:eastAsia="zh-CN"/>
        </w:rPr>
        <w:t>项目概况</w:t>
      </w:r>
    </w:p>
    <w:p w14:paraId="06EE613D">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（一）设立背景及基本情况</w:t>
      </w:r>
    </w:p>
    <w:p w14:paraId="284645A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为</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健全落实党建引领基层治理领导体制和工作机制，统筹推进党建引领基层治理和基层政权建设，协调推进城乡社区治理体系、服务体系和治理能力建设，推动基层民主建设，指导监督基层群众</w:t>
      </w:r>
      <w:r>
        <w:rPr>
          <w:rFonts w:hint="default" w:ascii="Times New Roman" w:hAnsi="Times New Roman" w:eastAsia="仿宋_GB2312" w:cs="Times New Roman"/>
          <w:color w:val="auto"/>
          <w:kern w:val="0"/>
          <w:sz w:val="32"/>
          <w:szCs w:val="32"/>
          <w:highlight w:val="none"/>
          <w:u w:val="none"/>
          <w:shd w:val="clear" w:color="auto" w:fill="FFFFFF"/>
          <w:lang w:val="zh-CN"/>
        </w:rPr>
        <w:t>自治制度的有效实施，健全基层群众自治机制。</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财政局印发渠财行</w:t>
      </w:r>
      <w:r>
        <w:rPr>
          <w:rFonts w:hint="eastAsia" w:eastAsia="仿宋_GB2312" w:cs="Times New Roman"/>
          <w:color w:val="auto"/>
          <w:kern w:val="0"/>
          <w:sz w:val="32"/>
          <w:szCs w:val="32"/>
          <w:highlight w:val="none"/>
          <w:u w:val="none"/>
          <w:shd w:val="clear" w:color="auto" w:fill="FFFFFF"/>
          <w:lang w:val="en-US"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2024</w:t>
      </w:r>
      <w:r>
        <w:rPr>
          <w:rFonts w:hint="eastAsia" w:eastAsia="仿宋_GB2312" w:cs="Times New Roman"/>
          <w:color w:val="auto"/>
          <w:kern w:val="0"/>
          <w:sz w:val="32"/>
          <w:szCs w:val="32"/>
          <w:highlight w:val="none"/>
          <w:u w:val="none"/>
          <w:shd w:val="clear" w:color="auto" w:fill="FFFFFF"/>
          <w:lang w:val="en-US"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51号文件，中国共产党渠县委员会社会工作部立项</w:t>
      </w:r>
      <w:r>
        <w:rPr>
          <w:rFonts w:hint="default" w:ascii="Times New Roman" w:hAnsi="Times New Roman" w:eastAsia="仿宋_GB2312" w:cs="Times New Roman"/>
          <w:color w:val="auto"/>
          <w:kern w:val="0"/>
          <w:sz w:val="32"/>
          <w:szCs w:val="32"/>
          <w:highlight w:val="none"/>
          <w:u w:val="none"/>
          <w:shd w:val="clear" w:color="auto" w:fill="FFFFFF"/>
          <w:lang w:val="en-US" w:eastAsia="zh-CN"/>
        </w:rPr>
        <w:t>2024年城乡基层治理工作经费</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按规定申报资金。</w:t>
      </w:r>
    </w:p>
    <w:p w14:paraId="534A0BD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县委社会工作部</w:t>
      </w:r>
      <w:r>
        <w:rPr>
          <w:rFonts w:hint="default" w:ascii="Times New Roman" w:hAnsi="Times New Roman" w:eastAsia="仿宋_GB2312" w:cs="Times New Roman"/>
          <w:color w:val="auto"/>
          <w:kern w:val="0"/>
          <w:sz w:val="32"/>
          <w:szCs w:val="32"/>
          <w:highlight w:val="none"/>
          <w:u w:val="none"/>
          <w:shd w:val="clear" w:color="auto" w:fill="FFFFFF"/>
          <w:lang w:val="zh-CN" w:eastAsia="zh-CN"/>
        </w:rPr>
        <w:t>承担全县党建引领基层治理和基层政权建设等相</w:t>
      </w:r>
      <w:r>
        <w:rPr>
          <w:rFonts w:hint="default" w:ascii="Times New Roman" w:hAnsi="Times New Roman" w:eastAsia="仿宋_GB2312" w:cs="Times New Roman"/>
          <w:color w:val="auto"/>
          <w:kern w:val="0"/>
          <w:sz w:val="32"/>
          <w:szCs w:val="32"/>
          <w:highlight w:val="none"/>
          <w:u w:val="none"/>
          <w:shd w:val="clear" w:color="auto" w:fill="FFFFFF"/>
          <w:lang w:val="zh-CN"/>
        </w:rPr>
        <w:t>关重要政策的综合研究、拟订审核和指导协调工作。指导健全和落实党建引领基层治理领导体制和工作机制。贯彻落实和指导实施中省市县关于基层政权建设和基层治 理有关政策。承担城乡社区治理体系、服务体系和治理能力建设的指导协调和推进工作。承担推动基层民主政治建设有关工作，指导监督基层群众性自治组织规范化建设。承担人</w:t>
      </w:r>
      <w:r>
        <w:rPr>
          <w:rFonts w:hint="default" w:ascii="Times New Roman" w:hAnsi="Times New Roman" w:eastAsia="仿宋_GB2312" w:cs="Times New Roman"/>
          <w:color w:val="auto"/>
          <w:kern w:val="0"/>
          <w:sz w:val="32"/>
          <w:szCs w:val="32"/>
          <w:highlight w:val="none"/>
          <w:u w:val="none"/>
          <w:shd w:val="clear" w:color="auto" w:fill="FFFFFF"/>
          <w:lang w:val="zh-CN" w:eastAsia="zh-CN"/>
        </w:rPr>
        <w:t>民建议征集有关工作，负责对各乡镇(街道)和县直园区人民建议征集工作的检查、督促、指导。开展重要信访问题的调查研究，提出解决问题的意见和建议等，协调处理信访工作的重大问题。</w:t>
      </w:r>
    </w:p>
    <w:p w14:paraId="4D11D64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kern w:val="2"/>
          <w:sz w:val="32"/>
          <w:szCs w:val="32"/>
          <w:lang w:val="en-US" w:eastAsia="zh-CN" w:bidi="ar-SA"/>
        </w:rPr>
        <w:t>（二）</w:t>
      </w:r>
      <w:r>
        <w:rPr>
          <w:rFonts w:hint="default" w:ascii="Times New Roman" w:hAnsi="Times New Roman" w:eastAsia="楷体_GB2312" w:cs="Times New Roman"/>
          <w:b/>
          <w:color w:val="auto"/>
          <w:sz w:val="32"/>
          <w:szCs w:val="32"/>
          <w:highlight w:val="none"/>
          <w:u w:val="none"/>
          <w:lang w:val="en-US" w:eastAsia="zh-CN"/>
        </w:rPr>
        <w:t>实施目的及支持方向</w:t>
      </w:r>
    </w:p>
    <w:p w14:paraId="3503749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已严格按要求制定项目</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资金</w:t>
      </w:r>
      <w:r>
        <w:rPr>
          <w:rFonts w:hint="default" w:ascii="Times New Roman" w:hAnsi="Times New Roman" w:eastAsia="仿宋_GB2312" w:cs="Times New Roman"/>
          <w:color w:val="auto"/>
          <w:kern w:val="0"/>
          <w:sz w:val="32"/>
          <w:szCs w:val="32"/>
          <w:highlight w:val="none"/>
          <w:u w:val="none"/>
          <w:shd w:val="clear" w:color="auto" w:fill="FFFFFF"/>
          <w:lang w:val="zh-CN" w:eastAsia="zh-CN"/>
        </w:rPr>
        <w:t>管理办法</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eastAsia="zh-CN"/>
        </w:rPr>
        <w:t>项目实施目的和主要工作任务</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是</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健全落实党建引领基层治理领导体制和工作机制，统筹推进党建</w:t>
      </w:r>
      <w:r>
        <w:rPr>
          <w:rFonts w:hint="default" w:ascii="Times New Roman" w:hAnsi="Times New Roman" w:eastAsia="仿宋_GB2312" w:cs="Times New Roman"/>
          <w:color w:val="auto"/>
          <w:kern w:val="0"/>
          <w:sz w:val="32"/>
          <w:szCs w:val="32"/>
          <w:highlight w:val="none"/>
          <w:u w:val="none"/>
          <w:shd w:val="clear" w:color="auto" w:fill="FFFFFF"/>
          <w:lang w:val="zh-CN"/>
        </w:rPr>
        <w:t>引领基层治理和基层政权建设，协调推进城乡社区治理体系、服务体系和治理能力建设，推动基层民主建设，指导监督基层群众自治制度的有效实施，健全基层群众自治机制。</w:t>
      </w:r>
    </w:p>
    <w:p w14:paraId="6FE06A1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kern w:val="2"/>
          <w:sz w:val="32"/>
          <w:szCs w:val="32"/>
          <w:lang w:val="en-US" w:eastAsia="zh-CN" w:bidi="ar-SA"/>
        </w:rPr>
        <w:t>（三）</w:t>
      </w:r>
      <w:r>
        <w:rPr>
          <w:rFonts w:hint="default" w:ascii="Times New Roman" w:hAnsi="Times New Roman" w:eastAsia="楷体_GB2312" w:cs="Times New Roman"/>
          <w:b/>
          <w:color w:val="auto"/>
          <w:sz w:val="32"/>
          <w:szCs w:val="32"/>
          <w:highlight w:val="none"/>
          <w:u w:val="none"/>
          <w:lang w:val="en-US" w:eastAsia="zh-CN"/>
        </w:rPr>
        <w:t>预算安排及分配管理</w:t>
      </w:r>
    </w:p>
    <w:p w14:paraId="1AF4D23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等线" w:hAnsi="等线" w:eastAsia="仿宋_GB2312" w:cs="等线"/>
          <w:i w:val="0"/>
          <w:iCs w:val="0"/>
          <w:color w:val="000000"/>
          <w:kern w:val="0"/>
          <w:sz w:val="18"/>
          <w:szCs w:val="18"/>
          <w:highlight w:val="none"/>
          <w:u w:val="none"/>
          <w:shd w:val="clear" w:color="auto" w:fill="FFFFFF"/>
          <w:lang w:val="en-US" w:eastAsia="zh-CN" w:bidi="ar"/>
        </w:rPr>
      </w:pPr>
      <w:r>
        <w:rPr>
          <w:rFonts w:hint="default" w:ascii="Times New Roman" w:hAnsi="Times New Roman" w:eastAsia="仿宋_GB2312" w:cs="Times New Roman"/>
          <w:color w:val="auto"/>
          <w:kern w:val="0"/>
          <w:sz w:val="32"/>
          <w:szCs w:val="32"/>
          <w:highlight w:val="none"/>
          <w:u w:val="none"/>
          <w:shd w:val="clear" w:color="auto" w:fill="FFFFFF"/>
          <w:lang w:val="zh-CN" w:eastAsia="zh-CN"/>
        </w:rPr>
        <w:t>项目预算安排情况</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一是</w:t>
      </w:r>
      <w:r>
        <w:rPr>
          <w:rFonts w:hint="default" w:ascii="Times New Roman" w:hAnsi="Times New Roman" w:eastAsia="仿宋_GB2312" w:cs="Times New Roman"/>
          <w:color w:val="auto"/>
          <w:kern w:val="0"/>
          <w:sz w:val="32"/>
          <w:szCs w:val="32"/>
          <w:highlight w:val="none"/>
          <w:u w:val="none"/>
          <w:shd w:val="clear" w:color="auto" w:fill="FFFFFF"/>
          <w:lang w:val="zh-CN"/>
        </w:rPr>
        <w:t>开展全县村社区“两委”班子成员审核工作</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项目资金占比50%</w:t>
      </w:r>
      <w:r>
        <w:rPr>
          <w:rFonts w:hint="eastAsia" w:ascii="Times New Roman" w:hAnsi="Times New Roman" w:eastAsia="仿宋_GB2312" w:cs="Times New Roman"/>
          <w:color w:val="auto"/>
          <w:kern w:val="0"/>
          <w:sz w:val="32"/>
          <w:szCs w:val="32"/>
          <w:highlight w:val="none"/>
          <w:u w:val="none"/>
          <w:shd w:val="clear" w:color="auto" w:fill="FFFFFF"/>
          <w:lang w:val="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二是开展社区工作者队伍建设培育，培训项目资金占比20%；三是</w:t>
      </w:r>
      <w:r>
        <w:rPr>
          <w:rFonts w:hint="default" w:ascii="Times New Roman" w:hAnsi="Times New Roman" w:eastAsia="仿宋_GB2312" w:cs="Times New Roman"/>
          <w:color w:val="auto"/>
          <w:kern w:val="0"/>
          <w:sz w:val="32"/>
          <w:szCs w:val="32"/>
          <w:highlight w:val="none"/>
          <w:u w:val="none"/>
          <w:shd w:val="clear" w:color="auto" w:fill="FFFFFF"/>
          <w:lang w:val="zh-CN"/>
        </w:rPr>
        <w:t>人民建议征集工作</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项目资金占比10%</w:t>
      </w:r>
      <w:r>
        <w:rPr>
          <w:rFonts w:hint="eastAsia" w:ascii="Times New Roman" w:hAnsi="Times New Roman" w:eastAsia="仿宋_GB2312" w:cs="Times New Roman"/>
          <w:color w:val="auto"/>
          <w:kern w:val="0"/>
          <w:sz w:val="32"/>
          <w:szCs w:val="32"/>
          <w:highlight w:val="none"/>
          <w:u w:val="none"/>
          <w:shd w:val="clear" w:color="auto" w:fill="FFFFFF"/>
          <w:lang w:val="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四是村务公开工作项目资金占比20%。</w:t>
      </w:r>
      <w:r>
        <w:rPr>
          <w:rFonts w:hint="default" w:ascii="Times New Roman" w:hAnsi="Times New Roman" w:eastAsia="仿宋_GB2312" w:cs="Times New Roman"/>
          <w:color w:val="auto"/>
          <w:kern w:val="0"/>
          <w:sz w:val="32"/>
          <w:szCs w:val="32"/>
          <w:highlight w:val="none"/>
          <w:u w:val="none"/>
          <w:shd w:val="clear" w:color="auto" w:fill="FFFFFF"/>
          <w:lang w:val="zh-CN" w:eastAsia="zh-CN"/>
        </w:rPr>
        <w:t>项目</w:t>
      </w:r>
      <w:r>
        <w:rPr>
          <w:rFonts w:hint="default" w:ascii="Times New Roman" w:hAnsi="Times New Roman" w:eastAsia="仿宋_GB2312" w:cs="Times New Roman"/>
          <w:color w:val="auto"/>
          <w:kern w:val="0"/>
          <w:sz w:val="32"/>
          <w:szCs w:val="32"/>
          <w:highlight w:val="none"/>
          <w:u w:val="none"/>
          <w:shd w:val="clear" w:color="auto" w:fill="FFFFFF"/>
          <w:lang w:val="zh-CN"/>
        </w:rPr>
        <w:t>资金分配原则</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是据实据效原则。</w:t>
      </w:r>
    </w:p>
    <w:p w14:paraId="098C45A8">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kern w:val="2"/>
          <w:sz w:val="32"/>
          <w:szCs w:val="32"/>
          <w:lang w:val="zh-CN" w:eastAsia="zh-CN" w:bidi="ar-SA"/>
        </w:rPr>
        <w:t>（四）</w:t>
      </w:r>
      <w:r>
        <w:rPr>
          <w:rFonts w:hint="default" w:ascii="Times New Roman" w:hAnsi="Times New Roman" w:eastAsia="楷体_GB2312" w:cs="Times New Roman"/>
          <w:b/>
          <w:color w:val="auto"/>
          <w:sz w:val="32"/>
          <w:szCs w:val="32"/>
          <w:highlight w:val="none"/>
          <w:u w:val="none"/>
          <w:lang w:val="zh-CN" w:eastAsia="zh-CN"/>
        </w:rPr>
        <w:t>项目绩效目标设置</w:t>
      </w:r>
    </w:p>
    <w:p w14:paraId="068E1D8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该项目依据2025年专项预算项目绩效评价指标体系要求进行绩效自评，对项目绩效指标进行综合评分，确保项目自评结果的准确性，并编制《专项预算项目绩效目标完成情况自评表》。</w:t>
      </w:r>
    </w:p>
    <w:p w14:paraId="5517CF4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1846484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7BC8DD07">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通过对该项目绩效进行自评，厘清资金使用去向构成，为下次的项目绩效目标、资金明细等制定提供有力决策依据。</w:t>
      </w:r>
    </w:p>
    <w:p w14:paraId="0769ED5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en-US" w:eastAsia="zh-CN"/>
        </w:rPr>
        <w:t>二</w:t>
      </w:r>
      <w:r>
        <w:rPr>
          <w:rFonts w:hint="default" w:ascii="Times New Roman" w:hAnsi="Times New Roman" w:eastAsia="楷体_GB2312" w:cs="Times New Roman"/>
          <w:b/>
          <w:color w:val="auto"/>
          <w:sz w:val="32"/>
          <w:szCs w:val="32"/>
          <w:highlight w:val="none"/>
          <w:u w:val="none"/>
          <w:lang w:val="zh-CN"/>
        </w:rPr>
        <w:t>）预设问题及评价重点</w:t>
      </w:r>
    </w:p>
    <w:p w14:paraId="43DB196A">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color w:val="auto"/>
          <w:kern w:val="0"/>
          <w:sz w:val="32"/>
          <w:szCs w:val="32"/>
          <w:highlight w:val="none"/>
          <w:u w:val="none"/>
          <w:shd w:val="clear" w:color="auto" w:fill="FFFFFF"/>
          <w:lang w:val="zh-CN" w:eastAsia="zh-CN"/>
        </w:rPr>
      </w:pP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按</w:t>
      </w: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预期目标</w:t>
      </w: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完成</w:t>
      </w: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，实施结果与绩效目标相匹配。</w:t>
      </w:r>
    </w:p>
    <w:p w14:paraId="323EA19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资金支出使用全过程</w:t>
      </w:r>
      <w:r>
        <w:rPr>
          <w:rFonts w:hint="eastAsia" w:ascii="Times New Roman" w:hAnsi="Times New Roman" w:eastAsia="仿宋_GB2312" w:cs="Times New Roman"/>
          <w:color w:val="auto"/>
          <w:sz w:val="32"/>
          <w:szCs w:val="32"/>
          <w:lang w:val="en-US" w:eastAsia="zh-CN"/>
        </w:rPr>
        <w:t>完善无任何其他问题，</w:t>
      </w:r>
      <w:r>
        <w:rPr>
          <w:rFonts w:hint="default" w:ascii="Times New Roman" w:hAnsi="Times New Roman" w:eastAsia="仿宋_GB2312" w:cs="Times New Roman"/>
          <w:color w:val="auto"/>
          <w:sz w:val="32"/>
          <w:szCs w:val="32"/>
        </w:rPr>
        <w:t>实施效果</w:t>
      </w:r>
      <w:r>
        <w:rPr>
          <w:rFonts w:hint="eastAsia" w:ascii="Times New Roman" w:hAnsi="Times New Roman" w:eastAsia="仿宋_GB2312" w:cs="Times New Roman"/>
          <w:color w:val="auto"/>
          <w:sz w:val="32"/>
          <w:szCs w:val="32"/>
          <w:lang w:val="en-US" w:eastAsia="zh-CN"/>
        </w:rPr>
        <w:t>良好。</w:t>
      </w:r>
    </w:p>
    <w:p w14:paraId="72CDBFFB">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Times New Roman" w:hAnsi="Times New Roman" w:eastAsia="楷体_GB2312" w:cs="Times New Roman"/>
          <w:b/>
          <w:color w:val="auto"/>
          <w:sz w:val="32"/>
          <w:szCs w:val="32"/>
          <w:highlight w:val="none"/>
          <w:u w:val="none"/>
          <w:lang w:val="zh-CN"/>
        </w:rPr>
      </w:pPr>
      <w:r>
        <w:rPr>
          <w:rFonts w:hint="eastAsia" w:ascii="Times New Roman" w:hAnsi="Times New Roman" w:eastAsia="楷体_GB2312" w:cs="Times New Roman"/>
          <w:b/>
          <w:color w:val="auto"/>
          <w:kern w:val="2"/>
          <w:sz w:val="32"/>
          <w:szCs w:val="32"/>
          <w:lang w:val="zh-CN" w:eastAsia="zh-CN" w:bidi="ar-SA"/>
        </w:rPr>
        <w:t>（三）</w:t>
      </w:r>
      <w:r>
        <w:rPr>
          <w:rFonts w:hint="default" w:ascii="Times New Roman" w:hAnsi="Times New Roman" w:eastAsia="楷体_GB2312" w:cs="Times New Roman"/>
          <w:b/>
          <w:color w:val="auto"/>
          <w:sz w:val="32"/>
          <w:szCs w:val="32"/>
          <w:highlight w:val="none"/>
          <w:u w:val="none"/>
          <w:lang w:val="zh-CN"/>
        </w:rPr>
        <w:t>评价方法</w:t>
      </w:r>
    </w:p>
    <w:p w14:paraId="4DD1FEE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项目绩效自评采用全面公平公正相结合原则考评。</w:t>
      </w:r>
      <w:r>
        <w:rPr>
          <w:rFonts w:hint="eastAsia"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城乡基层治理</w:t>
      </w:r>
      <w:r>
        <w:rPr>
          <w:rFonts w:hint="default" w:ascii="Times New Roman" w:hAnsi="Times New Roman" w:eastAsia="仿宋_GB2312" w:cs="Times New Roman"/>
          <w:color w:val="auto"/>
          <w:sz w:val="32"/>
          <w:szCs w:val="32"/>
          <w:lang w:val="zh-CN" w:eastAsia="zh-CN"/>
        </w:rPr>
        <w:t>工作开展和资金支付情况进行核查。</w:t>
      </w:r>
    </w:p>
    <w:p w14:paraId="5FE9788C">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楷体_GB2312" w:cs="Times New Roman"/>
          <w:b/>
          <w:color w:val="auto"/>
          <w:kern w:val="2"/>
          <w:sz w:val="32"/>
          <w:szCs w:val="32"/>
          <w:lang w:val="zh-CN" w:eastAsia="zh-CN" w:bidi="ar-SA"/>
        </w:rPr>
      </w:pPr>
      <w:r>
        <w:rPr>
          <w:rFonts w:hint="eastAsia" w:ascii="Times New Roman" w:hAnsi="Times New Roman" w:eastAsia="楷体_GB2312" w:cs="Times New Roman"/>
          <w:b/>
          <w:color w:val="auto"/>
          <w:kern w:val="2"/>
          <w:sz w:val="32"/>
          <w:szCs w:val="32"/>
          <w:lang w:val="zh-CN" w:eastAsia="zh-CN" w:bidi="ar-SA"/>
        </w:rPr>
        <w:t>（四）</w:t>
      </w:r>
      <w:r>
        <w:rPr>
          <w:rFonts w:hint="default" w:ascii="Times New Roman" w:hAnsi="Times New Roman" w:eastAsia="楷体_GB2312" w:cs="Times New Roman"/>
          <w:b/>
          <w:color w:val="auto"/>
          <w:kern w:val="2"/>
          <w:sz w:val="32"/>
          <w:szCs w:val="32"/>
          <w:lang w:val="zh-CN" w:eastAsia="zh-CN" w:bidi="ar-SA"/>
        </w:rPr>
        <w:t>评价组织</w:t>
      </w:r>
    </w:p>
    <w:p w14:paraId="4BF51F8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eastAsia="zh-CN"/>
        </w:rPr>
        <w:t>评价组人员由项目管理人员和财务人员共同进行，项目管理人员主要负</w:t>
      </w:r>
      <w:r>
        <w:rPr>
          <w:rFonts w:hint="default" w:ascii="Times New Roman" w:hAnsi="Times New Roman" w:eastAsia="仿宋_GB2312" w:cs="Times New Roman"/>
          <w:color w:val="auto"/>
          <w:sz w:val="32"/>
          <w:szCs w:val="32"/>
        </w:rPr>
        <w:t>责项目决策、项目管理、项目实施、项目结果等评价评分;财务人员主要负责用资金用途合规性、程序合规性、标准合规性评价评分。</w:t>
      </w:r>
    </w:p>
    <w:p w14:paraId="20D503CA">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eastAsia="仿宋_GB2312" w:cs="Times New Roman"/>
          <w:color w:val="auto"/>
          <w:sz w:val="32"/>
          <w:szCs w:val="32"/>
          <w:highlight w:val="none"/>
          <w:u w:val="none"/>
          <w:lang w:val="zh-CN"/>
        </w:rPr>
        <w:tab/>
      </w:r>
    </w:p>
    <w:p w14:paraId="6FD6F56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en-US" w:eastAsia="zh-CN"/>
        </w:rPr>
        <w:t>54分</w:t>
      </w:r>
      <w:r>
        <w:rPr>
          <w:rFonts w:hint="eastAsia" w:ascii="Times New Roman" w:hAnsi="Times New Roman" w:eastAsia="楷体_GB2312" w:cs="Times New Roman"/>
          <w:b/>
          <w:bCs/>
          <w:color w:val="auto"/>
          <w:kern w:val="0"/>
          <w:sz w:val="32"/>
          <w:szCs w:val="32"/>
          <w:highlight w:val="none"/>
          <w:shd w:val="clear" w:color="auto" w:fill="FFFFFF"/>
          <w:lang w:val="zh-CN"/>
        </w:rPr>
        <w:t>）</w:t>
      </w:r>
    </w:p>
    <w:p w14:paraId="6DF83CB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eastAsia" w:ascii="Times New Roman" w:hAnsi="Times New Roman" w:eastAsia="楷体_GB2312" w:cs="Times New Roman"/>
          <w:color w:val="auto"/>
          <w:sz w:val="32"/>
          <w:szCs w:val="32"/>
          <w:lang w:val="zh-CN" w:eastAsia="zh-CN"/>
        </w:rPr>
        <w:t>（</w:t>
      </w:r>
      <w:r>
        <w:rPr>
          <w:rFonts w:hint="eastAsia" w:ascii="Times New Roman" w:hAnsi="Times New Roman" w:eastAsia="楷体_GB2312" w:cs="Times New Roman"/>
          <w:color w:val="auto"/>
          <w:sz w:val="32"/>
          <w:szCs w:val="32"/>
          <w:lang w:val="en-US" w:eastAsia="zh-CN"/>
        </w:rPr>
        <w:t>18分</w:t>
      </w:r>
      <w:r>
        <w:rPr>
          <w:rFonts w:hint="eastAsia" w:ascii="Times New Roman" w:hAnsi="Times New Roman" w:eastAsia="楷体_GB2312" w:cs="Times New Roman"/>
          <w:color w:val="auto"/>
          <w:sz w:val="32"/>
          <w:szCs w:val="32"/>
          <w:lang w:val="zh-CN" w:eastAsia="zh-CN"/>
        </w:rPr>
        <w:t>）</w:t>
      </w:r>
    </w:p>
    <w:p w14:paraId="2025DC6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严格按照规定履行评估论证，并按照项目入库管理流程进行申报审核，项目规划论证符合中央、省、</w:t>
      </w:r>
      <w:r>
        <w:rPr>
          <w:rFonts w:hint="eastAsia"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政府和财政要求，项目绩效目标设置科学合理，项目资金与项目总体规划、相关行业事业发展相匹配，聚焦重大任务、重点领域、重点环节和重点项目。该指标得分18分。</w:t>
      </w:r>
    </w:p>
    <w:p w14:paraId="6567641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eastAsia="zh-CN"/>
        </w:rPr>
      </w:pPr>
      <w:r>
        <w:rPr>
          <w:rFonts w:hint="eastAsia"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eastAsia="zh-CN"/>
        </w:rPr>
        <w:t>项目管理</w:t>
      </w:r>
      <w:r>
        <w:rPr>
          <w:rFonts w:hint="eastAsia" w:ascii="Times New Roman" w:hAnsi="Times New Roman" w:eastAsia="楷体_GB2312" w:cs="Times New Roman"/>
          <w:color w:val="auto"/>
          <w:sz w:val="32"/>
          <w:szCs w:val="32"/>
          <w:lang w:val="zh-CN" w:eastAsia="zh-CN"/>
        </w:rPr>
        <w:t>（</w:t>
      </w:r>
      <w:r>
        <w:rPr>
          <w:rFonts w:hint="eastAsia" w:ascii="Times New Roman" w:hAnsi="Times New Roman" w:eastAsia="楷体_GB2312" w:cs="Times New Roman"/>
          <w:color w:val="auto"/>
          <w:sz w:val="32"/>
          <w:szCs w:val="32"/>
          <w:lang w:val="en-US" w:eastAsia="zh-CN"/>
        </w:rPr>
        <w:t>18分</w:t>
      </w:r>
      <w:r>
        <w:rPr>
          <w:rFonts w:hint="eastAsia" w:ascii="Times New Roman" w:hAnsi="Times New Roman" w:eastAsia="楷体_GB2312" w:cs="Times New Roman"/>
          <w:color w:val="auto"/>
          <w:sz w:val="32"/>
          <w:szCs w:val="32"/>
          <w:lang w:val="zh-CN" w:eastAsia="zh-CN"/>
        </w:rPr>
        <w:t>）</w:t>
      </w:r>
    </w:p>
    <w:p w14:paraId="12BFE78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项目制度办法体系健全、要素完备；项目资金分配因素选取、权重设置、区域分布，项目管理、审批符合管理要求；能够对绩效，项目绩效进行监管，并且按要求开展。该指标得分18分。</w:t>
      </w:r>
    </w:p>
    <w:p w14:paraId="4D13731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3.</w:t>
      </w:r>
      <w:r>
        <w:rPr>
          <w:rFonts w:hint="default" w:ascii="Times New Roman" w:hAnsi="Times New Roman" w:eastAsia="楷体_GB2312" w:cs="Times New Roman"/>
          <w:color w:val="auto"/>
          <w:sz w:val="32"/>
          <w:szCs w:val="32"/>
          <w:lang w:val="en-US" w:eastAsia="zh-CN"/>
        </w:rPr>
        <w:t>项目实施</w:t>
      </w:r>
      <w:r>
        <w:rPr>
          <w:rFonts w:hint="eastAsia" w:ascii="Times New Roman" w:hAnsi="Times New Roman" w:eastAsia="楷体_GB2312" w:cs="Times New Roman"/>
          <w:color w:val="auto"/>
          <w:sz w:val="32"/>
          <w:szCs w:val="32"/>
          <w:lang w:val="zh-CN" w:eastAsia="zh-CN"/>
        </w:rPr>
        <w:t>（</w:t>
      </w:r>
      <w:r>
        <w:rPr>
          <w:rFonts w:hint="eastAsia" w:ascii="Times New Roman" w:hAnsi="Times New Roman" w:eastAsia="楷体_GB2312" w:cs="Times New Roman"/>
          <w:color w:val="auto"/>
          <w:sz w:val="32"/>
          <w:szCs w:val="32"/>
          <w:lang w:val="en-US" w:eastAsia="zh-CN"/>
        </w:rPr>
        <w:t>9分</w:t>
      </w:r>
      <w:r>
        <w:rPr>
          <w:rFonts w:hint="eastAsia" w:ascii="Times New Roman" w:hAnsi="Times New Roman" w:eastAsia="楷体_GB2312" w:cs="Times New Roman"/>
          <w:color w:val="auto"/>
          <w:sz w:val="32"/>
          <w:szCs w:val="32"/>
          <w:lang w:val="zh-CN" w:eastAsia="zh-CN"/>
        </w:rPr>
        <w:t>）</w:t>
      </w:r>
    </w:p>
    <w:p w14:paraId="139D40F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截至2024年底，财政拨付项目资金40万元，进度100%，我部执行金额40万元，执行率100%。该指标得分9分。</w:t>
      </w:r>
    </w:p>
    <w:p w14:paraId="0E32990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en-US" w:eastAsia="zh-CN"/>
        </w:rPr>
        <w:t>项目结果</w:t>
      </w:r>
      <w:r>
        <w:rPr>
          <w:rFonts w:hint="eastAsia" w:ascii="Times New Roman" w:hAnsi="Times New Roman" w:eastAsia="楷体_GB2312" w:cs="Times New Roman"/>
          <w:color w:val="auto"/>
          <w:sz w:val="32"/>
          <w:szCs w:val="32"/>
          <w:lang w:val="zh-CN" w:eastAsia="zh-CN"/>
        </w:rPr>
        <w:t>（</w:t>
      </w:r>
      <w:r>
        <w:rPr>
          <w:rFonts w:hint="eastAsia" w:ascii="Times New Roman" w:hAnsi="Times New Roman" w:eastAsia="楷体_GB2312" w:cs="Times New Roman"/>
          <w:color w:val="auto"/>
          <w:sz w:val="32"/>
          <w:szCs w:val="32"/>
          <w:lang w:val="en-US" w:eastAsia="zh-CN"/>
        </w:rPr>
        <w:t>9分</w:t>
      </w:r>
      <w:r>
        <w:rPr>
          <w:rFonts w:hint="eastAsia" w:ascii="Times New Roman" w:hAnsi="Times New Roman" w:eastAsia="楷体_GB2312" w:cs="Times New Roman"/>
          <w:color w:val="auto"/>
          <w:sz w:val="32"/>
          <w:szCs w:val="32"/>
          <w:lang w:val="zh-CN" w:eastAsia="zh-CN"/>
        </w:rPr>
        <w:t>）</w:t>
      </w:r>
    </w:p>
    <w:p w14:paraId="7D52545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围绕各项绩效目标认真履职，预算项目绩效目标数量指标基本完成，项目整体目标基本实现，未发现预算项目绩效目标数量指标实现程度与预期目标的偏离情况的情况，项目按计划实施，其各项效益指标、满意度指标均达到绩效目标预期效果。</w:t>
      </w:r>
      <w:r>
        <w:rPr>
          <w:rFonts w:hint="eastAsia" w:ascii="Times New Roman" w:hAnsi="Times New Roman" w:eastAsia="仿宋_GB2312" w:cs="Times New Roman"/>
          <w:color w:val="auto"/>
          <w:sz w:val="32"/>
          <w:szCs w:val="32"/>
          <w:lang w:val="en-US" w:eastAsia="zh-CN"/>
        </w:rPr>
        <w:t>该指标得分9分。</w:t>
      </w:r>
    </w:p>
    <w:p w14:paraId="0371A42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楷体_GB2312" w:cs="Times New Roman"/>
          <w:color w:val="auto"/>
          <w:sz w:val="32"/>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en-US" w:eastAsia="zh-CN"/>
        </w:rPr>
        <w:t>30分</w:t>
      </w:r>
      <w:r>
        <w:rPr>
          <w:rFonts w:hint="eastAsia" w:ascii="Times New Roman" w:hAnsi="Times New Roman" w:eastAsia="楷体_GB2312" w:cs="Times New Roman"/>
          <w:b/>
          <w:bCs/>
          <w:color w:val="auto"/>
          <w:kern w:val="0"/>
          <w:sz w:val="32"/>
          <w:szCs w:val="32"/>
          <w:highlight w:val="none"/>
          <w:shd w:val="clear" w:color="auto" w:fill="FFFFFF"/>
          <w:lang w:val="zh-CN"/>
        </w:rPr>
        <w:t>）</w:t>
      </w:r>
    </w:p>
    <w:p w14:paraId="739DE32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行政运转。本项目资金均在规定用途、适用范围内进行资金分配，资金管理程序符合专项资金管理要求，资金分配标准符合专项资金管理要求，未发现资金管理和使用过程中不符合专项资金管理要求的情况。</w:t>
      </w:r>
      <w:r>
        <w:rPr>
          <w:rFonts w:hint="eastAsia" w:ascii="Times New Roman" w:hAnsi="Times New Roman" w:eastAsia="仿宋_GB2312" w:cs="Times New Roman"/>
          <w:color w:val="auto"/>
          <w:sz w:val="32"/>
          <w:szCs w:val="32"/>
          <w:lang w:val="en-US" w:eastAsia="zh-CN"/>
        </w:rPr>
        <w:t>该指标得分30分。</w:t>
      </w:r>
    </w:p>
    <w:p w14:paraId="728BBF3C">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en-US" w:eastAsia="zh-CN"/>
        </w:rPr>
        <w:t>16分</w:t>
      </w:r>
      <w:r>
        <w:rPr>
          <w:rFonts w:hint="eastAsia" w:ascii="Times New Roman" w:hAnsi="Times New Roman" w:eastAsia="楷体_GB2312" w:cs="Times New Roman"/>
          <w:b/>
          <w:bCs/>
          <w:color w:val="auto"/>
          <w:kern w:val="0"/>
          <w:sz w:val="32"/>
          <w:szCs w:val="32"/>
          <w:highlight w:val="none"/>
          <w:shd w:val="clear" w:color="auto" w:fill="FFFFFF"/>
          <w:lang w:val="zh-CN"/>
        </w:rPr>
        <w:t>）</w:t>
      </w:r>
    </w:p>
    <w:p w14:paraId="24589DCB">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1.资金拨付及时性：资金发放在2024年内完成。该指标得分8分。</w:t>
      </w:r>
    </w:p>
    <w:p w14:paraId="0BF089C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2.资金补助质效：高质量保障</w:t>
      </w:r>
      <w:r>
        <w:rPr>
          <w:rFonts w:hint="default" w:ascii="Times New Roman" w:hAnsi="Times New Roman" w:eastAsia="仿宋_GB2312" w:cs="Times New Roman"/>
          <w:color w:val="auto"/>
          <w:kern w:val="0"/>
          <w:sz w:val="32"/>
          <w:szCs w:val="32"/>
          <w:highlight w:val="none"/>
          <w:u w:val="none"/>
          <w:shd w:val="clear" w:color="auto" w:fill="FFFFFF"/>
          <w:lang w:val="en-US" w:eastAsia="zh-CN"/>
        </w:rPr>
        <w:t>2024年城乡基层治理</w:t>
      </w:r>
      <w:r>
        <w:rPr>
          <w:rFonts w:hint="eastAsia" w:ascii="Times New Roman" w:hAnsi="Times New Roman" w:eastAsia="仿宋_GB2312" w:cs="Times New Roman"/>
          <w:color w:val="auto"/>
          <w:sz w:val="32"/>
          <w:szCs w:val="32"/>
          <w:lang w:val="en-US" w:eastAsia="zh-CN"/>
        </w:rPr>
        <w:t>工作开展。该指标得分8分。</w:t>
      </w:r>
    </w:p>
    <w:p w14:paraId="0BF00CF6">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kern w:val="0"/>
          <w:position w:val="3"/>
          <w:sz w:val="32"/>
          <w:szCs w:val="32"/>
          <w:highlight w:val="none"/>
          <w:u w:val="none"/>
          <w:lang w:val="en-US" w:eastAsia="zh-CN" w:bidi="ar-SA"/>
        </w:rPr>
        <w:t>四、评价结论</w:t>
      </w:r>
    </w:p>
    <w:p w14:paraId="3398A52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kern w:val="2"/>
          <w:position w:val="0"/>
          <w:sz w:val="32"/>
          <w:szCs w:val="32"/>
          <w:highlight w:val="none"/>
          <w:lang w:val="en-US" w:eastAsia="zh-CN" w:bidi="ar-SA"/>
        </w:rPr>
      </w:pPr>
      <w:r>
        <w:rPr>
          <w:rFonts w:hint="eastAsia" w:ascii="Times New Roman" w:hAnsi="Times New Roman" w:eastAsia="仿宋_GB2312" w:cs="Times New Roman"/>
          <w:color w:val="auto"/>
          <w:sz w:val="32"/>
          <w:szCs w:val="32"/>
          <w:lang w:val="en-US" w:eastAsia="zh-CN"/>
        </w:rPr>
        <w:t>该项目决策依据充分，目标明确；项目实施过程资金管理科学，财务控制和业务控制规范；项目绩效目标完成情况基本达到预期效果，绩</w:t>
      </w:r>
      <w:r>
        <w:rPr>
          <w:rFonts w:hint="eastAsia" w:ascii="Times New Roman" w:hAnsi="Times New Roman" w:eastAsia="仿宋_GB2312" w:cs="Times New Roman"/>
          <w:b w:val="0"/>
          <w:bCs w:val="0"/>
          <w:color w:val="auto"/>
          <w:kern w:val="0"/>
          <w:position w:val="3"/>
          <w:sz w:val="32"/>
          <w:szCs w:val="32"/>
          <w:highlight w:val="none"/>
          <w:lang w:val="en-US" w:eastAsia="zh-CN" w:bidi="ar-SA"/>
        </w:rPr>
        <w:t>效自评得分100 分。</w:t>
      </w:r>
    </w:p>
    <w:p w14:paraId="1E50504F">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en-US" w:eastAsia="zh-CN" w:bidi="ar-SA"/>
        </w:rPr>
      </w:pPr>
      <w:r>
        <w:rPr>
          <w:rFonts w:hint="default" w:ascii="Times New Roman" w:hAnsi="Times New Roman" w:eastAsia="黑体" w:cs="Times New Roman"/>
          <w:color w:val="auto"/>
          <w:kern w:val="0"/>
          <w:position w:val="3"/>
          <w:sz w:val="32"/>
          <w:szCs w:val="32"/>
          <w:highlight w:val="none"/>
          <w:u w:val="none"/>
          <w:lang w:val="en-US" w:eastAsia="zh-CN" w:bidi="ar-SA"/>
        </w:rPr>
        <w:t>五、存在主要问题</w:t>
      </w:r>
    </w:p>
    <w:p w14:paraId="3076018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存在与各部门、乡镇（街道）、村（社区）联系不够及时、沟通不够顺畅的问题。作为新成立部门，对相关部门业务及基层政权建设、基层治理工作的熟悉程度有待提升。</w:t>
      </w:r>
    </w:p>
    <w:p w14:paraId="15D1DFDF">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eastAsia" w:ascii="Times New Roman" w:hAnsi="Times New Roman" w:eastAsia="黑体" w:cs="Times New Roman"/>
          <w:color w:val="auto"/>
          <w:kern w:val="0"/>
          <w:position w:val="3"/>
          <w:sz w:val="32"/>
          <w:szCs w:val="32"/>
          <w:lang w:val="en-US" w:eastAsia="zh-CN" w:bidi="ar-SA"/>
        </w:rPr>
        <w:t>六</w:t>
      </w:r>
      <w:r>
        <w:rPr>
          <w:rFonts w:hint="eastAsia" w:ascii="Times New Roman" w:hAnsi="Times New Roman" w:eastAsia="黑体" w:cs="Times New Roman"/>
          <w:color w:val="auto"/>
          <w:kern w:val="0"/>
          <w:position w:val="3"/>
          <w:sz w:val="32"/>
          <w:szCs w:val="32"/>
          <w:lang w:val="zh-CN" w:eastAsia="zh-CN" w:bidi="ar-SA"/>
        </w:rPr>
        <w:t>、</w:t>
      </w:r>
      <w:r>
        <w:rPr>
          <w:rFonts w:hint="default" w:ascii="Times New Roman" w:hAnsi="Times New Roman" w:eastAsia="黑体" w:cs="Times New Roman"/>
          <w:color w:val="auto"/>
          <w:kern w:val="0"/>
          <w:position w:val="3"/>
          <w:sz w:val="32"/>
          <w:szCs w:val="32"/>
          <w:highlight w:val="none"/>
          <w:u w:val="none"/>
          <w:lang w:val="zh-CN" w:eastAsia="zh-CN" w:bidi="ar-SA"/>
        </w:rPr>
        <w:t>改进建议</w:t>
      </w:r>
    </w:p>
    <w:p w14:paraId="657E9071">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仿宋_GB2312" w:cs="Times New Roman"/>
          <w:b w:val="0"/>
          <w:bCs w:val="0"/>
          <w:kern w:val="0"/>
          <w:position w:val="0"/>
          <w:sz w:val="32"/>
          <w:szCs w:val="32"/>
          <w:highlight w:val="none"/>
          <w:lang w:val="en" w:eastAsia="zh-CN" w:bidi="ar-SA"/>
        </w:rPr>
      </w:pPr>
      <w:r>
        <w:rPr>
          <w:rFonts w:hint="eastAsia" w:ascii="Times New Roman" w:hAnsi="Times New Roman" w:eastAsia="仿宋_GB2312" w:cs="Times New Roman"/>
          <w:b w:val="0"/>
          <w:bCs w:val="0"/>
          <w:kern w:val="0"/>
          <w:position w:val="3"/>
          <w:sz w:val="32"/>
          <w:szCs w:val="32"/>
          <w:highlight w:val="none"/>
          <w:lang w:val="en-US" w:eastAsia="zh-CN" w:bidi="ar-SA"/>
        </w:rPr>
        <w:t>加强业务能力学习。</w:t>
      </w:r>
    </w:p>
    <w:p w14:paraId="79A6B050">
      <w:pPr>
        <w:keepNext w:val="0"/>
        <w:keepLines w:val="0"/>
        <w:pageBreakBefore w:val="0"/>
        <w:kinsoku/>
        <w:wordWrap/>
        <w:overflowPunct/>
        <w:topLinePunct w:val="0"/>
        <w:autoSpaceDE/>
        <w:autoSpaceDN/>
        <w:bidi w:val="0"/>
        <w:spacing w:line="578" w:lineRule="exact"/>
        <w:textAlignment w:val="auto"/>
      </w:pPr>
    </w:p>
    <w:p w14:paraId="5C53A19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default" w:ascii="Times New Roman" w:hAnsi="Times New Roman" w:eastAsia="仿宋_GB2312" w:cs="Times New Roman"/>
          <w:kern w:val="2"/>
          <w:sz w:val="32"/>
          <w:szCs w:val="32"/>
          <w:u w:val="none"/>
          <w:lang w:val="en-US" w:eastAsia="zh-CN" w:bidi="ar"/>
        </w:rPr>
        <w:t>专项预算项目绩效目标完成情况自评表</w:t>
      </w:r>
    </w:p>
    <w:p w14:paraId="4DB5E19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3A01FBC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489F090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6F45A5A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12E23DE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05E180C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42D8D97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71ECE6D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3BEF996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0A47F4C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1A131EB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1C8B06A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6BB3CC40">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附表</w:t>
      </w:r>
    </w:p>
    <w:tbl>
      <w:tblPr>
        <w:tblStyle w:val="15"/>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3722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0233" w:type="dxa"/>
            <w:gridSpan w:val="9"/>
            <w:noWrap w:val="0"/>
            <w:vAlign w:val="center"/>
          </w:tcPr>
          <w:p w14:paraId="63C78F1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default" w:ascii="Times New Roman" w:hAnsi="Times New Roman" w:eastAsia="黑体" w:cs="Times New Roman"/>
                <w:i w:val="0"/>
                <w:color w:val="000000"/>
                <w:sz w:val="30"/>
                <w:szCs w:val="30"/>
                <w:u w:val="none"/>
              </w:rPr>
            </w:pPr>
            <w:r>
              <w:rPr>
                <w:rFonts w:hint="default" w:ascii="Times New Roman" w:hAnsi="Times New Roman" w:eastAsia="方正小标宋简体" w:cs="Times New Roman"/>
                <w:i w:val="0"/>
                <w:color w:val="000000"/>
                <w:kern w:val="0"/>
                <w:sz w:val="40"/>
                <w:szCs w:val="40"/>
                <w:u w:val="none"/>
                <w:lang w:val="en-US" w:eastAsia="zh-CN" w:bidi="ar"/>
              </w:rPr>
              <w:t>专项预算项目绩效目标完成情况自评表</w:t>
            </w:r>
          </w:p>
        </w:tc>
      </w:tr>
      <w:tr w14:paraId="4A20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0C967CD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863F519">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51172524T000010958280-2024年城乡基层治理工作经费</w:t>
            </w:r>
          </w:p>
        </w:tc>
      </w:tr>
      <w:tr w14:paraId="6645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66578F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11FF9AF">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中国共产党渠县委员会社会工作部</w:t>
            </w:r>
          </w:p>
        </w:tc>
      </w:tr>
      <w:tr w14:paraId="37A1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3C1BB0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470EE39">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行政运转类</w:t>
            </w:r>
          </w:p>
        </w:tc>
      </w:tr>
      <w:tr w14:paraId="29C7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FEF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8B71E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中长期规划（名称、文号，仅指</w:t>
            </w:r>
          </w:p>
          <w:p w14:paraId="781452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3CFB069">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51号</w:t>
            </w:r>
          </w:p>
        </w:tc>
      </w:tr>
      <w:tr w14:paraId="4B8E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CB2CC">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0E9AC8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65B2110">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51号</w:t>
            </w:r>
          </w:p>
        </w:tc>
      </w:tr>
      <w:tr w14:paraId="0BD5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F553F">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C298F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14:paraId="03268C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bottom"/>
          </w:tcPr>
          <w:p w14:paraId="3BB664F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bottom"/>
          </w:tcPr>
          <w:p w14:paraId="580FD3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FE"/>
            </w:r>
            <w:r>
              <w:rPr>
                <w:rFonts w:hint="eastAsia"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bottom"/>
          </w:tcPr>
          <w:p w14:paraId="6E83D1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因素法与项目法相结合</w:t>
            </w:r>
          </w:p>
        </w:tc>
      </w:tr>
      <w:tr w14:paraId="1CFA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6B5C9">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082AF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E2ECDF7">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51号</w:t>
            </w:r>
          </w:p>
        </w:tc>
      </w:tr>
      <w:tr w14:paraId="14C9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4F218">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282F0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BAE6634">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全县</w:t>
            </w:r>
          </w:p>
        </w:tc>
      </w:tr>
      <w:tr w14:paraId="3770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66C39">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4042F6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6A79DF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无</w:t>
            </w:r>
          </w:p>
        </w:tc>
      </w:tr>
      <w:tr w14:paraId="3A67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7CA41">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4DDA36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557B1E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2024.05-2024.12</w:t>
            </w:r>
          </w:p>
        </w:tc>
      </w:tr>
      <w:tr w14:paraId="51BB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BB538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项目资金</w:t>
            </w:r>
          </w:p>
          <w:p w14:paraId="513EAB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4AED25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0644AF8">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40</w:t>
            </w:r>
          </w:p>
        </w:tc>
      </w:tr>
      <w:tr w14:paraId="4E97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93C01A">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1D023E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8558801">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40</w:t>
            </w:r>
          </w:p>
        </w:tc>
      </w:tr>
      <w:tr w14:paraId="479D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01245B">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510F43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29ABB9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0</w:t>
            </w:r>
          </w:p>
        </w:tc>
      </w:tr>
      <w:tr w14:paraId="3F370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F34ED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2A9E53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年度目标</w:t>
            </w:r>
          </w:p>
        </w:tc>
      </w:tr>
      <w:tr w14:paraId="0F85C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93590">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417F8319">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sz w:val="18"/>
                <w:szCs w:val="18"/>
                <w:u w:val="none"/>
                <w:lang w:val="en-US" w:eastAsia="zh-CN"/>
              </w:rPr>
              <w:t>健全落实党建引领基层治理领导体制和工作机制，统筹推进党建引领基层治理和基层政权建设，协调推进城乡社区治理体系、服务体系和治理能力建设，推动基层民主建设，指导监督基层群众自治制度的有效实施，健全基层群众自治机制。</w:t>
            </w:r>
          </w:p>
        </w:tc>
      </w:tr>
      <w:tr w14:paraId="517A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4421B4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54FDE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06C13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4980A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9A6CD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F1768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41E0D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71D51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FB70E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实际完成指标值</w:t>
            </w:r>
          </w:p>
        </w:tc>
      </w:tr>
      <w:tr w14:paraId="0D8E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95FEA3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0028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2DA3F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798D4F5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开展全县村社区“两委”班子成员审核工作</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1904F36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29CFA16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8</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64248F3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月</w:t>
            </w:r>
          </w:p>
        </w:tc>
        <w:tc>
          <w:tcPr>
            <w:tcW w:w="938" w:type="dxa"/>
            <w:tcBorders>
              <w:top w:val="single" w:color="000000" w:sz="4" w:space="0"/>
              <w:left w:val="single" w:color="000000" w:sz="4" w:space="0"/>
              <w:right w:val="single" w:color="000000" w:sz="4" w:space="0"/>
            </w:tcBorders>
            <w:shd w:val="clear" w:color="auto" w:fill="auto"/>
            <w:noWrap w:val="0"/>
            <w:vAlign w:val="center"/>
          </w:tcPr>
          <w:p w14:paraId="510916F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2373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r>
      <w:tr w14:paraId="0A0F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4C0974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CD4D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D9C6C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28D70258">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hint="eastAsia" w:ascii="等线" w:hAnsi="等线" w:eastAsia="等线" w:cs="等线"/>
                <w:i w:val="0"/>
                <w:iCs w:val="0"/>
                <w:color w:val="000000"/>
                <w:kern w:val="0"/>
                <w:sz w:val="18"/>
                <w:szCs w:val="18"/>
                <w:u w:val="none"/>
                <w:lang w:val="en-US" w:eastAsia="zh-CN" w:bidi="ar"/>
              </w:rPr>
              <w:t>社区工作者队伍建设合格率</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04091E38">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15DBB5EC">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hint="eastAsia" w:ascii="等线" w:hAnsi="等线" w:eastAsia="等线" w:cs="等线"/>
                <w:i w:val="0"/>
                <w:iCs w:val="0"/>
                <w:color w:val="000000"/>
                <w:kern w:val="0"/>
                <w:sz w:val="18"/>
                <w:szCs w:val="18"/>
                <w:u w:val="none"/>
                <w:lang w:val="en-US" w:eastAsia="zh-CN" w:bidi="ar"/>
              </w:rPr>
              <w:t>90</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21827D17">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hint="eastAsia" w:ascii="等线" w:hAnsi="等线" w:eastAsia="等线" w:cs="等线"/>
                <w:i w:val="0"/>
                <w:iCs w:val="0"/>
                <w:color w:val="000000"/>
                <w:kern w:val="0"/>
                <w:sz w:val="18"/>
                <w:szCs w:val="18"/>
                <w:u w:val="none"/>
                <w:lang w:val="en-US" w:eastAsia="zh-CN" w:bidi="ar"/>
              </w:rPr>
              <w:t>%</w:t>
            </w:r>
          </w:p>
        </w:tc>
        <w:tc>
          <w:tcPr>
            <w:tcW w:w="938" w:type="dxa"/>
            <w:tcBorders>
              <w:top w:val="single" w:color="000000" w:sz="4" w:space="0"/>
              <w:left w:val="single" w:color="000000" w:sz="4" w:space="0"/>
              <w:right w:val="single" w:color="000000" w:sz="4" w:space="0"/>
            </w:tcBorders>
            <w:shd w:val="clear" w:color="auto" w:fill="auto"/>
            <w:noWrap w:val="0"/>
            <w:vAlign w:val="center"/>
          </w:tcPr>
          <w:p w14:paraId="4808A37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467F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100</w:t>
            </w:r>
          </w:p>
        </w:tc>
      </w:tr>
      <w:tr w14:paraId="57643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8"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2EA82A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2D3C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6D3D4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4280B8EB">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开展社区工作者队伍建设培育，培训</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27773C5D">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6ECF1796">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180</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524BA04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天</w:t>
            </w:r>
          </w:p>
        </w:tc>
        <w:tc>
          <w:tcPr>
            <w:tcW w:w="938" w:type="dxa"/>
            <w:tcBorders>
              <w:top w:val="single" w:color="000000" w:sz="4" w:space="0"/>
              <w:left w:val="single" w:color="000000" w:sz="4" w:space="0"/>
              <w:right w:val="single" w:color="000000" w:sz="4" w:space="0"/>
            </w:tcBorders>
            <w:shd w:val="clear" w:color="auto" w:fill="auto"/>
            <w:noWrap w:val="0"/>
            <w:vAlign w:val="center"/>
          </w:tcPr>
          <w:p w14:paraId="28928454">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9A2C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r>
      <w:tr w14:paraId="634F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5"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AE4E53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9E3C2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50" w:type="dxa"/>
            <w:tcBorders>
              <w:top w:val="single" w:color="000000" w:sz="4" w:space="0"/>
              <w:left w:val="single" w:color="000000" w:sz="4" w:space="0"/>
              <w:right w:val="single" w:color="000000" w:sz="4" w:space="0"/>
            </w:tcBorders>
            <w:noWrap w:val="0"/>
            <w:vAlign w:val="center"/>
          </w:tcPr>
          <w:p w14:paraId="6DB234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7133D8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2F7F87FA">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促进基层治理机制健全</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48E5124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定性</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5EE0BC4F">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促进</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4B1F0019">
            <w:pPr>
              <w:jc w:val="center"/>
              <w:rPr>
                <w:rFonts w:hint="default" w:ascii="宋体" w:hAnsi="宋体" w:eastAsia="宋体" w:cs="宋体"/>
                <w:color w:val="000000"/>
                <w:kern w:val="0"/>
                <w:sz w:val="18"/>
                <w:szCs w:val="18"/>
                <w:lang w:val="en-US" w:eastAsia="zh-CN" w:bidi="ar"/>
              </w:rPr>
            </w:pPr>
          </w:p>
        </w:tc>
        <w:tc>
          <w:tcPr>
            <w:tcW w:w="938" w:type="dxa"/>
            <w:tcBorders>
              <w:top w:val="single" w:color="000000" w:sz="4" w:space="0"/>
              <w:left w:val="single" w:color="000000" w:sz="4" w:space="0"/>
              <w:right w:val="single" w:color="000000" w:sz="4" w:space="0"/>
            </w:tcBorders>
            <w:shd w:val="clear" w:color="auto" w:fill="auto"/>
            <w:noWrap w:val="0"/>
            <w:vAlign w:val="center"/>
          </w:tcPr>
          <w:p w14:paraId="7E8A9A80">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C1140">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r>
      <w:tr w14:paraId="622E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853639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right w:val="single" w:color="000000" w:sz="4" w:space="0"/>
            </w:tcBorders>
            <w:noWrap w:val="0"/>
            <w:vAlign w:val="center"/>
          </w:tcPr>
          <w:p w14:paraId="727C28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满意度</w:t>
            </w:r>
          </w:p>
          <w:p w14:paraId="0F2B1F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250" w:type="dxa"/>
            <w:tcBorders>
              <w:top w:val="single" w:color="000000" w:sz="4" w:space="0"/>
              <w:left w:val="single" w:color="000000" w:sz="4" w:space="0"/>
              <w:right w:val="single" w:color="000000" w:sz="4" w:space="0"/>
            </w:tcBorders>
            <w:noWrap w:val="0"/>
            <w:vAlign w:val="center"/>
          </w:tcPr>
          <w:p w14:paraId="7AA07B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服务对象</w:t>
            </w:r>
          </w:p>
          <w:p w14:paraId="09E4F6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312" w:type="dxa"/>
            <w:tcBorders>
              <w:top w:val="single" w:color="000000" w:sz="4" w:space="0"/>
              <w:bottom w:val="single" w:color="000000" w:sz="4" w:space="0"/>
              <w:right w:val="single" w:color="000000" w:sz="4" w:space="0"/>
            </w:tcBorders>
            <w:shd w:val="clear" w:color="auto" w:fill="auto"/>
            <w:noWrap w:val="0"/>
            <w:vAlign w:val="center"/>
          </w:tcPr>
          <w:p w14:paraId="6137CC23">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群众满意</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06CFD">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2BD05">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3AFAA">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ED5E3">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83A25">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r>
      <w:tr w14:paraId="37D3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B49448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077C3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E85D1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经济成本</w:t>
            </w:r>
          </w:p>
          <w:p w14:paraId="6D73E1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12" w:type="dxa"/>
            <w:tcBorders>
              <w:top w:val="single" w:color="000000" w:sz="4" w:space="0"/>
              <w:bottom w:val="single" w:color="000000" w:sz="4" w:space="0"/>
              <w:right w:val="single" w:color="000000" w:sz="4" w:space="0"/>
            </w:tcBorders>
            <w:shd w:val="clear" w:color="auto" w:fill="auto"/>
            <w:noWrap w:val="0"/>
            <w:vAlign w:val="center"/>
          </w:tcPr>
          <w:p w14:paraId="7484525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严格控制成本</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E1D4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DCBA7">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40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21BE2">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48CC2">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2C64F">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100</w:t>
            </w:r>
          </w:p>
        </w:tc>
      </w:tr>
    </w:tbl>
    <w:p w14:paraId="34B0694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7BF633A">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A262DF5">
      <w:pPr>
        <w:pStyle w:val="34"/>
        <w:keepNext w:val="0"/>
        <w:keepLines w:val="0"/>
        <w:pageBreakBefore w:val="0"/>
        <w:kinsoku/>
        <w:wordWrap/>
        <w:overflowPunct/>
        <w:topLinePunct w:val="0"/>
        <w:autoSpaceDE/>
        <w:autoSpaceDN/>
        <w:bidi w:val="0"/>
        <w:spacing w:beforeLines="0" w:afterLines="0" w:line="578" w:lineRule="exact"/>
        <w:jc w:val="center"/>
        <w:textAlignment w:val="auto"/>
        <w:rPr>
          <w:rFonts w:hint="default" w:ascii="Times New Roman" w:hAnsi="Times New Roman" w:eastAsia="方正小标宋简体" w:cs="Times New Roman"/>
          <w:color w:val="auto"/>
          <w:kern w:val="2"/>
          <w:sz w:val="44"/>
          <w:szCs w:val="44"/>
          <w:lang w:val="en-US" w:eastAsia="zh-CN"/>
        </w:rPr>
      </w:pPr>
      <w:r>
        <w:rPr>
          <w:rFonts w:hint="default" w:ascii="Times New Roman" w:hAnsi="Times New Roman" w:eastAsia="方正小标宋简体" w:cs="Times New Roman"/>
          <w:color w:val="auto"/>
          <w:kern w:val="2"/>
          <w:sz w:val="44"/>
          <w:szCs w:val="44"/>
          <w:lang w:val="en-US" w:eastAsia="zh-CN"/>
        </w:rPr>
        <w:t>2024年新时代文明实践促进中心项目</w:t>
      </w:r>
    </w:p>
    <w:p w14:paraId="57C6CEC0">
      <w:pPr>
        <w:pStyle w:val="34"/>
        <w:keepNext w:val="0"/>
        <w:keepLines w:val="0"/>
        <w:pageBreakBefore w:val="0"/>
        <w:kinsoku/>
        <w:wordWrap/>
        <w:overflowPunct/>
        <w:topLinePunct w:val="0"/>
        <w:autoSpaceDE/>
        <w:autoSpaceDN/>
        <w:bidi w:val="0"/>
        <w:spacing w:beforeLines="0" w:afterLines="0" w:line="578" w:lineRule="exact"/>
        <w:jc w:val="center"/>
        <w:textAlignment w:val="auto"/>
        <w:rPr>
          <w:rFonts w:hint="eastAsia" w:ascii="Times New Roman" w:hAnsi="Times New Roman" w:eastAsia="方正小标宋简体" w:cs="Times New Roman"/>
          <w:color w:val="auto"/>
          <w:kern w:val="2"/>
          <w:sz w:val="44"/>
          <w:szCs w:val="44"/>
          <w:lang w:eastAsia="zh-CN"/>
        </w:rPr>
      </w:pPr>
      <w:r>
        <w:rPr>
          <w:rFonts w:hint="default" w:ascii="Times New Roman" w:hAnsi="Times New Roman" w:eastAsia="方正小标宋简体" w:cs="Times New Roman"/>
          <w:color w:val="auto"/>
          <w:kern w:val="2"/>
          <w:sz w:val="44"/>
          <w:szCs w:val="44"/>
        </w:rPr>
        <w:t>绩效评价报告</w:t>
      </w:r>
    </w:p>
    <w:p w14:paraId="5F2A0627">
      <w:pPr>
        <w:pStyle w:val="34"/>
        <w:keepNext w:val="0"/>
        <w:keepLines w:val="0"/>
        <w:pageBreakBefore w:val="0"/>
        <w:kinsoku/>
        <w:wordWrap/>
        <w:overflowPunct/>
        <w:topLinePunct w:val="0"/>
        <w:autoSpaceDE/>
        <w:autoSpaceDN/>
        <w:bidi w:val="0"/>
        <w:spacing w:beforeLines="0" w:afterLines="0" w:line="578" w:lineRule="exact"/>
        <w:ind w:firstLine="640"/>
        <w:jc w:val="center"/>
        <w:textAlignment w:val="auto"/>
        <w:rPr>
          <w:rFonts w:hint="default" w:ascii="Times New Roman" w:hAnsi="Times New Roman" w:eastAsia="Times New Roman" w:cs="Times New Roman"/>
          <w:color w:val="auto"/>
          <w:kern w:val="2"/>
          <w:sz w:val="32"/>
          <w:szCs w:val="32"/>
        </w:rPr>
      </w:pPr>
    </w:p>
    <w:p w14:paraId="3D6A97B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val="zh-CN" w:eastAsia="zh-CN"/>
        </w:rPr>
      </w:pPr>
      <w:r>
        <w:rPr>
          <w:rFonts w:hint="default" w:ascii="Times New Roman" w:hAnsi="Times New Roman" w:eastAsia="黑体" w:cs="Times New Roman"/>
          <w:sz w:val="32"/>
          <w:szCs w:val="32"/>
          <w:highlight w:val="none"/>
          <w:lang w:val="en-US" w:eastAsia="zh-CN"/>
        </w:rPr>
        <w:t>一、</w:t>
      </w:r>
      <w:r>
        <w:rPr>
          <w:rFonts w:hint="default" w:ascii="Times New Roman" w:hAnsi="Times New Roman" w:eastAsia="黑体" w:cs="Times New Roman"/>
          <w:sz w:val="32"/>
          <w:szCs w:val="32"/>
          <w:highlight w:val="none"/>
          <w:lang w:val="zh-CN" w:eastAsia="zh-CN"/>
        </w:rPr>
        <w:t>项目概况</w:t>
      </w:r>
    </w:p>
    <w:p w14:paraId="43DFFD6F">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黑体" w:cs="Times New Roman"/>
          <w:sz w:val="32"/>
          <w:szCs w:val="32"/>
          <w:highlight w:val="none"/>
          <w:lang w:val="zh-CN" w:eastAsia="zh-CN"/>
        </w:rPr>
      </w:pPr>
      <w:r>
        <w:rPr>
          <w:rFonts w:hint="default" w:ascii="Times New Roman" w:hAnsi="Times New Roman" w:eastAsia="楷体_GB2312" w:cs="Times New Roman"/>
          <w:b/>
          <w:color w:val="auto"/>
          <w:kern w:val="2"/>
          <w:sz w:val="32"/>
          <w:szCs w:val="32"/>
          <w:lang w:val="zh-CN" w:eastAsia="zh-CN" w:bidi="ar-SA"/>
        </w:rPr>
        <w:t>（一）设立背景及基本情况</w:t>
      </w:r>
    </w:p>
    <w:p w14:paraId="306C514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为</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开展志愿者项目培育及志愿者培训，提高全民素质，促进社会发展进步。</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财政局印发渠财行</w:t>
      </w:r>
      <w:r>
        <w:rPr>
          <w:rFonts w:hint="eastAsia" w:eastAsia="仿宋_GB2312" w:cs="Times New Roman"/>
          <w:color w:val="auto"/>
          <w:kern w:val="0"/>
          <w:sz w:val="32"/>
          <w:szCs w:val="32"/>
          <w:highlight w:val="none"/>
          <w:u w:val="none"/>
          <w:shd w:val="clear" w:color="auto" w:fill="FFFFFF"/>
          <w:lang w:val="en-US"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2024</w:t>
      </w:r>
      <w:r>
        <w:rPr>
          <w:rFonts w:hint="eastAsia" w:eastAsia="仿宋_GB2312" w:cs="Times New Roman"/>
          <w:color w:val="auto"/>
          <w:kern w:val="0"/>
          <w:sz w:val="32"/>
          <w:szCs w:val="32"/>
          <w:highlight w:val="none"/>
          <w:u w:val="none"/>
          <w:shd w:val="clear" w:color="auto" w:fill="FFFFFF"/>
          <w:lang w:val="en-US"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51号文件，中国共产党渠县委员会社会工作部立项</w:t>
      </w:r>
      <w:r>
        <w:rPr>
          <w:rFonts w:hint="default" w:ascii="Times New Roman" w:hAnsi="Times New Roman" w:eastAsia="仿宋_GB2312" w:cs="Times New Roman"/>
          <w:color w:val="auto"/>
          <w:kern w:val="0"/>
          <w:sz w:val="32"/>
          <w:szCs w:val="32"/>
          <w:highlight w:val="none"/>
          <w:u w:val="none"/>
          <w:shd w:val="clear" w:color="auto" w:fill="FFFFFF"/>
          <w:lang w:val="en-US" w:eastAsia="zh-CN"/>
        </w:rPr>
        <w:t>2024年新时代文明实践促进中心项目</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按规定申报资金。</w:t>
      </w:r>
    </w:p>
    <w:p w14:paraId="79BEBED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县委社会工作部</w:t>
      </w:r>
      <w:r>
        <w:rPr>
          <w:rFonts w:hint="default" w:ascii="Times New Roman" w:hAnsi="Times New Roman" w:eastAsia="仿宋_GB2312" w:cs="Times New Roman"/>
          <w:color w:val="auto"/>
          <w:kern w:val="0"/>
          <w:sz w:val="32"/>
          <w:szCs w:val="32"/>
          <w:highlight w:val="none"/>
          <w:u w:val="none"/>
          <w:shd w:val="clear" w:color="auto" w:fill="FFFFFF"/>
          <w:lang w:val="zh-CN" w:eastAsia="zh-CN"/>
        </w:rPr>
        <w:t>承担研究起草全县社会工作服务、志愿 服务的政策和标准，承担指导推动社会工作人才队伍建设、志愿服务人才队伍建设和阵地建设工作，承担志愿服务组织的规范管理工作，承担协调推动社会工作服务体系和志愿服务体系建设工作。协调推动跨区域有关交流合作。指导开展社会工作服务和志愿服务培训，培育志愿精神、志愿文化。组织开展全县性、示范性志愿服务重大活动。</w:t>
      </w:r>
    </w:p>
    <w:p w14:paraId="1B88DDD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kern w:val="2"/>
          <w:sz w:val="32"/>
          <w:szCs w:val="32"/>
          <w:lang w:val="en-US" w:eastAsia="zh-CN" w:bidi="ar-SA"/>
        </w:rPr>
        <w:t>（二）</w:t>
      </w:r>
      <w:r>
        <w:rPr>
          <w:rFonts w:hint="default" w:ascii="Times New Roman" w:hAnsi="Times New Roman" w:eastAsia="楷体_GB2312" w:cs="Times New Roman"/>
          <w:b/>
          <w:color w:val="auto"/>
          <w:sz w:val="32"/>
          <w:szCs w:val="32"/>
          <w:highlight w:val="none"/>
          <w:u w:val="none"/>
          <w:lang w:val="en-US" w:eastAsia="zh-CN"/>
        </w:rPr>
        <w:t>实施目的及支持方向</w:t>
      </w:r>
    </w:p>
    <w:p w14:paraId="5357607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已严格按要求制定项目</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资金</w:t>
      </w:r>
      <w:r>
        <w:rPr>
          <w:rFonts w:hint="default" w:ascii="Times New Roman" w:hAnsi="Times New Roman" w:eastAsia="仿宋_GB2312" w:cs="Times New Roman"/>
          <w:color w:val="auto"/>
          <w:kern w:val="0"/>
          <w:sz w:val="32"/>
          <w:szCs w:val="32"/>
          <w:highlight w:val="none"/>
          <w:u w:val="none"/>
          <w:shd w:val="clear" w:color="auto" w:fill="FFFFFF"/>
          <w:lang w:val="zh-CN" w:eastAsia="zh-CN"/>
        </w:rPr>
        <w:t>管理办法</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eastAsia="zh-CN"/>
        </w:rPr>
        <w:t>项目实施目的和主要工作任务</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是</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开展</w:t>
      </w:r>
      <w:r>
        <w:rPr>
          <w:rFonts w:hint="default" w:ascii="Times New Roman" w:hAnsi="Times New Roman" w:eastAsia="仿宋_GB2312" w:cs="Times New Roman"/>
          <w:color w:val="auto"/>
          <w:kern w:val="0"/>
          <w:sz w:val="32"/>
          <w:szCs w:val="32"/>
          <w:highlight w:val="none"/>
          <w:u w:val="none"/>
          <w:shd w:val="clear" w:color="auto" w:fill="FFFFFF"/>
          <w:lang w:val="zh-CN"/>
        </w:rPr>
        <w:t>志愿者项目培育及志愿者培训，提高全民素质，促进社会发展进步。</w:t>
      </w:r>
    </w:p>
    <w:p w14:paraId="7064925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kern w:val="2"/>
          <w:sz w:val="32"/>
          <w:szCs w:val="32"/>
          <w:lang w:val="en-US" w:eastAsia="zh-CN" w:bidi="ar-SA"/>
        </w:rPr>
      </w:pPr>
      <w:r>
        <w:rPr>
          <w:rFonts w:hint="eastAsia" w:ascii="Times New Roman" w:hAnsi="Times New Roman" w:eastAsia="楷体_GB2312" w:cs="Times New Roman"/>
          <w:b/>
          <w:color w:val="auto"/>
          <w:kern w:val="2"/>
          <w:sz w:val="32"/>
          <w:szCs w:val="32"/>
          <w:lang w:val="en-US" w:eastAsia="zh-CN" w:bidi="ar-SA"/>
        </w:rPr>
        <w:t>（三）</w:t>
      </w:r>
      <w:r>
        <w:rPr>
          <w:rFonts w:hint="default" w:ascii="Times New Roman" w:hAnsi="Times New Roman" w:eastAsia="楷体_GB2312" w:cs="Times New Roman"/>
          <w:b/>
          <w:color w:val="auto"/>
          <w:kern w:val="2"/>
          <w:sz w:val="32"/>
          <w:szCs w:val="32"/>
          <w:lang w:val="en-US" w:eastAsia="zh-CN" w:bidi="ar-SA"/>
        </w:rPr>
        <w:t>预算安排及分配管理</w:t>
      </w:r>
    </w:p>
    <w:p w14:paraId="0D6C4D2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根据财政资金使用情况，共拨付专项资金10.67万元，全部用于</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开展</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2024年</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志愿者项目培育及志愿者培训</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产生的费用。</w:t>
      </w:r>
    </w:p>
    <w:p w14:paraId="4DE4C45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kern w:val="2"/>
          <w:sz w:val="32"/>
          <w:szCs w:val="32"/>
          <w:lang w:val="zh-CN" w:eastAsia="zh-CN" w:bidi="ar-SA"/>
        </w:rPr>
      </w:pPr>
      <w:r>
        <w:rPr>
          <w:rFonts w:hint="eastAsia" w:ascii="Times New Roman" w:hAnsi="Times New Roman" w:eastAsia="楷体_GB2312" w:cs="Times New Roman"/>
          <w:b/>
          <w:color w:val="auto"/>
          <w:kern w:val="2"/>
          <w:sz w:val="32"/>
          <w:szCs w:val="32"/>
          <w:lang w:val="zh-CN" w:eastAsia="zh-CN" w:bidi="ar-SA"/>
        </w:rPr>
        <w:t>（四）</w:t>
      </w:r>
      <w:r>
        <w:rPr>
          <w:rFonts w:hint="default" w:ascii="Times New Roman" w:hAnsi="Times New Roman" w:eastAsia="楷体_GB2312" w:cs="Times New Roman"/>
          <w:b/>
          <w:color w:val="auto"/>
          <w:kern w:val="2"/>
          <w:sz w:val="32"/>
          <w:szCs w:val="32"/>
          <w:lang w:val="zh-CN" w:eastAsia="zh-CN" w:bidi="ar-SA"/>
        </w:rPr>
        <w:t>项目绩效目标设置</w:t>
      </w:r>
    </w:p>
    <w:p w14:paraId="3438DA2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该项目依据2025年专项预算项目绩效评价指标体系要求进行绩效自评，对项目绩效指标进行综合评分，确保项目自评结果的准确性，并编制《专项预算项目绩效目标完成情况自评表》。</w:t>
      </w:r>
    </w:p>
    <w:p w14:paraId="3E07FF1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4655DED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245C937C">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通过对该项目绩效进行自评，厘清资金使用去向构成，为下次的项目绩效目标、资金明细等制定提供有力决策依据。</w:t>
      </w:r>
    </w:p>
    <w:p w14:paraId="39DAA2B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en-US" w:eastAsia="zh-CN"/>
        </w:rPr>
        <w:t>二</w:t>
      </w:r>
      <w:r>
        <w:rPr>
          <w:rFonts w:hint="default" w:ascii="Times New Roman" w:hAnsi="Times New Roman" w:eastAsia="楷体_GB2312" w:cs="Times New Roman"/>
          <w:b/>
          <w:color w:val="auto"/>
          <w:sz w:val="32"/>
          <w:szCs w:val="32"/>
          <w:highlight w:val="none"/>
          <w:u w:val="none"/>
          <w:lang w:val="zh-CN"/>
        </w:rPr>
        <w:t>）预设问题及评价重点</w:t>
      </w:r>
    </w:p>
    <w:p w14:paraId="6A3C0F25">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color w:val="auto"/>
          <w:kern w:val="0"/>
          <w:sz w:val="32"/>
          <w:szCs w:val="32"/>
          <w:highlight w:val="none"/>
          <w:u w:val="none"/>
          <w:shd w:val="clear" w:color="auto" w:fill="FFFFFF"/>
          <w:lang w:val="zh-CN" w:eastAsia="zh-CN"/>
        </w:rPr>
      </w:pP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按</w:t>
      </w: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预期目标</w:t>
      </w: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完成</w:t>
      </w: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，实施结果与绩效目标相匹配。</w:t>
      </w:r>
    </w:p>
    <w:p w14:paraId="10A8E55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资金支出使用全过程</w:t>
      </w:r>
      <w:r>
        <w:rPr>
          <w:rFonts w:hint="eastAsia" w:ascii="Times New Roman" w:hAnsi="Times New Roman" w:eastAsia="仿宋_GB2312" w:cs="Times New Roman"/>
          <w:color w:val="auto"/>
          <w:sz w:val="32"/>
          <w:szCs w:val="32"/>
          <w:lang w:val="en-US" w:eastAsia="zh-CN"/>
        </w:rPr>
        <w:t>完善无任何其他问题，</w:t>
      </w:r>
      <w:r>
        <w:rPr>
          <w:rFonts w:hint="default" w:ascii="Times New Roman" w:hAnsi="Times New Roman" w:eastAsia="仿宋_GB2312" w:cs="Times New Roman"/>
          <w:color w:val="auto"/>
          <w:sz w:val="32"/>
          <w:szCs w:val="32"/>
        </w:rPr>
        <w:t>实施效果</w:t>
      </w:r>
      <w:r>
        <w:rPr>
          <w:rFonts w:hint="eastAsia" w:ascii="Times New Roman" w:hAnsi="Times New Roman" w:eastAsia="仿宋_GB2312" w:cs="Times New Roman"/>
          <w:color w:val="auto"/>
          <w:sz w:val="32"/>
          <w:szCs w:val="32"/>
          <w:lang w:val="en-US" w:eastAsia="zh-CN"/>
        </w:rPr>
        <w:t>良好。</w:t>
      </w:r>
    </w:p>
    <w:p w14:paraId="26179329">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en-US" w:eastAsia="zh-CN"/>
        </w:rPr>
        <w:t>三</w:t>
      </w:r>
      <w:r>
        <w:rPr>
          <w:rFonts w:hint="default" w:ascii="Times New Roman" w:hAnsi="Times New Roman" w:eastAsia="楷体_GB2312" w:cs="Times New Roman"/>
          <w:b/>
          <w:color w:val="auto"/>
          <w:sz w:val="32"/>
          <w:szCs w:val="32"/>
          <w:highlight w:val="none"/>
          <w:u w:val="none"/>
          <w:lang w:val="zh-CN"/>
        </w:rPr>
        <w:t>）评价方法</w:t>
      </w:r>
    </w:p>
    <w:p w14:paraId="2E4D594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项目绩效自评采用全面公平公正相结合原则考评。对</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志愿者项目培育及志愿者培训</w:t>
      </w:r>
      <w:r>
        <w:rPr>
          <w:rFonts w:hint="default" w:ascii="Times New Roman" w:hAnsi="Times New Roman" w:eastAsia="仿宋_GB2312" w:cs="Times New Roman"/>
          <w:color w:val="auto"/>
          <w:sz w:val="32"/>
          <w:szCs w:val="32"/>
          <w:lang w:val="zh-CN" w:eastAsia="zh-CN"/>
        </w:rPr>
        <w:t>工作开展和资金支付情况进行核查。</w:t>
      </w:r>
    </w:p>
    <w:p w14:paraId="33D6662D">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eastAsia" w:ascii="Times New Roman" w:hAnsi="Times New Roman" w:eastAsia="楷体_GB2312" w:cs="Times New Roman"/>
          <w:b/>
          <w:color w:val="auto"/>
          <w:sz w:val="32"/>
          <w:szCs w:val="32"/>
          <w:highlight w:val="none"/>
          <w:u w:val="none"/>
          <w:lang w:val="zh-CN" w:eastAsia="zh-CN"/>
        </w:rPr>
        <w:t>（四）</w:t>
      </w:r>
      <w:r>
        <w:rPr>
          <w:rFonts w:hint="default" w:ascii="Times New Roman" w:hAnsi="Times New Roman" w:eastAsia="楷体_GB2312" w:cs="Times New Roman"/>
          <w:b/>
          <w:color w:val="auto"/>
          <w:sz w:val="32"/>
          <w:szCs w:val="32"/>
          <w:highlight w:val="none"/>
          <w:u w:val="none"/>
          <w:lang w:val="zh-CN"/>
        </w:rPr>
        <w:t>评价组织</w:t>
      </w:r>
    </w:p>
    <w:p w14:paraId="3B59F7FE">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评价组人员由</w:t>
      </w:r>
      <w:r>
        <w:rPr>
          <w:rFonts w:hint="default" w:ascii="Times New Roman" w:hAnsi="Times New Roman" w:eastAsia="仿宋_GB2312" w:cs="Times New Roman"/>
          <w:color w:val="auto"/>
          <w:sz w:val="32"/>
          <w:szCs w:val="32"/>
        </w:rPr>
        <w:t>项目管理人员和财务人员共同进行，项目管理人员主要负责项目决策、项目管理、项目实施、项目结果等评价评分;财务人员主要负责用资金用途合规性、程序合规性、标准合规性评价评分。</w:t>
      </w:r>
    </w:p>
    <w:p w14:paraId="2482AB05">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eastAsia="仿宋_GB2312" w:cs="Times New Roman"/>
          <w:color w:val="auto"/>
          <w:sz w:val="32"/>
          <w:szCs w:val="32"/>
          <w:highlight w:val="none"/>
          <w:u w:val="none"/>
          <w:lang w:val="zh-CN"/>
        </w:rPr>
        <w:tab/>
      </w:r>
    </w:p>
    <w:p w14:paraId="0E525A1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en-US" w:eastAsia="zh-CN"/>
        </w:rPr>
        <w:t>54分</w:t>
      </w:r>
      <w:r>
        <w:rPr>
          <w:rFonts w:hint="eastAsia" w:ascii="Times New Roman" w:hAnsi="Times New Roman" w:eastAsia="楷体_GB2312" w:cs="Times New Roman"/>
          <w:b/>
          <w:bCs/>
          <w:color w:val="auto"/>
          <w:kern w:val="0"/>
          <w:sz w:val="32"/>
          <w:szCs w:val="32"/>
          <w:highlight w:val="none"/>
          <w:shd w:val="clear" w:color="auto" w:fill="FFFFFF"/>
          <w:lang w:val="zh-CN"/>
        </w:rPr>
        <w:t>）</w:t>
      </w:r>
    </w:p>
    <w:p w14:paraId="447D024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eastAsia" w:ascii="Times New Roman" w:hAnsi="Times New Roman" w:eastAsia="楷体_GB2312" w:cs="Times New Roman"/>
          <w:b w:val="0"/>
          <w:bCs w:val="0"/>
          <w:color w:val="auto"/>
          <w:kern w:val="0"/>
          <w:sz w:val="32"/>
          <w:szCs w:val="32"/>
          <w:highlight w:val="none"/>
          <w:shd w:val="clear" w:color="auto" w:fill="FFFFFF"/>
          <w:lang w:val="zh-CN"/>
        </w:rPr>
        <w:t>（</w:t>
      </w:r>
      <w:r>
        <w:rPr>
          <w:rFonts w:hint="eastAsia" w:ascii="Times New Roman" w:hAnsi="Times New Roman" w:eastAsia="楷体_GB2312" w:cs="Times New Roman"/>
          <w:b w:val="0"/>
          <w:bCs w:val="0"/>
          <w:color w:val="auto"/>
          <w:kern w:val="0"/>
          <w:sz w:val="32"/>
          <w:szCs w:val="32"/>
          <w:highlight w:val="none"/>
          <w:shd w:val="clear" w:color="auto" w:fill="FFFFFF"/>
          <w:lang w:val="en-US" w:eastAsia="zh-CN"/>
        </w:rPr>
        <w:t>18分</w:t>
      </w:r>
      <w:r>
        <w:rPr>
          <w:rFonts w:hint="eastAsia" w:ascii="Times New Roman" w:hAnsi="Times New Roman" w:eastAsia="楷体_GB2312" w:cs="Times New Roman"/>
          <w:b w:val="0"/>
          <w:bCs w:val="0"/>
          <w:color w:val="auto"/>
          <w:kern w:val="0"/>
          <w:sz w:val="32"/>
          <w:szCs w:val="32"/>
          <w:highlight w:val="none"/>
          <w:shd w:val="clear" w:color="auto" w:fill="FFFFFF"/>
          <w:lang w:val="zh-CN"/>
        </w:rPr>
        <w:t>）</w:t>
      </w:r>
    </w:p>
    <w:p w14:paraId="4FFFEC7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严格按照规定履行评估论证，并按照项目入库管理流程进行申报审核，项目规划论证符合中央、省、</w:t>
      </w:r>
      <w:r>
        <w:rPr>
          <w:rFonts w:hint="eastAsia"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政府和财政要求，项目绩效目标设置科学合理，项目资金与项目总体规划、相关行业事业发展相匹配，聚焦重大任务、重点领域、重点环节和重点项目。该指标得分18分。</w:t>
      </w:r>
    </w:p>
    <w:p w14:paraId="4B4DFD1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eastAsia="zh-CN"/>
        </w:rPr>
      </w:pPr>
      <w:r>
        <w:rPr>
          <w:rFonts w:hint="eastAsia"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eastAsia="zh-CN"/>
        </w:rPr>
        <w:t>项目管理</w:t>
      </w:r>
      <w:r>
        <w:rPr>
          <w:rFonts w:hint="eastAsia" w:ascii="Times New Roman" w:hAnsi="Times New Roman" w:eastAsia="楷体_GB2312" w:cs="Times New Roman"/>
          <w:b w:val="0"/>
          <w:bCs w:val="0"/>
          <w:color w:val="auto"/>
          <w:kern w:val="0"/>
          <w:sz w:val="32"/>
          <w:szCs w:val="32"/>
          <w:highlight w:val="none"/>
          <w:shd w:val="clear" w:color="auto" w:fill="FFFFFF"/>
          <w:lang w:val="zh-CN"/>
        </w:rPr>
        <w:t>（</w:t>
      </w:r>
      <w:r>
        <w:rPr>
          <w:rFonts w:hint="eastAsia" w:ascii="Times New Roman" w:hAnsi="Times New Roman" w:eastAsia="楷体_GB2312" w:cs="Times New Roman"/>
          <w:b w:val="0"/>
          <w:bCs w:val="0"/>
          <w:color w:val="auto"/>
          <w:kern w:val="0"/>
          <w:sz w:val="32"/>
          <w:szCs w:val="32"/>
          <w:highlight w:val="none"/>
          <w:shd w:val="clear" w:color="auto" w:fill="FFFFFF"/>
          <w:lang w:val="en-US" w:eastAsia="zh-CN"/>
        </w:rPr>
        <w:t>18分</w:t>
      </w:r>
      <w:r>
        <w:rPr>
          <w:rFonts w:hint="eastAsia" w:ascii="Times New Roman" w:hAnsi="Times New Roman" w:eastAsia="楷体_GB2312" w:cs="Times New Roman"/>
          <w:b w:val="0"/>
          <w:bCs w:val="0"/>
          <w:color w:val="auto"/>
          <w:kern w:val="0"/>
          <w:sz w:val="32"/>
          <w:szCs w:val="32"/>
          <w:highlight w:val="none"/>
          <w:shd w:val="clear" w:color="auto" w:fill="FFFFFF"/>
          <w:lang w:val="zh-CN"/>
        </w:rPr>
        <w:t>）</w:t>
      </w:r>
    </w:p>
    <w:p w14:paraId="3B6BE08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项目制度办法体系健全、要素完备；项目资金分配因素选取、权重设置、区域分布，项目管理、审批符合管理要求；能够对绩效，项目绩效进行监管，并且按要求开展。该指标得分18分。</w:t>
      </w:r>
    </w:p>
    <w:p w14:paraId="112E9AC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3.</w:t>
      </w:r>
      <w:r>
        <w:rPr>
          <w:rFonts w:hint="default" w:ascii="Times New Roman" w:hAnsi="Times New Roman" w:eastAsia="楷体_GB2312" w:cs="Times New Roman"/>
          <w:color w:val="auto"/>
          <w:sz w:val="32"/>
          <w:szCs w:val="32"/>
          <w:lang w:val="en-US" w:eastAsia="zh-CN"/>
        </w:rPr>
        <w:t>项目实施</w:t>
      </w:r>
      <w:r>
        <w:rPr>
          <w:rFonts w:hint="eastAsia" w:ascii="Times New Roman" w:hAnsi="Times New Roman" w:eastAsia="楷体_GB2312" w:cs="Times New Roman"/>
          <w:b w:val="0"/>
          <w:bCs w:val="0"/>
          <w:color w:val="auto"/>
          <w:kern w:val="0"/>
          <w:sz w:val="32"/>
          <w:szCs w:val="32"/>
          <w:highlight w:val="none"/>
          <w:shd w:val="clear" w:color="auto" w:fill="FFFFFF"/>
          <w:lang w:val="zh-CN"/>
        </w:rPr>
        <w:t>（</w:t>
      </w:r>
      <w:r>
        <w:rPr>
          <w:rFonts w:hint="eastAsia" w:ascii="Times New Roman" w:hAnsi="Times New Roman" w:eastAsia="楷体_GB2312" w:cs="Times New Roman"/>
          <w:b w:val="0"/>
          <w:bCs w:val="0"/>
          <w:color w:val="auto"/>
          <w:kern w:val="0"/>
          <w:sz w:val="32"/>
          <w:szCs w:val="32"/>
          <w:highlight w:val="none"/>
          <w:shd w:val="clear" w:color="auto" w:fill="FFFFFF"/>
          <w:lang w:val="en-US" w:eastAsia="zh-CN"/>
        </w:rPr>
        <w:t>9分</w:t>
      </w:r>
      <w:r>
        <w:rPr>
          <w:rFonts w:hint="eastAsia" w:ascii="Times New Roman" w:hAnsi="Times New Roman" w:eastAsia="楷体_GB2312" w:cs="Times New Roman"/>
          <w:b w:val="0"/>
          <w:bCs w:val="0"/>
          <w:color w:val="auto"/>
          <w:kern w:val="0"/>
          <w:sz w:val="32"/>
          <w:szCs w:val="32"/>
          <w:highlight w:val="none"/>
          <w:shd w:val="clear" w:color="auto" w:fill="FFFFFF"/>
          <w:lang w:val="zh-CN"/>
        </w:rPr>
        <w:t>）</w:t>
      </w:r>
    </w:p>
    <w:p w14:paraId="5B1BC95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sz w:val="32"/>
          <w:szCs w:val="32"/>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r>
        <w:rPr>
          <w:rFonts w:hint="eastAsia" w:ascii="Times New Roman" w:hAnsi="Times New Roman" w:eastAsia="仿宋_GB2312" w:cs="Times New Roman"/>
          <w:color w:val="auto"/>
          <w:sz w:val="32"/>
          <w:szCs w:val="32"/>
          <w:lang w:val="en-US" w:eastAsia="zh-CN"/>
        </w:rPr>
        <w:t>截至2024年底，财政拨付项目资金10.67万元，进度100%，我部执行金额10.67万元，执行率100%。该指标得分9分。</w:t>
      </w:r>
    </w:p>
    <w:p w14:paraId="5A2DFF2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en-US" w:eastAsia="zh-CN"/>
        </w:rPr>
        <w:t>项目结果</w:t>
      </w:r>
      <w:r>
        <w:rPr>
          <w:rFonts w:hint="eastAsia" w:ascii="Times New Roman" w:hAnsi="Times New Roman" w:eastAsia="楷体_GB2312" w:cs="Times New Roman"/>
          <w:b w:val="0"/>
          <w:bCs w:val="0"/>
          <w:color w:val="auto"/>
          <w:kern w:val="0"/>
          <w:sz w:val="32"/>
          <w:szCs w:val="32"/>
          <w:highlight w:val="none"/>
          <w:shd w:val="clear" w:color="auto" w:fill="FFFFFF"/>
          <w:lang w:val="zh-CN"/>
        </w:rPr>
        <w:t>（</w:t>
      </w:r>
      <w:r>
        <w:rPr>
          <w:rFonts w:hint="eastAsia" w:ascii="Times New Roman" w:hAnsi="Times New Roman" w:eastAsia="楷体_GB2312" w:cs="Times New Roman"/>
          <w:b w:val="0"/>
          <w:bCs w:val="0"/>
          <w:color w:val="auto"/>
          <w:kern w:val="0"/>
          <w:sz w:val="32"/>
          <w:szCs w:val="32"/>
          <w:highlight w:val="none"/>
          <w:shd w:val="clear" w:color="auto" w:fill="FFFFFF"/>
          <w:lang w:val="en-US" w:eastAsia="zh-CN"/>
        </w:rPr>
        <w:t>9分</w:t>
      </w:r>
      <w:r>
        <w:rPr>
          <w:rFonts w:hint="eastAsia" w:ascii="Times New Roman" w:hAnsi="Times New Roman" w:eastAsia="楷体_GB2312" w:cs="Times New Roman"/>
          <w:b w:val="0"/>
          <w:bCs w:val="0"/>
          <w:color w:val="auto"/>
          <w:kern w:val="0"/>
          <w:sz w:val="32"/>
          <w:szCs w:val="32"/>
          <w:highlight w:val="none"/>
          <w:shd w:val="clear" w:color="auto" w:fill="FFFFFF"/>
          <w:lang w:val="zh-CN"/>
        </w:rPr>
        <w:t>）</w:t>
      </w:r>
    </w:p>
    <w:p w14:paraId="13AA31C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围绕各项绩效目标认真履职，预算项目绩效目标数量指标基本完成，项目整体目标基本实现，未发现预算项目绩效目标数量指标实现程度与预期目标的偏离情况的情况，项目按计划实施，其各项效益指标、满意度指标均达到绩效目标预期效果。</w:t>
      </w:r>
      <w:r>
        <w:rPr>
          <w:rFonts w:hint="eastAsia" w:ascii="Times New Roman" w:hAnsi="Times New Roman" w:eastAsia="仿宋_GB2312" w:cs="Times New Roman"/>
          <w:color w:val="auto"/>
          <w:sz w:val="32"/>
          <w:szCs w:val="32"/>
          <w:lang w:val="en-US" w:eastAsia="zh-CN"/>
        </w:rPr>
        <w:t>该指标得分9分。</w:t>
      </w:r>
    </w:p>
    <w:p w14:paraId="6EFFA82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楷体_GB2312" w:cs="Times New Roman"/>
          <w:color w:val="auto"/>
          <w:sz w:val="32"/>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en-US" w:eastAsia="zh-CN"/>
        </w:rPr>
        <w:t>30分</w:t>
      </w:r>
      <w:r>
        <w:rPr>
          <w:rFonts w:hint="eastAsia" w:ascii="Times New Roman" w:hAnsi="Times New Roman" w:eastAsia="楷体_GB2312" w:cs="Times New Roman"/>
          <w:b/>
          <w:bCs/>
          <w:color w:val="auto"/>
          <w:kern w:val="0"/>
          <w:sz w:val="32"/>
          <w:szCs w:val="32"/>
          <w:highlight w:val="none"/>
          <w:shd w:val="clear" w:color="auto" w:fill="FFFFFF"/>
          <w:lang w:val="zh-CN"/>
        </w:rPr>
        <w:t>）</w:t>
      </w:r>
    </w:p>
    <w:p w14:paraId="42B33C1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行政运转。本项目资金均在规定用途、适用范围内进行资金分配，资金管理程序符合专项资金管理要求，资金分配标准符合专项资金管理要求，未发现资金管理和使用过程中不符合专项资金管理要求的情况。</w:t>
      </w:r>
      <w:r>
        <w:rPr>
          <w:rFonts w:hint="eastAsia" w:ascii="Times New Roman" w:hAnsi="Times New Roman" w:eastAsia="仿宋_GB2312" w:cs="Times New Roman"/>
          <w:color w:val="auto"/>
          <w:sz w:val="32"/>
          <w:szCs w:val="32"/>
          <w:lang w:val="en-US" w:eastAsia="zh-CN"/>
        </w:rPr>
        <w:t>该指标得分30分。</w:t>
      </w:r>
    </w:p>
    <w:p w14:paraId="4555FD6B">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16分</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1DF22110">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1.资金拨付及时性：资金发放在2024年内完成。该指标得分8分。</w:t>
      </w:r>
    </w:p>
    <w:p w14:paraId="6643185E">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2.资金补助质效：高质量保障</w:t>
      </w:r>
      <w:r>
        <w:rPr>
          <w:rFonts w:hint="default" w:ascii="Times New Roman" w:hAnsi="Times New Roman" w:eastAsia="仿宋_GB2312" w:cs="Times New Roman"/>
          <w:color w:val="auto"/>
          <w:kern w:val="0"/>
          <w:sz w:val="32"/>
          <w:szCs w:val="32"/>
          <w:highlight w:val="none"/>
          <w:u w:val="none"/>
          <w:shd w:val="clear" w:color="auto" w:fill="FFFFFF"/>
          <w:lang w:val="zh-CN"/>
        </w:rPr>
        <w:t>志愿者项目培育及志愿者培训</w:t>
      </w:r>
      <w:r>
        <w:rPr>
          <w:rFonts w:hint="eastAsia" w:ascii="Times New Roman" w:hAnsi="Times New Roman" w:eastAsia="仿宋_GB2312" w:cs="Times New Roman"/>
          <w:color w:val="auto"/>
          <w:sz w:val="32"/>
          <w:szCs w:val="32"/>
          <w:lang w:val="en-US" w:eastAsia="zh-CN"/>
        </w:rPr>
        <w:t>工作开展。该指标得分8分。</w:t>
      </w:r>
    </w:p>
    <w:p w14:paraId="63FE3F6A">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en-US" w:eastAsia="en-US" w:bidi="ar-SA"/>
        </w:rPr>
      </w:pPr>
      <w:r>
        <w:rPr>
          <w:rFonts w:hint="default" w:ascii="Times New Roman" w:hAnsi="Times New Roman" w:eastAsia="黑体" w:cs="Times New Roman"/>
          <w:color w:val="auto"/>
          <w:kern w:val="0"/>
          <w:position w:val="3"/>
          <w:sz w:val="32"/>
          <w:szCs w:val="32"/>
          <w:highlight w:val="none"/>
          <w:u w:val="none"/>
          <w:lang w:val="en-US" w:eastAsia="zh-CN" w:bidi="ar-SA"/>
        </w:rPr>
        <w:t>四</w:t>
      </w:r>
      <w:r>
        <w:rPr>
          <w:rFonts w:hint="default" w:ascii="Times New Roman" w:hAnsi="Times New Roman" w:eastAsia="黑体" w:cs="Times New Roman"/>
          <w:color w:val="auto"/>
          <w:kern w:val="0"/>
          <w:position w:val="3"/>
          <w:sz w:val="32"/>
          <w:szCs w:val="32"/>
          <w:highlight w:val="none"/>
          <w:u w:val="none"/>
          <w:lang w:val="en-US" w:eastAsia="en-US" w:bidi="ar-SA"/>
        </w:rPr>
        <w:t>、评价结论</w:t>
      </w:r>
    </w:p>
    <w:p w14:paraId="38F44202">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仿宋_GB2312" w:cs="Times New Roman"/>
          <w:b w:val="0"/>
          <w:bCs w:val="0"/>
          <w:color w:val="auto"/>
          <w:kern w:val="2"/>
          <w:position w:val="0"/>
          <w:sz w:val="32"/>
          <w:szCs w:val="32"/>
          <w:highlight w:val="none"/>
          <w:lang w:val="en-US" w:eastAsia="zh-CN" w:bidi="ar-SA"/>
        </w:rPr>
      </w:pPr>
      <w:r>
        <w:rPr>
          <w:rFonts w:hint="eastAsia" w:ascii="Times New Roman" w:hAnsi="Times New Roman" w:eastAsia="仿宋_GB2312" w:cs="Times New Roman"/>
          <w:b w:val="0"/>
          <w:bCs w:val="0"/>
          <w:color w:val="auto"/>
          <w:kern w:val="0"/>
          <w:position w:val="3"/>
          <w:sz w:val="32"/>
          <w:szCs w:val="32"/>
          <w:highlight w:val="none"/>
          <w:lang w:val="en-US" w:eastAsia="zh-CN" w:bidi="ar-SA"/>
        </w:rPr>
        <w:t>该项目决策依据充分，目标明确；项目实施过程资金管理科学，财务控制和业务控制规范；项目绩效目标完成情况基本达到预期效果，绩效自评得分100 分。</w:t>
      </w:r>
    </w:p>
    <w:p w14:paraId="6D9944AC">
      <w:pPr>
        <w:keepNext w:val="0"/>
        <w:keepLines w:val="0"/>
        <w:pageBreakBefore w:val="0"/>
        <w:widowControl/>
        <w:numPr>
          <w:ilvl w:val="0"/>
          <w:numId w:val="1"/>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en-US" w:eastAsia="zh-CN" w:bidi="ar-SA"/>
        </w:rPr>
      </w:pPr>
      <w:r>
        <w:rPr>
          <w:rFonts w:hint="default" w:ascii="Times New Roman" w:hAnsi="Times New Roman" w:eastAsia="黑体" w:cs="Times New Roman"/>
          <w:color w:val="auto"/>
          <w:kern w:val="0"/>
          <w:position w:val="3"/>
          <w:sz w:val="32"/>
          <w:szCs w:val="32"/>
          <w:highlight w:val="none"/>
          <w:u w:val="none"/>
          <w:lang w:val="en-US" w:eastAsia="zh-CN" w:bidi="ar-SA"/>
        </w:rPr>
        <w:t>存在主要问题</w:t>
      </w:r>
    </w:p>
    <w:p w14:paraId="2F509A6A">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eastAsia" w:ascii="Times New Roman" w:hAnsi="Times New Roman" w:eastAsia="仿宋_GB2312" w:cs="Times New Roman"/>
          <w:b w:val="0"/>
          <w:bCs w:val="0"/>
          <w:color w:val="auto"/>
          <w:kern w:val="0"/>
          <w:position w:val="3"/>
          <w:sz w:val="32"/>
          <w:szCs w:val="32"/>
          <w:highlight w:val="none"/>
          <w:lang w:val="en-US" w:eastAsia="zh-CN" w:bidi="ar-SA"/>
        </w:rPr>
        <w:t>存在与各部门、各志愿服务队伍联系不够及时、沟通不够顺畅的问题。作为新成立部门，对相关部门业务及志愿服务工作的熟悉程度有待加强。</w:t>
      </w:r>
    </w:p>
    <w:p w14:paraId="7FD93FA6">
      <w:pPr>
        <w:keepNext w:val="0"/>
        <w:keepLines w:val="0"/>
        <w:pageBreakBefore w:val="0"/>
        <w:widowControl/>
        <w:numPr>
          <w:ilvl w:val="0"/>
          <w:numId w:val="2"/>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改进建议</w:t>
      </w:r>
    </w:p>
    <w:p w14:paraId="2E8E9F57">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仿宋_GB2312" w:cs="Times New Roman"/>
          <w:b w:val="0"/>
          <w:bCs w:val="0"/>
          <w:kern w:val="0"/>
          <w:position w:val="0"/>
          <w:sz w:val="32"/>
          <w:szCs w:val="32"/>
          <w:highlight w:val="none"/>
          <w:lang w:val="en" w:eastAsia="zh-CN" w:bidi="ar-SA"/>
        </w:rPr>
      </w:pPr>
      <w:r>
        <w:rPr>
          <w:rFonts w:hint="eastAsia" w:ascii="Times New Roman" w:hAnsi="Times New Roman" w:eastAsia="仿宋_GB2312" w:cs="Times New Roman"/>
          <w:b w:val="0"/>
          <w:bCs w:val="0"/>
          <w:kern w:val="0"/>
          <w:position w:val="3"/>
          <w:sz w:val="32"/>
          <w:szCs w:val="32"/>
          <w:highlight w:val="none"/>
          <w:lang w:val="en-US" w:eastAsia="zh-CN" w:bidi="ar-SA"/>
        </w:rPr>
        <w:t>加强业务能力学习。</w:t>
      </w:r>
    </w:p>
    <w:p w14:paraId="3C50CA32">
      <w:pPr>
        <w:keepNext w:val="0"/>
        <w:keepLines w:val="0"/>
        <w:pageBreakBefore w:val="0"/>
        <w:kinsoku/>
        <w:wordWrap/>
        <w:overflowPunct/>
        <w:topLinePunct w:val="0"/>
        <w:autoSpaceDE/>
        <w:autoSpaceDN/>
        <w:bidi w:val="0"/>
        <w:spacing w:line="578" w:lineRule="exact"/>
        <w:textAlignment w:val="auto"/>
      </w:pPr>
    </w:p>
    <w:p w14:paraId="73088E3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default" w:ascii="Times New Roman" w:hAnsi="Times New Roman" w:eastAsia="仿宋_GB2312" w:cs="Times New Roman"/>
          <w:kern w:val="2"/>
          <w:sz w:val="32"/>
          <w:szCs w:val="32"/>
          <w:u w:val="none"/>
          <w:lang w:val="en-US" w:eastAsia="zh-CN" w:bidi="ar"/>
        </w:rPr>
        <w:t>专项预算项目绩效目标完成情况自评表</w:t>
      </w:r>
    </w:p>
    <w:p w14:paraId="54BB66F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281F8B08">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附表</w:t>
      </w:r>
    </w:p>
    <w:tbl>
      <w:tblPr>
        <w:tblStyle w:val="15"/>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025E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0233" w:type="dxa"/>
            <w:gridSpan w:val="9"/>
            <w:noWrap w:val="0"/>
            <w:vAlign w:val="center"/>
          </w:tcPr>
          <w:p w14:paraId="37BA33D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default" w:ascii="Times New Roman" w:hAnsi="Times New Roman" w:eastAsia="黑体" w:cs="Times New Roman"/>
                <w:i w:val="0"/>
                <w:color w:val="000000"/>
                <w:sz w:val="30"/>
                <w:szCs w:val="30"/>
                <w:u w:val="none"/>
              </w:rPr>
            </w:pPr>
            <w:r>
              <w:rPr>
                <w:rFonts w:hint="default" w:ascii="Times New Roman" w:hAnsi="Times New Roman" w:eastAsia="方正小标宋简体" w:cs="Times New Roman"/>
                <w:i w:val="0"/>
                <w:color w:val="000000"/>
                <w:kern w:val="0"/>
                <w:sz w:val="40"/>
                <w:szCs w:val="40"/>
                <w:u w:val="none"/>
                <w:lang w:val="en-US" w:eastAsia="zh-CN" w:bidi="ar"/>
              </w:rPr>
              <w:t>专项预算项目绩效目标完成情况自评表</w:t>
            </w:r>
          </w:p>
        </w:tc>
      </w:tr>
      <w:tr w14:paraId="59A9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5007A0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EB3E154">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51172524T000011018467-2024年新时代文明实践促进中心项目</w:t>
            </w:r>
          </w:p>
        </w:tc>
      </w:tr>
      <w:tr w14:paraId="4EAC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714B64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3A9D461">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中国共产党渠县委员会社会工作部</w:t>
            </w:r>
          </w:p>
        </w:tc>
      </w:tr>
      <w:tr w14:paraId="20ED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5DC4E5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BE0F094">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行政运转类</w:t>
            </w:r>
          </w:p>
        </w:tc>
      </w:tr>
      <w:tr w14:paraId="1A2A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5B8FF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D5E5A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中长期规划（名称、文号，仅指</w:t>
            </w:r>
          </w:p>
          <w:p w14:paraId="07F494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C0D7CF4">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51号</w:t>
            </w:r>
          </w:p>
        </w:tc>
      </w:tr>
      <w:tr w14:paraId="5E6F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6EA3D">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384F8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CF53BB7">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51号</w:t>
            </w:r>
          </w:p>
        </w:tc>
      </w:tr>
      <w:tr w14:paraId="5338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D0602">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4A497A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14:paraId="16DF2C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bottom"/>
          </w:tcPr>
          <w:p w14:paraId="31D017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bottom"/>
          </w:tcPr>
          <w:p w14:paraId="05F5924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FE"/>
            </w:r>
            <w:r>
              <w:rPr>
                <w:rFonts w:hint="eastAsia"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bottom"/>
          </w:tcPr>
          <w:p w14:paraId="44B6A1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因素法与项目法相结合</w:t>
            </w:r>
          </w:p>
        </w:tc>
      </w:tr>
      <w:tr w14:paraId="5489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4E873">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24788C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7B92AD7">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51号</w:t>
            </w:r>
          </w:p>
        </w:tc>
      </w:tr>
      <w:tr w14:paraId="5109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69A9B">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B64F6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B00EAC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全县</w:t>
            </w:r>
          </w:p>
        </w:tc>
      </w:tr>
      <w:tr w14:paraId="6639C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3EF58">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7A9C8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775FFC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无</w:t>
            </w:r>
          </w:p>
        </w:tc>
      </w:tr>
      <w:tr w14:paraId="760B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EA92B">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99518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B8A0168">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2024.05-2024.12</w:t>
            </w:r>
          </w:p>
        </w:tc>
      </w:tr>
      <w:tr w14:paraId="125D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E190F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项目资金</w:t>
            </w:r>
          </w:p>
          <w:p w14:paraId="634C9E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37F60F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284EA05">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10.67</w:t>
            </w:r>
          </w:p>
        </w:tc>
      </w:tr>
      <w:tr w14:paraId="4455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4FF0C6">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28FEF4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202A605">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10.67</w:t>
            </w:r>
          </w:p>
        </w:tc>
      </w:tr>
      <w:tr w14:paraId="46B89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070ED7">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1615D3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7A11F9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0</w:t>
            </w:r>
          </w:p>
        </w:tc>
      </w:tr>
      <w:tr w14:paraId="6F3D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C0B1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0787C8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年度目标</w:t>
            </w:r>
          </w:p>
        </w:tc>
      </w:tr>
      <w:tr w14:paraId="3A9C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12D62">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1B3D5FFB">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开展志愿者项目培育及志愿者培训，提高全民素质，促进社会发展进步。</w:t>
            </w:r>
          </w:p>
        </w:tc>
      </w:tr>
      <w:tr w14:paraId="07D3C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561012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15C0F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BE68E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DD5BB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19FCE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9C0E2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CA244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D761A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5DBB89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实际完成指标值</w:t>
            </w:r>
          </w:p>
        </w:tc>
      </w:tr>
      <w:tr w14:paraId="0B02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644E84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5FF054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4AC6D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1BA4C50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开展志愿者训练、培训及志愿项目培育</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4EAE2B3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159CA7D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200</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255F8CD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天</w:t>
            </w:r>
          </w:p>
        </w:tc>
        <w:tc>
          <w:tcPr>
            <w:tcW w:w="938" w:type="dxa"/>
            <w:tcBorders>
              <w:top w:val="single" w:color="000000" w:sz="4" w:space="0"/>
              <w:left w:val="single" w:color="000000" w:sz="4" w:space="0"/>
              <w:right w:val="single" w:color="000000" w:sz="4" w:space="0"/>
            </w:tcBorders>
            <w:shd w:val="clear" w:color="auto" w:fill="auto"/>
            <w:noWrap w:val="0"/>
            <w:vAlign w:val="center"/>
          </w:tcPr>
          <w:p w14:paraId="5055FA3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544F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r>
              <w:rPr>
                <w:rFonts w:hint="eastAsia" w:ascii="宋体" w:hAnsi="宋体" w:cs="宋体"/>
                <w:i w:val="0"/>
                <w:iCs w:val="0"/>
                <w:color w:val="000000"/>
                <w:kern w:val="0"/>
                <w:sz w:val="18"/>
                <w:szCs w:val="18"/>
                <w:u w:val="none"/>
                <w:lang w:val="en-US" w:eastAsia="zh-CN" w:bidi="ar"/>
              </w:rPr>
              <w:t>0</w:t>
            </w:r>
          </w:p>
        </w:tc>
      </w:tr>
      <w:tr w14:paraId="171E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22BA02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869D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15557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1954300F">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ascii="宋体" w:hAnsi="宋体" w:eastAsia="宋体" w:cs="宋体"/>
                <w:i w:val="0"/>
                <w:iCs w:val="0"/>
                <w:color w:val="000000"/>
                <w:kern w:val="0"/>
                <w:sz w:val="18"/>
                <w:szCs w:val="18"/>
                <w:u w:val="none"/>
                <w:lang w:val="en-US" w:eastAsia="zh-CN" w:bidi="ar"/>
              </w:rPr>
              <w:t>志愿服务集中培训工作合格率</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63042077">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53620558">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16DF43CA">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right w:val="single" w:color="000000" w:sz="4" w:space="0"/>
            </w:tcBorders>
            <w:shd w:val="clear" w:color="auto" w:fill="auto"/>
            <w:noWrap w:val="0"/>
            <w:vAlign w:val="center"/>
          </w:tcPr>
          <w:p w14:paraId="24D82CB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A050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100</w:t>
            </w:r>
          </w:p>
        </w:tc>
      </w:tr>
      <w:tr w14:paraId="6B9B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8"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4059BA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D3B9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887B14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0EB0D93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开展志愿服务集中培训工作时限</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374E50D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722C9A22">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8</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68490BA1">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月</w:t>
            </w:r>
          </w:p>
        </w:tc>
        <w:tc>
          <w:tcPr>
            <w:tcW w:w="938" w:type="dxa"/>
            <w:tcBorders>
              <w:top w:val="single" w:color="000000" w:sz="4" w:space="0"/>
              <w:left w:val="single" w:color="000000" w:sz="4" w:space="0"/>
              <w:right w:val="single" w:color="000000" w:sz="4" w:space="0"/>
            </w:tcBorders>
            <w:shd w:val="clear" w:color="auto" w:fill="auto"/>
            <w:noWrap w:val="0"/>
            <w:vAlign w:val="center"/>
          </w:tcPr>
          <w:p w14:paraId="190B7CC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5D43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i w:val="0"/>
                <w:iCs w:val="0"/>
                <w:color w:val="000000"/>
                <w:kern w:val="0"/>
                <w:sz w:val="18"/>
                <w:szCs w:val="18"/>
                <w:u w:val="none"/>
                <w:lang w:val="en-US" w:eastAsia="zh-CN" w:bidi="ar"/>
              </w:rPr>
              <w:t>100</w:t>
            </w:r>
          </w:p>
        </w:tc>
      </w:tr>
      <w:tr w14:paraId="43FF0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5"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406A39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1C7B1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50" w:type="dxa"/>
            <w:tcBorders>
              <w:top w:val="single" w:color="000000" w:sz="4" w:space="0"/>
              <w:left w:val="single" w:color="000000" w:sz="4" w:space="0"/>
              <w:right w:val="single" w:color="000000" w:sz="4" w:space="0"/>
            </w:tcBorders>
            <w:noWrap w:val="0"/>
            <w:vAlign w:val="center"/>
          </w:tcPr>
          <w:p w14:paraId="43910B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055F68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4F1B504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促进社会发展进步</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058DA230">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5DDE4A4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促进</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04888D04">
            <w:pPr>
              <w:jc w:val="center"/>
              <w:rPr>
                <w:rFonts w:hint="default" w:ascii="宋体" w:hAnsi="宋体" w:eastAsia="宋体" w:cs="宋体"/>
                <w:color w:val="000000"/>
                <w:kern w:val="0"/>
                <w:sz w:val="18"/>
                <w:szCs w:val="18"/>
                <w:lang w:val="en-US" w:eastAsia="zh-CN" w:bidi="ar"/>
              </w:rPr>
            </w:pPr>
          </w:p>
        </w:tc>
        <w:tc>
          <w:tcPr>
            <w:tcW w:w="938" w:type="dxa"/>
            <w:tcBorders>
              <w:top w:val="single" w:color="000000" w:sz="4" w:space="0"/>
              <w:left w:val="single" w:color="000000" w:sz="4" w:space="0"/>
              <w:right w:val="single" w:color="000000" w:sz="4" w:space="0"/>
            </w:tcBorders>
            <w:shd w:val="clear" w:color="auto" w:fill="auto"/>
            <w:noWrap w:val="0"/>
            <w:vAlign w:val="center"/>
          </w:tcPr>
          <w:p w14:paraId="1A0114C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12D36">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i w:val="0"/>
                <w:iCs w:val="0"/>
                <w:color w:val="000000"/>
                <w:kern w:val="0"/>
                <w:sz w:val="18"/>
                <w:szCs w:val="18"/>
                <w:u w:val="none"/>
                <w:lang w:val="en-US" w:eastAsia="zh-CN" w:bidi="ar"/>
              </w:rPr>
              <w:t>100</w:t>
            </w:r>
          </w:p>
        </w:tc>
      </w:tr>
      <w:tr w14:paraId="7A31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9784D7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right w:val="single" w:color="000000" w:sz="4" w:space="0"/>
            </w:tcBorders>
            <w:noWrap w:val="0"/>
            <w:vAlign w:val="center"/>
          </w:tcPr>
          <w:p w14:paraId="0421BD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满意度</w:t>
            </w:r>
          </w:p>
          <w:p w14:paraId="6AAB7A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250" w:type="dxa"/>
            <w:tcBorders>
              <w:top w:val="single" w:color="000000" w:sz="4" w:space="0"/>
              <w:left w:val="single" w:color="000000" w:sz="4" w:space="0"/>
              <w:right w:val="single" w:color="000000" w:sz="4" w:space="0"/>
            </w:tcBorders>
            <w:noWrap w:val="0"/>
            <w:vAlign w:val="center"/>
          </w:tcPr>
          <w:p w14:paraId="7F20B3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服务对象</w:t>
            </w:r>
          </w:p>
          <w:p w14:paraId="6B7394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312" w:type="dxa"/>
            <w:tcBorders>
              <w:top w:val="single" w:color="000000" w:sz="4" w:space="0"/>
              <w:bottom w:val="single" w:color="000000" w:sz="4" w:space="0"/>
              <w:right w:val="single" w:color="000000" w:sz="4" w:space="0"/>
            </w:tcBorders>
            <w:shd w:val="clear" w:color="auto" w:fill="auto"/>
            <w:noWrap w:val="0"/>
            <w:vAlign w:val="center"/>
          </w:tcPr>
          <w:p w14:paraId="4033AC36">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群众满意</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F554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A175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96</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0285B">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3F0A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C400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i w:val="0"/>
                <w:iCs w:val="0"/>
                <w:color w:val="000000"/>
                <w:kern w:val="0"/>
                <w:sz w:val="18"/>
                <w:szCs w:val="18"/>
                <w:u w:val="none"/>
                <w:lang w:val="en-US" w:eastAsia="zh-CN" w:bidi="ar"/>
              </w:rPr>
              <w:t>100</w:t>
            </w:r>
          </w:p>
        </w:tc>
      </w:tr>
      <w:tr w14:paraId="0486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534FC3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92000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00CE4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经济成本</w:t>
            </w:r>
          </w:p>
          <w:p w14:paraId="02821A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12" w:type="dxa"/>
            <w:tcBorders>
              <w:top w:val="single" w:color="000000" w:sz="4" w:space="0"/>
              <w:bottom w:val="single" w:color="000000" w:sz="4" w:space="0"/>
              <w:right w:val="single" w:color="000000" w:sz="4" w:space="0"/>
            </w:tcBorders>
            <w:shd w:val="clear" w:color="auto" w:fill="auto"/>
            <w:noWrap w:val="0"/>
            <w:vAlign w:val="center"/>
          </w:tcPr>
          <w:p w14:paraId="0CB60D75">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严格控制成本</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CD18E">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B1F82">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106700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530A7">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4612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7ADE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i w:val="0"/>
                <w:iCs w:val="0"/>
                <w:color w:val="000000"/>
                <w:kern w:val="0"/>
                <w:sz w:val="18"/>
                <w:szCs w:val="18"/>
                <w:u w:val="none"/>
                <w:lang w:val="en-US" w:eastAsia="zh-CN" w:bidi="ar"/>
              </w:rPr>
              <w:t>100</w:t>
            </w:r>
          </w:p>
        </w:tc>
      </w:tr>
    </w:tbl>
    <w:p w14:paraId="5145A857">
      <w:pPr>
        <w:keepNext w:val="0"/>
        <w:keepLines w:val="0"/>
        <w:pageBreakBefore w:val="0"/>
        <w:tabs>
          <w:tab w:val="left" w:pos="951"/>
        </w:tabs>
        <w:kinsoku/>
        <w:wordWrap/>
        <w:overflowPunct/>
        <w:topLinePunct w:val="0"/>
        <w:autoSpaceDE/>
        <w:autoSpaceDN/>
        <w:bidi w:val="0"/>
        <w:spacing w:line="578" w:lineRule="exact"/>
        <w:textAlignment w:val="auto"/>
        <w:rPr>
          <w:rFonts w:hint="eastAsia" w:eastAsia="宋体"/>
          <w:lang w:eastAsia="zh-CN"/>
        </w:rPr>
      </w:pPr>
    </w:p>
    <w:p w14:paraId="2E14E30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C94C2E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42455D8">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1"/>
      <w:bookmarkEnd w:id="2"/>
      <w:bookmarkStart w:id="3" w:name="_Toc15396619"/>
    </w:p>
    <w:p w14:paraId="5E7B9F7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1BF07F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3"/>
    </w:p>
    <w:p w14:paraId="16FC76A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 w:name="_Toc15396620"/>
      <w:r>
        <w:rPr>
          <w:rFonts w:hint="eastAsia" w:ascii="Times New Roman" w:hAnsi="Times New Roman" w:eastAsia="仿宋_GB2312" w:cs="仿宋_GB2312"/>
          <w:color w:val="auto"/>
          <w:sz w:val="32"/>
          <w:szCs w:val="32"/>
          <w:highlight w:val="none"/>
        </w:rPr>
        <w:t>二、收入决算表</w:t>
      </w:r>
      <w:bookmarkEnd w:id="4"/>
    </w:p>
    <w:p w14:paraId="6983E03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 w:name="_Toc15396621"/>
      <w:r>
        <w:rPr>
          <w:rFonts w:hint="eastAsia" w:ascii="Times New Roman" w:hAnsi="Times New Roman" w:eastAsia="仿宋_GB2312" w:cs="仿宋_GB2312"/>
          <w:color w:val="auto"/>
          <w:sz w:val="32"/>
          <w:szCs w:val="32"/>
          <w:highlight w:val="none"/>
        </w:rPr>
        <w:t>三、支出决算表</w:t>
      </w:r>
      <w:bookmarkEnd w:id="5"/>
    </w:p>
    <w:p w14:paraId="3A70277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 w:name="_Toc15396622"/>
      <w:r>
        <w:rPr>
          <w:rFonts w:hint="eastAsia" w:ascii="Times New Roman" w:hAnsi="Times New Roman" w:eastAsia="仿宋_GB2312" w:cs="仿宋_GB2312"/>
          <w:color w:val="auto"/>
          <w:sz w:val="32"/>
          <w:szCs w:val="32"/>
          <w:highlight w:val="none"/>
        </w:rPr>
        <w:t>四、财政拨款收入支出决算总表</w:t>
      </w:r>
      <w:bookmarkEnd w:id="6"/>
    </w:p>
    <w:p w14:paraId="667ECB4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 w:name="_Toc15396623"/>
      <w:r>
        <w:rPr>
          <w:rFonts w:hint="eastAsia" w:ascii="Times New Roman" w:hAnsi="Times New Roman" w:eastAsia="仿宋_GB2312" w:cs="仿宋_GB2312"/>
          <w:color w:val="auto"/>
          <w:sz w:val="32"/>
          <w:szCs w:val="32"/>
          <w:highlight w:val="none"/>
        </w:rPr>
        <w:t>五、财政拨款支出决算明细表</w:t>
      </w:r>
      <w:bookmarkEnd w:id="7"/>
      <w:bookmarkStart w:id="8" w:name="_Toc15396624"/>
    </w:p>
    <w:p w14:paraId="3B5E572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8"/>
    </w:p>
    <w:p w14:paraId="6BBFF49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 w:name="_Toc15396625"/>
      <w:r>
        <w:rPr>
          <w:rFonts w:hint="eastAsia" w:ascii="Times New Roman" w:hAnsi="Times New Roman" w:eastAsia="仿宋_GB2312" w:cs="仿宋_GB2312"/>
          <w:color w:val="auto"/>
          <w:sz w:val="32"/>
          <w:szCs w:val="32"/>
          <w:highlight w:val="none"/>
        </w:rPr>
        <w:t>七、一般公共预算财政拨款支出决算明细表</w:t>
      </w:r>
      <w:bookmarkEnd w:id="9"/>
    </w:p>
    <w:p w14:paraId="5C6AE6D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 w:name="_Toc15396626"/>
      <w:r>
        <w:rPr>
          <w:rFonts w:hint="eastAsia" w:ascii="Times New Roman" w:hAnsi="Times New Roman" w:eastAsia="仿宋_GB2312" w:cs="仿宋_GB2312"/>
          <w:color w:val="auto"/>
          <w:sz w:val="32"/>
          <w:szCs w:val="32"/>
          <w:highlight w:val="none"/>
        </w:rPr>
        <w:t>八、一般公共预算财政拨款基本支出决算表</w:t>
      </w:r>
      <w:bookmarkEnd w:id="10"/>
    </w:p>
    <w:p w14:paraId="0EACB71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 w:name="_Toc15396627"/>
      <w:r>
        <w:rPr>
          <w:rFonts w:hint="eastAsia" w:ascii="Times New Roman" w:hAnsi="Times New Roman" w:eastAsia="仿宋_GB2312" w:cs="仿宋_GB2312"/>
          <w:color w:val="auto"/>
          <w:sz w:val="32"/>
          <w:szCs w:val="32"/>
          <w:highlight w:val="none"/>
        </w:rPr>
        <w:t>九、一般公共预算财政拨款项目支出决算表</w:t>
      </w:r>
      <w:bookmarkEnd w:id="11"/>
    </w:p>
    <w:p w14:paraId="24D6E5F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 w:name="_Toc15396628"/>
      <w:r>
        <w:rPr>
          <w:rFonts w:hint="eastAsia" w:ascii="Times New Roman" w:hAnsi="Times New Roman" w:eastAsia="仿宋_GB2312" w:cs="仿宋_GB2312"/>
          <w:color w:val="auto"/>
          <w:sz w:val="32"/>
          <w:szCs w:val="32"/>
          <w:highlight w:val="none"/>
        </w:rPr>
        <w:t>十、</w:t>
      </w:r>
      <w:bookmarkEnd w:id="12"/>
      <w:r>
        <w:rPr>
          <w:rFonts w:hint="eastAsia" w:ascii="Times New Roman" w:hAnsi="Times New Roman" w:eastAsia="仿宋_GB2312" w:cs="仿宋_GB2312"/>
          <w:color w:val="auto"/>
          <w:sz w:val="32"/>
          <w:szCs w:val="32"/>
          <w:highlight w:val="none"/>
        </w:rPr>
        <w:t>政府性基金预算财政拨款收入支出决算表</w:t>
      </w:r>
    </w:p>
    <w:p w14:paraId="6A07AF1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3" w:name="_Toc15396629"/>
      <w:r>
        <w:rPr>
          <w:rFonts w:hint="eastAsia" w:ascii="Times New Roman" w:hAnsi="Times New Roman" w:eastAsia="仿宋_GB2312" w:cs="仿宋_GB2312"/>
          <w:color w:val="auto"/>
          <w:sz w:val="32"/>
          <w:szCs w:val="32"/>
          <w:highlight w:val="none"/>
        </w:rPr>
        <w:t>十一、</w:t>
      </w:r>
      <w:bookmarkEnd w:id="1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7293E8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4" w:name="_Toc15396630"/>
      <w:r>
        <w:rPr>
          <w:rFonts w:hint="eastAsia" w:ascii="Times New Roman" w:hAnsi="Times New Roman" w:eastAsia="仿宋_GB2312" w:cs="仿宋_GB2312"/>
          <w:color w:val="auto"/>
          <w:sz w:val="32"/>
          <w:szCs w:val="32"/>
          <w:highlight w:val="none"/>
        </w:rPr>
        <w:t>十二、</w:t>
      </w:r>
      <w:bookmarkEnd w:id="14"/>
      <w:r>
        <w:rPr>
          <w:rFonts w:hint="eastAsia" w:ascii="Times New Roman" w:hAnsi="Times New Roman" w:eastAsia="仿宋_GB2312" w:cs="仿宋_GB2312"/>
          <w:color w:val="auto"/>
          <w:sz w:val="32"/>
          <w:szCs w:val="32"/>
          <w:highlight w:val="none"/>
          <w:lang w:eastAsia="zh-CN"/>
        </w:rPr>
        <w:t>国有资本经营预算财政拨款支出决算表</w:t>
      </w:r>
    </w:p>
    <w:p w14:paraId="35114EC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15" w:name="_Toc15396631"/>
      <w:r>
        <w:rPr>
          <w:rFonts w:hint="eastAsia" w:ascii="Times New Roman" w:hAnsi="Times New Roman" w:eastAsia="仿宋_GB2312" w:cs="仿宋_GB2312"/>
          <w:color w:val="auto"/>
          <w:sz w:val="32"/>
          <w:szCs w:val="32"/>
          <w:highlight w:val="none"/>
        </w:rPr>
        <w:t>十三、</w:t>
      </w:r>
      <w:bookmarkEnd w:id="15"/>
      <w:r>
        <w:rPr>
          <w:rFonts w:hint="eastAsia" w:ascii="Times New Roman" w:hAnsi="Times New Roman" w:eastAsia="仿宋_GB2312" w:cs="仿宋_GB2312"/>
          <w:color w:val="auto"/>
          <w:sz w:val="32"/>
          <w:szCs w:val="32"/>
          <w:highlight w:val="none"/>
          <w:lang w:eastAsia="zh-CN"/>
        </w:rPr>
        <w:t>财政拨款“三公”经费支出决算表</w:t>
      </w:r>
    </w:p>
    <w:p w14:paraId="26CE21FD">
      <w:pPr>
        <w:rPr>
          <w:rFonts w:hint="eastAsia" w:ascii="Times New Roman" w:hAnsi="Times New Roman"/>
          <w:lang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3000509000000000000"/>
    <w:charset w:val="86"/>
    <w:family w:val="auto"/>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A9779">
    <w:pPr>
      <w:pStyle w:val="10"/>
      <w:jc w:val="center"/>
    </w:pPr>
  </w:p>
  <w:p w14:paraId="179110A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A0E2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2D8EF">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BF5F">
    <w:pPr>
      <w:pStyle w:val="11"/>
      <w:pBdr>
        <w:bottom w:val="none" w:color="auto" w:sz="0" w:space="1"/>
      </w:pBdr>
      <w:tabs>
        <w:tab w:val="left" w:pos="7476"/>
        <w:tab w:val="clear" w:pos="4153"/>
        <w:tab w:val="clear" w:pos="8306"/>
      </w:tabs>
      <w:jc w:val="both"/>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706B0"/>
    <w:multiLevelType w:val="singleLevel"/>
    <w:tmpl w:val="C72706B0"/>
    <w:lvl w:ilvl="0" w:tentative="0">
      <w:start w:val="6"/>
      <w:numFmt w:val="chineseCounting"/>
      <w:suff w:val="nothing"/>
      <w:lvlText w:val="%1、"/>
      <w:lvlJc w:val="left"/>
      <w:rPr>
        <w:rFonts w:hint="eastAsia"/>
      </w:rPr>
    </w:lvl>
  </w:abstractNum>
  <w:abstractNum w:abstractNumId="1">
    <w:nsid w:val="25DF292B"/>
    <w:multiLevelType w:val="singleLevel"/>
    <w:tmpl w:val="25DF292B"/>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4172"/>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4814"/>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76FA5"/>
    <w:rsid w:val="012A5EC2"/>
    <w:rsid w:val="01482D01"/>
    <w:rsid w:val="015975B8"/>
    <w:rsid w:val="01826A17"/>
    <w:rsid w:val="01DE1773"/>
    <w:rsid w:val="01E161B1"/>
    <w:rsid w:val="02427F54"/>
    <w:rsid w:val="02FEBE30"/>
    <w:rsid w:val="03015719"/>
    <w:rsid w:val="034E28C3"/>
    <w:rsid w:val="040A4AA1"/>
    <w:rsid w:val="040D00EE"/>
    <w:rsid w:val="043A35D9"/>
    <w:rsid w:val="04455AD9"/>
    <w:rsid w:val="045126D0"/>
    <w:rsid w:val="04916F1E"/>
    <w:rsid w:val="04B52C5F"/>
    <w:rsid w:val="04D74983"/>
    <w:rsid w:val="051E25B2"/>
    <w:rsid w:val="053A3164"/>
    <w:rsid w:val="05416AD2"/>
    <w:rsid w:val="05765900"/>
    <w:rsid w:val="05A52CD4"/>
    <w:rsid w:val="05AE1F53"/>
    <w:rsid w:val="05D76C05"/>
    <w:rsid w:val="060043AE"/>
    <w:rsid w:val="06035C4C"/>
    <w:rsid w:val="061E35DE"/>
    <w:rsid w:val="063B7194"/>
    <w:rsid w:val="066E0107"/>
    <w:rsid w:val="06BF7DC5"/>
    <w:rsid w:val="078D7776"/>
    <w:rsid w:val="07996F6E"/>
    <w:rsid w:val="07DFD8BA"/>
    <w:rsid w:val="0808579C"/>
    <w:rsid w:val="0872662E"/>
    <w:rsid w:val="08D35DAA"/>
    <w:rsid w:val="08F04266"/>
    <w:rsid w:val="09120680"/>
    <w:rsid w:val="096A04BC"/>
    <w:rsid w:val="097E5D15"/>
    <w:rsid w:val="09867E8F"/>
    <w:rsid w:val="09D92F4C"/>
    <w:rsid w:val="09DF42DA"/>
    <w:rsid w:val="0A2032A3"/>
    <w:rsid w:val="0A4F320E"/>
    <w:rsid w:val="0A4F76B2"/>
    <w:rsid w:val="0AE41BA8"/>
    <w:rsid w:val="0B12230C"/>
    <w:rsid w:val="0B154457"/>
    <w:rsid w:val="0B582596"/>
    <w:rsid w:val="0B9C44F3"/>
    <w:rsid w:val="0BB2614A"/>
    <w:rsid w:val="0C346B5F"/>
    <w:rsid w:val="0C654F6B"/>
    <w:rsid w:val="0C943AA2"/>
    <w:rsid w:val="0CA8290A"/>
    <w:rsid w:val="0CC223BD"/>
    <w:rsid w:val="0CED0060"/>
    <w:rsid w:val="0CF34325"/>
    <w:rsid w:val="0D35B1ED"/>
    <w:rsid w:val="0D4728C2"/>
    <w:rsid w:val="0D8256A8"/>
    <w:rsid w:val="0E0662D9"/>
    <w:rsid w:val="0E082052"/>
    <w:rsid w:val="0E0A5DCA"/>
    <w:rsid w:val="0E1E1875"/>
    <w:rsid w:val="0E254B6B"/>
    <w:rsid w:val="0E3E3422"/>
    <w:rsid w:val="0E64797E"/>
    <w:rsid w:val="0E647FB0"/>
    <w:rsid w:val="0E657326"/>
    <w:rsid w:val="0E912047"/>
    <w:rsid w:val="0EB61AAE"/>
    <w:rsid w:val="0F384BB8"/>
    <w:rsid w:val="0F6F7F34"/>
    <w:rsid w:val="0F98263C"/>
    <w:rsid w:val="0FDF5034"/>
    <w:rsid w:val="10106F71"/>
    <w:rsid w:val="101860EC"/>
    <w:rsid w:val="101F47CC"/>
    <w:rsid w:val="10264A11"/>
    <w:rsid w:val="10645539"/>
    <w:rsid w:val="10857989"/>
    <w:rsid w:val="108A31F2"/>
    <w:rsid w:val="10A5627E"/>
    <w:rsid w:val="10C055FF"/>
    <w:rsid w:val="10D94FCD"/>
    <w:rsid w:val="110C12EC"/>
    <w:rsid w:val="11254CC9"/>
    <w:rsid w:val="11406D4B"/>
    <w:rsid w:val="11694EBD"/>
    <w:rsid w:val="116E6670"/>
    <w:rsid w:val="11772AA4"/>
    <w:rsid w:val="117F101D"/>
    <w:rsid w:val="118107EC"/>
    <w:rsid w:val="119E2E84"/>
    <w:rsid w:val="11AF1880"/>
    <w:rsid w:val="122431D2"/>
    <w:rsid w:val="12382C34"/>
    <w:rsid w:val="12AC38F3"/>
    <w:rsid w:val="12BB55BA"/>
    <w:rsid w:val="12E24EE2"/>
    <w:rsid w:val="13147343"/>
    <w:rsid w:val="13767A5D"/>
    <w:rsid w:val="138C08E0"/>
    <w:rsid w:val="13D50BC4"/>
    <w:rsid w:val="144F329B"/>
    <w:rsid w:val="148B523E"/>
    <w:rsid w:val="149A3C1F"/>
    <w:rsid w:val="14B17F78"/>
    <w:rsid w:val="15363948"/>
    <w:rsid w:val="153D4CD7"/>
    <w:rsid w:val="15B825AF"/>
    <w:rsid w:val="15C745A0"/>
    <w:rsid w:val="16220A97"/>
    <w:rsid w:val="16556050"/>
    <w:rsid w:val="165E0673"/>
    <w:rsid w:val="16AC6F46"/>
    <w:rsid w:val="16B831D5"/>
    <w:rsid w:val="16BB723D"/>
    <w:rsid w:val="16D94246"/>
    <w:rsid w:val="171D1BFA"/>
    <w:rsid w:val="17233A58"/>
    <w:rsid w:val="17C074F9"/>
    <w:rsid w:val="17CE60BA"/>
    <w:rsid w:val="17E50567"/>
    <w:rsid w:val="17F51899"/>
    <w:rsid w:val="18493BA3"/>
    <w:rsid w:val="186504BB"/>
    <w:rsid w:val="186B67D2"/>
    <w:rsid w:val="18D07C10"/>
    <w:rsid w:val="19151A93"/>
    <w:rsid w:val="191B532F"/>
    <w:rsid w:val="193B777F"/>
    <w:rsid w:val="195C76F5"/>
    <w:rsid w:val="195E6FCA"/>
    <w:rsid w:val="19687E48"/>
    <w:rsid w:val="19A445FC"/>
    <w:rsid w:val="1A0C2EC9"/>
    <w:rsid w:val="1A805517"/>
    <w:rsid w:val="1AA43102"/>
    <w:rsid w:val="1B222279"/>
    <w:rsid w:val="1B3F2E2B"/>
    <w:rsid w:val="1B446693"/>
    <w:rsid w:val="1B506DE6"/>
    <w:rsid w:val="1BE8440E"/>
    <w:rsid w:val="1C623275"/>
    <w:rsid w:val="1C931680"/>
    <w:rsid w:val="1CC6347C"/>
    <w:rsid w:val="1D155CEE"/>
    <w:rsid w:val="1D1638FE"/>
    <w:rsid w:val="1D9A07EC"/>
    <w:rsid w:val="1E002D45"/>
    <w:rsid w:val="1E312DEB"/>
    <w:rsid w:val="1E450758"/>
    <w:rsid w:val="1E740ACF"/>
    <w:rsid w:val="1F116E2A"/>
    <w:rsid w:val="1F1F544D"/>
    <w:rsid w:val="1F4629DA"/>
    <w:rsid w:val="1F4C5B16"/>
    <w:rsid w:val="1F5A6CC9"/>
    <w:rsid w:val="1F6115C2"/>
    <w:rsid w:val="1FB21E1D"/>
    <w:rsid w:val="1FF35744"/>
    <w:rsid w:val="1FF6BC77"/>
    <w:rsid w:val="202B1653"/>
    <w:rsid w:val="20BD4F1E"/>
    <w:rsid w:val="20E6124D"/>
    <w:rsid w:val="21354AB4"/>
    <w:rsid w:val="21463165"/>
    <w:rsid w:val="2186353C"/>
    <w:rsid w:val="21E36C06"/>
    <w:rsid w:val="22032E04"/>
    <w:rsid w:val="22034BB2"/>
    <w:rsid w:val="229121BE"/>
    <w:rsid w:val="22C95DFC"/>
    <w:rsid w:val="22E26EBD"/>
    <w:rsid w:val="2321413F"/>
    <w:rsid w:val="23860B96"/>
    <w:rsid w:val="240371BF"/>
    <w:rsid w:val="244F3473"/>
    <w:rsid w:val="245C4A4D"/>
    <w:rsid w:val="249B37C8"/>
    <w:rsid w:val="24C417A7"/>
    <w:rsid w:val="24C97D99"/>
    <w:rsid w:val="24FE71FC"/>
    <w:rsid w:val="251D5F8B"/>
    <w:rsid w:val="252C2672"/>
    <w:rsid w:val="253A4D8F"/>
    <w:rsid w:val="25421E95"/>
    <w:rsid w:val="254266D7"/>
    <w:rsid w:val="2551610C"/>
    <w:rsid w:val="25A718F0"/>
    <w:rsid w:val="25AB3597"/>
    <w:rsid w:val="25BB59F6"/>
    <w:rsid w:val="25FC3DF2"/>
    <w:rsid w:val="260F557C"/>
    <w:rsid w:val="26970054"/>
    <w:rsid w:val="26DB7EAB"/>
    <w:rsid w:val="26DE13D9"/>
    <w:rsid w:val="273F48DE"/>
    <w:rsid w:val="278247CB"/>
    <w:rsid w:val="278B7B24"/>
    <w:rsid w:val="27D668C5"/>
    <w:rsid w:val="281408E2"/>
    <w:rsid w:val="281A0EA7"/>
    <w:rsid w:val="2830587D"/>
    <w:rsid w:val="283C0E1E"/>
    <w:rsid w:val="285C14C0"/>
    <w:rsid w:val="28BC3D0D"/>
    <w:rsid w:val="28DC615D"/>
    <w:rsid w:val="290F02E0"/>
    <w:rsid w:val="29180460"/>
    <w:rsid w:val="29317DC1"/>
    <w:rsid w:val="29752839"/>
    <w:rsid w:val="29804D3A"/>
    <w:rsid w:val="29EA6F2A"/>
    <w:rsid w:val="29F83587"/>
    <w:rsid w:val="29FD04D3"/>
    <w:rsid w:val="2A3646FC"/>
    <w:rsid w:val="2A691C72"/>
    <w:rsid w:val="2A8A2497"/>
    <w:rsid w:val="2B0D0850"/>
    <w:rsid w:val="2B261911"/>
    <w:rsid w:val="2B4E5917"/>
    <w:rsid w:val="2B6C2249"/>
    <w:rsid w:val="2BFF7BC6"/>
    <w:rsid w:val="2C047EA4"/>
    <w:rsid w:val="2C2440A3"/>
    <w:rsid w:val="2C8113C9"/>
    <w:rsid w:val="2C8A61B5"/>
    <w:rsid w:val="2D99286E"/>
    <w:rsid w:val="2DA74F8B"/>
    <w:rsid w:val="2DF04E50"/>
    <w:rsid w:val="2DF92ABE"/>
    <w:rsid w:val="2E586DFA"/>
    <w:rsid w:val="2E78040C"/>
    <w:rsid w:val="2EDA313F"/>
    <w:rsid w:val="2F040D46"/>
    <w:rsid w:val="2F1C04D2"/>
    <w:rsid w:val="2F6B035B"/>
    <w:rsid w:val="2F863F55"/>
    <w:rsid w:val="2F95287A"/>
    <w:rsid w:val="2FAE5751"/>
    <w:rsid w:val="2FB1A395"/>
    <w:rsid w:val="2FB7522E"/>
    <w:rsid w:val="2FD302BA"/>
    <w:rsid w:val="2FD47B8E"/>
    <w:rsid w:val="2FD9A7D8"/>
    <w:rsid w:val="2FDBF714"/>
    <w:rsid w:val="30026546"/>
    <w:rsid w:val="301B3E65"/>
    <w:rsid w:val="30AB6865"/>
    <w:rsid w:val="30EE2ED1"/>
    <w:rsid w:val="314B20D2"/>
    <w:rsid w:val="319F7F4E"/>
    <w:rsid w:val="3216448E"/>
    <w:rsid w:val="321B1AA4"/>
    <w:rsid w:val="32BD1EF1"/>
    <w:rsid w:val="32CA2337"/>
    <w:rsid w:val="3304709D"/>
    <w:rsid w:val="334A100F"/>
    <w:rsid w:val="334D2131"/>
    <w:rsid w:val="33616B0E"/>
    <w:rsid w:val="33A773CB"/>
    <w:rsid w:val="34605E94"/>
    <w:rsid w:val="349D6851"/>
    <w:rsid w:val="34C3033B"/>
    <w:rsid w:val="34CA3337"/>
    <w:rsid w:val="34D128EE"/>
    <w:rsid w:val="357065AB"/>
    <w:rsid w:val="35B46497"/>
    <w:rsid w:val="35D42696"/>
    <w:rsid w:val="35DE1766"/>
    <w:rsid w:val="35FC5E78"/>
    <w:rsid w:val="36244EBC"/>
    <w:rsid w:val="36317AE8"/>
    <w:rsid w:val="36453593"/>
    <w:rsid w:val="36811C57"/>
    <w:rsid w:val="36AA5135"/>
    <w:rsid w:val="36BE0DA7"/>
    <w:rsid w:val="36C95F72"/>
    <w:rsid w:val="37256F21"/>
    <w:rsid w:val="37314050"/>
    <w:rsid w:val="376161AB"/>
    <w:rsid w:val="376B6AA6"/>
    <w:rsid w:val="376C4B50"/>
    <w:rsid w:val="376D39B2"/>
    <w:rsid w:val="379F0A81"/>
    <w:rsid w:val="37B24C58"/>
    <w:rsid w:val="37E16F03"/>
    <w:rsid w:val="37F53A3B"/>
    <w:rsid w:val="386B4E07"/>
    <w:rsid w:val="38863CAC"/>
    <w:rsid w:val="389B6C89"/>
    <w:rsid w:val="38D469F0"/>
    <w:rsid w:val="38EE7F18"/>
    <w:rsid w:val="393A1591"/>
    <w:rsid w:val="39627CCD"/>
    <w:rsid w:val="397BAF1F"/>
    <w:rsid w:val="397F0B6A"/>
    <w:rsid w:val="399F2FBB"/>
    <w:rsid w:val="39CE1AF2"/>
    <w:rsid w:val="39D0586A"/>
    <w:rsid w:val="3A773F37"/>
    <w:rsid w:val="3AAA66ED"/>
    <w:rsid w:val="3AB79AF3"/>
    <w:rsid w:val="3AC151B3"/>
    <w:rsid w:val="3AC30F2B"/>
    <w:rsid w:val="3AD56CC2"/>
    <w:rsid w:val="3AE834C0"/>
    <w:rsid w:val="3B7EF35A"/>
    <w:rsid w:val="3B934DA1"/>
    <w:rsid w:val="3B9FDB6C"/>
    <w:rsid w:val="3BA7084C"/>
    <w:rsid w:val="3BBA232E"/>
    <w:rsid w:val="3BF5BC2F"/>
    <w:rsid w:val="3C265C15"/>
    <w:rsid w:val="3C3025F0"/>
    <w:rsid w:val="3CCF5081"/>
    <w:rsid w:val="3CEBA265"/>
    <w:rsid w:val="3CEF4259"/>
    <w:rsid w:val="3D8F3346"/>
    <w:rsid w:val="3D98207C"/>
    <w:rsid w:val="3D9A384D"/>
    <w:rsid w:val="3DE03BA2"/>
    <w:rsid w:val="3DEE7CF3"/>
    <w:rsid w:val="3E0D4FFF"/>
    <w:rsid w:val="3E2E2B5F"/>
    <w:rsid w:val="3E377C66"/>
    <w:rsid w:val="3E740A63"/>
    <w:rsid w:val="3E78745D"/>
    <w:rsid w:val="3E794616"/>
    <w:rsid w:val="3E7A3FF6"/>
    <w:rsid w:val="3EE17838"/>
    <w:rsid w:val="3F0F0BE2"/>
    <w:rsid w:val="3F1B4F40"/>
    <w:rsid w:val="3F55381A"/>
    <w:rsid w:val="3F7E0CA9"/>
    <w:rsid w:val="3F7F7599"/>
    <w:rsid w:val="3FC97FD8"/>
    <w:rsid w:val="3FF4CAE0"/>
    <w:rsid w:val="3FF7B227"/>
    <w:rsid w:val="40413FED"/>
    <w:rsid w:val="40C779CD"/>
    <w:rsid w:val="40DE086C"/>
    <w:rsid w:val="41211A3B"/>
    <w:rsid w:val="41406E31"/>
    <w:rsid w:val="41E974C9"/>
    <w:rsid w:val="42734FE4"/>
    <w:rsid w:val="42DA1507"/>
    <w:rsid w:val="433230F1"/>
    <w:rsid w:val="43413334"/>
    <w:rsid w:val="43A833B4"/>
    <w:rsid w:val="43C53F65"/>
    <w:rsid w:val="43C755E8"/>
    <w:rsid w:val="43DE3850"/>
    <w:rsid w:val="44227913"/>
    <w:rsid w:val="442A0323"/>
    <w:rsid w:val="44396F81"/>
    <w:rsid w:val="44B85878"/>
    <w:rsid w:val="44E268DA"/>
    <w:rsid w:val="450D13D7"/>
    <w:rsid w:val="453359BB"/>
    <w:rsid w:val="453C6741"/>
    <w:rsid w:val="45506656"/>
    <w:rsid w:val="459E4A6E"/>
    <w:rsid w:val="46072613"/>
    <w:rsid w:val="46841EB6"/>
    <w:rsid w:val="468C48C7"/>
    <w:rsid w:val="46DA3884"/>
    <w:rsid w:val="46F04E55"/>
    <w:rsid w:val="47396761"/>
    <w:rsid w:val="473B4ABA"/>
    <w:rsid w:val="477E6905"/>
    <w:rsid w:val="47AA51CE"/>
    <w:rsid w:val="47E36768"/>
    <w:rsid w:val="482E20D9"/>
    <w:rsid w:val="484713ED"/>
    <w:rsid w:val="48571455"/>
    <w:rsid w:val="486A6C7A"/>
    <w:rsid w:val="489A151D"/>
    <w:rsid w:val="491D214E"/>
    <w:rsid w:val="497A426C"/>
    <w:rsid w:val="4A0D3FCF"/>
    <w:rsid w:val="4A1B48DF"/>
    <w:rsid w:val="4A627F82"/>
    <w:rsid w:val="4AAA5C63"/>
    <w:rsid w:val="4B0E749A"/>
    <w:rsid w:val="4B2477C4"/>
    <w:rsid w:val="4B4F25DA"/>
    <w:rsid w:val="4BB16131"/>
    <w:rsid w:val="4BE068DB"/>
    <w:rsid w:val="4C107D48"/>
    <w:rsid w:val="4C39104D"/>
    <w:rsid w:val="4D1A0E7E"/>
    <w:rsid w:val="4D577224"/>
    <w:rsid w:val="4D6420F9"/>
    <w:rsid w:val="4DBF1CEB"/>
    <w:rsid w:val="4DF0007C"/>
    <w:rsid w:val="4E3416D3"/>
    <w:rsid w:val="4E544666"/>
    <w:rsid w:val="4E720846"/>
    <w:rsid w:val="4EAB630A"/>
    <w:rsid w:val="4ECE2238"/>
    <w:rsid w:val="4ED65115"/>
    <w:rsid w:val="4F786D37"/>
    <w:rsid w:val="4F833267"/>
    <w:rsid w:val="4F844CD5"/>
    <w:rsid w:val="4F9F14FC"/>
    <w:rsid w:val="4FA47125"/>
    <w:rsid w:val="4FE9BD67"/>
    <w:rsid w:val="4FFB052F"/>
    <w:rsid w:val="50963513"/>
    <w:rsid w:val="50B56D84"/>
    <w:rsid w:val="50ED0658"/>
    <w:rsid w:val="510F6820"/>
    <w:rsid w:val="51752B27"/>
    <w:rsid w:val="518965D2"/>
    <w:rsid w:val="51A46F68"/>
    <w:rsid w:val="51BC0756"/>
    <w:rsid w:val="51C657BD"/>
    <w:rsid w:val="520B3E30"/>
    <w:rsid w:val="52C33D66"/>
    <w:rsid w:val="53005A6E"/>
    <w:rsid w:val="5343196D"/>
    <w:rsid w:val="537E6D0A"/>
    <w:rsid w:val="539A6875"/>
    <w:rsid w:val="53F561A1"/>
    <w:rsid w:val="53F74C96"/>
    <w:rsid w:val="540B32CF"/>
    <w:rsid w:val="5422686A"/>
    <w:rsid w:val="54232D0E"/>
    <w:rsid w:val="54420CBA"/>
    <w:rsid w:val="55170BA8"/>
    <w:rsid w:val="553218C9"/>
    <w:rsid w:val="553F7A36"/>
    <w:rsid w:val="55853555"/>
    <w:rsid w:val="55E231D1"/>
    <w:rsid w:val="55F83D27"/>
    <w:rsid w:val="56064695"/>
    <w:rsid w:val="560C332E"/>
    <w:rsid w:val="56755377"/>
    <w:rsid w:val="567E1AA5"/>
    <w:rsid w:val="568709D5"/>
    <w:rsid w:val="568B06F7"/>
    <w:rsid w:val="56B37C4E"/>
    <w:rsid w:val="56B934B6"/>
    <w:rsid w:val="56E47B74"/>
    <w:rsid w:val="57175D52"/>
    <w:rsid w:val="578478DB"/>
    <w:rsid w:val="57BD3DD4"/>
    <w:rsid w:val="580F7C42"/>
    <w:rsid w:val="5814296E"/>
    <w:rsid w:val="5838665C"/>
    <w:rsid w:val="587873A1"/>
    <w:rsid w:val="58E80082"/>
    <w:rsid w:val="593727F5"/>
    <w:rsid w:val="59C26B25"/>
    <w:rsid w:val="5A3B0686"/>
    <w:rsid w:val="5A5C0D28"/>
    <w:rsid w:val="5A631753"/>
    <w:rsid w:val="5A8131A9"/>
    <w:rsid w:val="5AF92295"/>
    <w:rsid w:val="5B0373F5"/>
    <w:rsid w:val="5B1F58B2"/>
    <w:rsid w:val="5B250254"/>
    <w:rsid w:val="5B9718EC"/>
    <w:rsid w:val="5BA04C44"/>
    <w:rsid w:val="5BC07095"/>
    <w:rsid w:val="5BCD17B1"/>
    <w:rsid w:val="5BDD79E6"/>
    <w:rsid w:val="5BF561CA"/>
    <w:rsid w:val="5BFF5DFC"/>
    <w:rsid w:val="5C245875"/>
    <w:rsid w:val="5C7954AD"/>
    <w:rsid w:val="5CCE57E1"/>
    <w:rsid w:val="5CD71FC4"/>
    <w:rsid w:val="5D1F11B5"/>
    <w:rsid w:val="5D30024A"/>
    <w:rsid w:val="5D695134"/>
    <w:rsid w:val="5D79574D"/>
    <w:rsid w:val="5D870C6B"/>
    <w:rsid w:val="5D9A3915"/>
    <w:rsid w:val="5DAE1B18"/>
    <w:rsid w:val="5DE057B4"/>
    <w:rsid w:val="5DE7D9E5"/>
    <w:rsid w:val="5EB629D1"/>
    <w:rsid w:val="5ECEC941"/>
    <w:rsid w:val="5ED370DF"/>
    <w:rsid w:val="5EEA61D6"/>
    <w:rsid w:val="5F456532"/>
    <w:rsid w:val="5F516B5E"/>
    <w:rsid w:val="5F610B8F"/>
    <w:rsid w:val="5F622211"/>
    <w:rsid w:val="5FBF9FF3"/>
    <w:rsid w:val="5FCD4E2C"/>
    <w:rsid w:val="5FE505D1"/>
    <w:rsid w:val="5FEF394A"/>
    <w:rsid w:val="5FF612D7"/>
    <w:rsid w:val="5FF67715"/>
    <w:rsid w:val="5FF732A1"/>
    <w:rsid w:val="600B4656"/>
    <w:rsid w:val="603B4F3C"/>
    <w:rsid w:val="60567FC7"/>
    <w:rsid w:val="60A00329"/>
    <w:rsid w:val="60B30F76"/>
    <w:rsid w:val="60ED46AB"/>
    <w:rsid w:val="617B26BA"/>
    <w:rsid w:val="61A92379"/>
    <w:rsid w:val="61AA44A9"/>
    <w:rsid w:val="61B551C2"/>
    <w:rsid w:val="61E0223F"/>
    <w:rsid w:val="62A414BE"/>
    <w:rsid w:val="62AE40EB"/>
    <w:rsid w:val="62BF3928"/>
    <w:rsid w:val="62FF66F4"/>
    <w:rsid w:val="63B3701E"/>
    <w:rsid w:val="64185A1E"/>
    <w:rsid w:val="644079D0"/>
    <w:rsid w:val="64583BDF"/>
    <w:rsid w:val="64713622"/>
    <w:rsid w:val="647F5392"/>
    <w:rsid w:val="64A47AF7"/>
    <w:rsid w:val="64A55079"/>
    <w:rsid w:val="65085608"/>
    <w:rsid w:val="655D3BA6"/>
    <w:rsid w:val="659070FD"/>
    <w:rsid w:val="65A876FF"/>
    <w:rsid w:val="65C30F81"/>
    <w:rsid w:val="65DF280D"/>
    <w:rsid w:val="65E66580"/>
    <w:rsid w:val="65ED6CD8"/>
    <w:rsid w:val="65EE0CA2"/>
    <w:rsid w:val="65FF2543"/>
    <w:rsid w:val="6635067F"/>
    <w:rsid w:val="66401FD1"/>
    <w:rsid w:val="664B1D71"/>
    <w:rsid w:val="664B4E8E"/>
    <w:rsid w:val="667406A2"/>
    <w:rsid w:val="67277B67"/>
    <w:rsid w:val="67501087"/>
    <w:rsid w:val="67717495"/>
    <w:rsid w:val="67AA3209"/>
    <w:rsid w:val="67D85766"/>
    <w:rsid w:val="685748DD"/>
    <w:rsid w:val="68B636EE"/>
    <w:rsid w:val="68F27F54"/>
    <w:rsid w:val="68FE744E"/>
    <w:rsid w:val="69194288"/>
    <w:rsid w:val="692916EB"/>
    <w:rsid w:val="695D23C7"/>
    <w:rsid w:val="698D0931"/>
    <w:rsid w:val="698F62F8"/>
    <w:rsid w:val="69C266CE"/>
    <w:rsid w:val="6A7FE5F3"/>
    <w:rsid w:val="6A90057A"/>
    <w:rsid w:val="6A933BC6"/>
    <w:rsid w:val="6A9A31A7"/>
    <w:rsid w:val="6AAD4C88"/>
    <w:rsid w:val="6AEE7B2C"/>
    <w:rsid w:val="6B053271"/>
    <w:rsid w:val="6B5E41D4"/>
    <w:rsid w:val="6B6537B4"/>
    <w:rsid w:val="6B9E2823"/>
    <w:rsid w:val="6BDD78B3"/>
    <w:rsid w:val="6C027255"/>
    <w:rsid w:val="6C1F5711"/>
    <w:rsid w:val="6C4A05C8"/>
    <w:rsid w:val="6C643A6C"/>
    <w:rsid w:val="6C8742B8"/>
    <w:rsid w:val="6CE16E6B"/>
    <w:rsid w:val="6D401DE3"/>
    <w:rsid w:val="6D946D06"/>
    <w:rsid w:val="6DBF5E93"/>
    <w:rsid w:val="6DDB3069"/>
    <w:rsid w:val="6DEF3809"/>
    <w:rsid w:val="6DFF077E"/>
    <w:rsid w:val="6E470F4F"/>
    <w:rsid w:val="6E714EF0"/>
    <w:rsid w:val="6E7E3605"/>
    <w:rsid w:val="6E7FDCC7"/>
    <w:rsid w:val="6E934195"/>
    <w:rsid w:val="6ED0363B"/>
    <w:rsid w:val="6ED6A62E"/>
    <w:rsid w:val="6EE00B15"/>
    <w:rsid w:val="6EFF516F"/>
    <w:rsid w:val="6F6FB3EB"/>
    <w:rsid w:val="6F8731EA"/>
    <w:rsid w:val="6FA7614A"/>
    <w:rsid w:val="6FCE6052"/>
    <w:rsid w:val="6FD57C00"/>
    <w:rsid w:val="6FEFFFD8"/>
    <w:rsid w:val="6FF5CC65"/>
    <w:rsid w:val="6FFB0243"/>
    <w:rsid w:val="6FFB47EC"/>
    <w:rsid w:val="6FFF034A"/>
    <w:rsid w:val="70484440"/>
    <w:rsid w:val="70DC0075"/>
    <w:rsid w:val="712A28F1"/>
    <w:rsid w:val="71467BE4"/>
    <w:rsid w:val="715C0E4B"/>
    <w:rsid w:val="71834270"/>
    <w:rsid w:val="71992E7C"/>
    <w:rsid w:val="72233669"/>
    <w:rsid w:val="72734D90"/>
    <w:rsid w:val="72AB41A3"/>
    <w:rsid w:val="72BA6194"/>
    <w:rsid w:val="72CE1C3F"/>
    <w:rsid w:val="73160E6D"/>
    <w:rsid w:val="731D6723"/>
    <w:rsid w:val="7332FE48"/>
    <w:rsid w:val="736A6B44"/>
    <w:rsid w:val="73791574"/>
    <w:rsid w:val="73AB61DA"/>
    <w:rsid w:val="73AD73D5"/>
    <w:rsid w:val="73B6EB34"/>
    <w:rsid w:val="73FA497D"/>
    <w:rsid w:val="744731E5"/>
    <w:rsid w:val="744A79EB"/>
    <w:rsid w:val="74844CAB"/>
    <w:rsid w:val="74AB6EDE"/>
    <w:rsid w:val="74BBD01D"/>
    <w:rsid w:val="74ED5379"/>
    <w:rsid w:val="752E4C17"/>
    <w:rsid w:val="753F6E24"/>
    <w:rsid w:val="75604F8A"/>
    <w:rsid w:val="758B02BC"/>
    <w:rsid w:val="75DEEEC2"/>
    <w:rsid w:val="75E32345"/>
    <w:rsid w:val="75FE283B"/>
    <w:rsid w:val="76222141"/>
    <w:rsid w:val="76E3355F"/>
    <w:rsid w:val="76FD2AF3"/>
    <w:rsid w:val="76FF5125"/>
    <w:rsid w:val="77530965"/>
    <w:rsid w:val="776F6FFA"/>
    <w:rsid w:val="778769C8"/>
    <w:rsid w:val="779F1813"/>
    <w:rsid w:val="77A75DCA"/>
    <w:rsid w:val="77DC22F5"/>
    <w:rsid w:val="77ED43AE"/>
    <w:rsid w:val="78216CB5"/>
    <w:rsid w:val="783E271A"/>
    <w:rsid w:val="783F0EE9"/>
    <w:rsid w:val="78412EB3"/>
    <w:rsid w:val="784472F0"/>
    <w:rsid w:val="78616DE9"/>
    <w:rsid w:val="78E20CD2"/>
    <w:rsid w:val="78E875D7"/>
    <w:rsid w:val="79086DAD"/>
    <w:rsid w:val="79254583"/>
    <w:rsid w:val="792918C8"/>
    <w:rsid w:val="796230E1"/>
    <w:rsid w:val="79627585"/>
    <w:rsid w:val="79D044EF"/>
    <w:rsid w:val="79D7FD79"/>
    <w:rsid w:val="79EE5BA4"/>
    <w:rsid w:val="7A48677B"/>
    <w:rsid w:val="7A805F15"/>
    <w:rsid w:val="7A894339"/>
    <w:rsid w:val="7A9E45ED"/>
    <w:rsid w:val="7AD284E8"/>
    <w:rsid w:val="7AFF7572"/>
    <w:rsid w:val="7B0B76CA"/>
    <w:rsid w:val="7B3311D9"/>
    <w:rsid w:val="7B4038F6"/>
    <w:rsid w:val="7B5D1DB2"/>
    <w:rsid w:val="7B6C7DFB"/>
    <w:rsid w:val="7B7A0BB6"/>
    <w:rsid w:val="7B7D4202"/>
    <w:rsid w:val="7B8C08E9"/>
    <w:rsid w:val="7BBA5457"/>
    <w:rsid w:val="7BBFBED0"/>
    <w:rsid w:val="7BC3E394"/>
    <w:rsid w:val="7C1F3737"/>
    <w:rsid w:val="7CBB563C"/>
    <w:rsid w:val="7CBFC87B"/>
    <w:rsid w:val="7CFE0F48"/>
    <w:rsid w:val="7D042727"/>
    <w:rsid w:val="7D272ABC"/>
    <w:rsid w:val="7D38498B"/>
    <w:rsid w:val="7D730491"/>
    <w:rsid w:val="7D7EC23E"/>
    <w:rsid w:val="7DAE2D99"/>
    <w:rsid w:val="7DC75C09"/>
    <w:rsid w:val="7E5D031B"/>
    <w:rsid w:val="7E891559"/>
    <w:rsid w:val="7E8ADEBF"/>
    <w:rsid w:val="7EEF11D3"/>
    <w:rsid w:val="7EFE4840"/>
    <w:rsid w:val="7F0971A6"/>
    <w:rsid w:val="7F1D62E7"/>
    <w:rsid w:val="7F3F679B"/>
    <w:rsid w:val="7F402117"/>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10428</Words>
  <Characters>11147</Characters>
  <Lines>61</Lines>
  <Paragraphs>17</Paragraphs>
  <TotalTime>56</TotalTime>
  <ScaleCrop>false</ScaleCrop>
  <LinksUpToDate>false</LinksUpToDate>
  <CharactersWithSpaces>11211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QX-ZFB-0032</cp:lastModifiedBy>
  <cp:lastPrinted>2025-08-07T01:34:00Z</cp:lastPrinted>
  <dcterms:modified xsi:type="dcterms:W3CDTF">2026-01-14T14:27:55Z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48C225D350D480D86B37676920EA4A33_43</vt:lpwstr>
  </property>
  <property fmtid="{D5CDD505-2E9C-101B-9397-08002B2CF9AE}" pid="4" name="KSOTemplateDocerSaveRecord">
    <vt:lpwstr>eyJoZGlkIjoiYzRhZTZlN2M0NGU3NmUyYTMyYThlOWNjODAxMTc4NjgiLCJ1c2VySWQiOiIxNzEzMjE3MzA5In0=</vt:lpwstr>
  </property>
</Properties>
</file>