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附件2</w:t>
      </w:r>
    </w:p>
    <w:p>
      <w:pPr>
        <w:jc w:val="center"/>
        <w:rPr>
          <w:rFonts w:hint="eastAsia" w:eastAsiaTheme="minor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中央</w:t>
      </w:r>
      <w:r>
        <w:rPr>
          <w:rFonts w:hint="eastAsia" w:eastAsiaTheme="minorEastAsia"/>
          <w:sz w:val="22"/>
          <w:szCs w:val="28"/>
          <w:lang w:eastAsia="zh-CN"/>
        </w:rPr>
        <w:t>转移支付区域（项目）绩效目标自评表</w:t>
      </w:r>
    </w:p>
    <w:p>
      <w:pPr>
        <w:jc w:val="center"/>
        <w:rPr>
          <w:rFonts w:hint="eastAsia" w:eastAsiaTheme="minorEastAsia"/>
          <w:sz w:val="22"/>
          <w:szCs w:val="28"/>
          <w:lang w:eastAsia="zh-CN"/>
        </w:rPr>
      </w:pPr>
      <w:r>
        <w:rPr>
          <w:rFonts w:hint="eastAsia" w:eastAsiaTheme="minorEastAsia"/>
          <w:sz w:val="22"/>
          <w:szCs w:val="28"/>
          <w:lang w:eastAsia="zh-CN"/>
        </w:rPr>
        <w:t>（2021年度）</w:t>
      </w:r>
    </w:p>
    <w:tbl>
      <w:tblPr>
        <w:tblStyle w:val="3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61"/>
        <w:gridCol w:w="908"/>
        <w:gridCol w:w="365"/>
        <w:gridCol w:w="1636"/>
        <w:gridCol w:w="1461"/>
        <w:gridCol w:w="989"/>
        <w:gridCol w:w="776"/>
        <w:gridCol w:w="38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17"/>
                <w:sz w:val="20"/>
                <w:szCs w:val="22"/>
                <w:vertAlign w:val="baseline"/>
                <w:lang w:eastAsia="zh-CN"/>
              </w:rPr>
              <w:t>转移支付（项目）名称</w:t>
            </w:r>
          </w:p>
        </w:tc>
        <w:tc>
          <w:tcPr>
            <w:tcW w:w="75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国家非物质文化遗产保护专项资金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eastAsia="zh-CN"/>
              </w:rPr>
              <w:t>中央主管部门</w:t>
            </w:r>
          </w:p>
        </w:tc>
        <w:tc>
          <w:tcPr>
            <w:tcW w:w="75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文化厅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eastAsia="zh-CN"/>
              </w:rPr>
              <w:t>地方主管部门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渠县文化体育和旅游局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资金使用单位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渠县文化馆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3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eastAsia="zh-CN"/>
              </w:rPr>
              <w:t>资金使用单位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全年预算数（A）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全年执行数（B）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预算执行率（B/A）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3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年度资金总额：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 xml:space="preserve">       2万元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04" w:firstLineChars="400"/>
              <w:jc w:val="both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2万元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其中：中央财政资金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 xml:space="preserve">    2万元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 xml:space="preserve">          2万元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3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地方资金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3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其他资金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6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6"/>
                <w:sz w:val="21"/>
                <w:vertAlign w:val="baseline"/>
                <w:lang w:val="en-US" w:eastAsia="zh-CN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6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6"/>
                <w:sz w:val="21"/>
                <w:vertAlign w:val="baseline"/>
                <w:lang w:val="en-US" w:eastAsia="zh-CN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6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6"/>
                <w:sz w:val="21"/>
                <w:vertAlign w:val="baseli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6"/>
                <w:sz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0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总体目标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全年实际完成情况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50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师带徒传承及培训学习交流活动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已开展带徒和培训学习活动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val="en-US"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指标值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全年实际完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成量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1"/>
                <w:vertAlign w:val="baseline"/>
                <w:lang w:val="en-US" w:eastAsia="zh-CN"/>
              </w:rPr>
              <w:t>未完成原因和改进措施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全年开展传承活动天数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280天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280天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确保传承对象掌握项目核心技艺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完全掌握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已掌握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时效指标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  <w:t>工作完成效率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及时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Theme="minorEastAsia"/>
                <w:b/>
                <w:bCs/>
                <w:spacing w:val="-17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及时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vertAlign w:val="baseline"/>
                <w:lang w:val="en-US" w:eastAsia="zh-CN"/>
              </w:rPr>
              <w:t>成本指标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项目成本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pacing w:val="-17"/>
                <w:vertAlign w:val="baseline"/>
                <w:lang w:val="en-US" w:eastAsia="zh-CN"/>
              </w:rPr>
              <w:t>万元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pacing w:val="-17"/>
                <w:vertAlign w:val="baseline"/>
                <w:lang w:val="en-US" w:eastAsia="zh-CN"/>
              </w:rPr>
              <w:t>万元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促进企业发展增收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良好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良好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vertAlign w:val="baseline"/>
                <w:lang w:eastAsia="zh-CN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eastAsia="zh-CN"/>
              </w:rPr>
              <w:t>开发文创产品系列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20种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20种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保护和传承非遗文化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良好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良好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cstheme="minorBidi"/>
                <w:spacing w:val="-17"/>
                <w:kern w:val="2"/>
                <w:sz w:val="18"/>
                <w:szCs w:val="18"/>
                <w:vertAlign w:val="baseline"/>
                <w:lang w:val="en-US" w:eastAsia="zh-CN" w:bidi="ar-SA"/>
              </w:rPr>
              <w:t>符合生态环境规定要求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良好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spacing w:val="-17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良好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21"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可持续影响指标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  <w:t>项目持续发挥作用的期限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长期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-17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18"/>
                <w:szCs w:val="18"/>
                <w:vertAlign w:val="baseline"/>
                <w:lang w:val="en-US" w:eastAsia="zh-CN"/>
              </w:rPr>
              <w:t>长期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b w:val="0"/>
                <w:bCs w:val="0"/>
                <w:spacing w:val="-17"/>
                <w:vertAlign w:val="baseline"/>
                <w:lang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pacing w:val="-17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pacing w:val="-17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人民群众满意度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pacing w:val="-17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b w:val="0"/>
                <w:bCs w:val="0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0"/>
                <w:vertAlign w:val="baseline"/>
                <w:lang w:val="en-US" w:eastAsia="zh-CN"/>
              </w:rPr>
              <w:t>说明</w:t>
            </w:r>
          </w:p>
        </w:tc>
        <w:tc>
          <w:tcPr>
            <w:tcW w:w="91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Theme="minorEastAsia"/>
                <w:spacing w:val="0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1"/>
                <w:sz w:val="21"/>
                <w:vertAlign w:val="baseline"/>
                <w:lang w:val="en-US" w:eastAsia="zh-CN"/>
              </w:rPr>
              <w:t>请在此处简要说明中央巡视、各级审计和财政监督中发生的问题及其所涉及的金额，如没有请填</w:t>
            </w:r>
            <w:r>
              <w:rPr>
                <w:rFonts w:hint="eastAsia"/>
                <w:spacing w:val="0"/>
                <w:vertAlign w:val="baseline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注：1、资金使用单位按项目绩效目标填报，主管部门汇总时按区域绩效目标填报。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2、其他资金包括与中央财政资金、地方财政资金共同投入到同一项目的自有资金、社会资金，以及以前年度的结转结余资金等。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3、全年执行数是指按照国库集中支付制度要求所形成的实际支出。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4、定量指标。地方各级主管部门对资金使用单位填写的实际完成值汇总时，绝对值直接累加计算，相对值按照资金额度加权平均计算。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5、定性指标。资金使用单位分别按照80％（含）—100％、60％（含）—80％、0％—60％合理填写实际完成值，地方各级主管部门汇总时，按照资金额度加权平均计算完成值。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21110"/>
    <w:rsid w:val="0461266D"/>
    <w:rsid w:val="071C2347"/>
    <w:rsid w:val="08F36CD4"/>
    <w:rsid w:val="0CCC6D98"/>
    <w:rsid w:val="14261182"/>
    <w:rsid w:val="160E7EAB"/>
    <w:rsid w:val="25E53FF8"/>
    <w:rsid w:val="28EE22A9"/>
    <w:rsid w:val="2A9E376B"/>
    <w:rsid w:val="2DA77042"/>
    <w:rsid w:val="3AAE399F"/>
    <w:rsid w:val="43B07688"/>
    <w:rsid w:val="43C81123"/>
    <w:rsid w:val="46005C17"/>
    <w:rsid w:val="48264720"/>
    <w:rsid w:val="4C8F72B8"/>
    <w:rsid w:val="53A24D78"/>
    <w:rsid w:val="55511919"/>
    <w:rsid w:val="6073300A"/>
    <w:rsid w:val="62F64017"/>
    <w:rsid w:val="6C2A1463"/>
    <w:rsid w:val="72B226DE"/>
    <w:rsid w:val="79B95BA8"/>
    <w:rsid w:val="7B6C3F5F"/>
    <w:rsid w:val="7CD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</Words>
  <Characters>767</Characters>
  <Lines>0</Lines>
  <Paragraphs>0</Paragraphs>
  <TotalTime>10</TotalTime>
  <ScaleCrop>false</ScaleCrop>
  <LinksUpToDate>false</LinksUpToDate>
  <CharactersWithSpaces>788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2022-03-18T01:39:00Z</dcterms:created>
  <dc:creator>Administrator</dc:creator>
  <cp:lastModifiedBy>Andy 진도</cp:lastModifiedBy>
  <cp:lastPrinted>2022-08-17T07:20:00Z</cp:lastPrinted>
  <dcterms:modified xsi:type="dcterms:W3CDTF">2022-08-17T08:20:41Z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CCAE4F6417A74810AA93ADCCE1176B97</vt:lpwstr>
  </property>
</Properties>
</file>