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A7" w:rsidRDefault="006231A7" w:rsidP="006231A7">
      <w:pPr>
        <w:pStyle w:val="a3"/>
        <w:spacing w:before="64"/>
        <w:rPr>
          <w:rFonts w:ascii="Times New Roman" w:eastAsia="黑体"/>
        </w:rPr>
      </w:pPr>
      <w:r>
        <w:rPr>
          <w:rFonts w:ascii="黑体" w:eastAsia="黑体" w:hint="eastAsia"/>
          <w:spacing w:val="-27"/>
        </w:rPr>
        <w:t>附表</w:t>
      </w:r>
    </w:p>
    <w:p w:rsidR="006231A7" w:rsidRDefault="006231A7" w:rsidP="006231A7">
      <w:pPr>
        <w:pStyle w:val="1"/>
        <w:ind w:left="1082"/>
        <w:rPr>
          <w:rFonts w:ascii="黑体" w:eastAsia="黑体"/>
        </w:rPr>
      </w:pPr>
    </w:p>
    <w:p w:rsidR="006231A7" w:rsidRDefault="006231A7" w:rsidP="006231A7">
      <w:pPr>
        <w:pStyle w:val="1"/>
        <w:ind w:left="1082"/>
        <w:rPr>
          <w:rFonts w:ascii="黑体" w:eastAsia="黑体" w:hint="eastAsia"/>
        </w:rPr>
      </w:pPr>
    </w:p>
    <w:p w:rsidR="006231A7" w:rsidRDefault="006231A7" w:rsidP="006231A7">
      <w:pPr>
        <w:pStyle w:val="1"/>
        <w:ind w:left="1082"/>
        <w:rPr>
          <w:rFonts w:ascii="黑体" w:eastAsia="黑体"/>
        </w:rPr>
      </w:pPr>
      <w:bookmarkStart w:id="0" w:name="_GoBack"/>
      <w:r>
        <w:rPr>
          <w:rFonts w:ascii="黑体" w:eastAsia="黑体" w:hint="eastAsia"/>
        </w:rPr>
        <w:t>部门预算绩效自评打分表</w:t>
      </w:r>
    </w:p>
    <w:bookmarkEnd w:id="0"/>
    <w:p w:rsidR="006231A7" w:rsidRDefault="006231A7" w:rsidP="006231A7">
      <w:pPr>
        <w:rPr>
          <w:rFonts w:ascii="黑体" w:eastAsia="黑体"/>
        </w:rPr>
        <w:sectPr w:rsidR="006231A7" w:rsidSect="006231A7">
          <w:pgSz w:w="11910" w:h="16840"/>
          <w:pgMar w:top="1580" w:right="360" w:bottom="280" w:left="480" w:header="720" w:footer="720" w:gutter="0"/>
          <w:cols w:num="2" w:space="720" w:equalWidth="0">
            <w:col w:w="1986" w:space="40"/>
            <w:col w:w="9044"/>
          </w:cols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245"/>
        <w:gridCol w:w="1665"/>
        <w:gridCol w:w="775"/>
        <w:gridCol w:w="4890"/>
        <w:gridCol w:w="673"/>
        <w:gridCol w:w="478"/>
      </w:tblGrid>
      <w:tr w:rsidR="006231A7" w:rsidTr="00FE3A97">
        <w:trPr>
          <w:trHeight w:val="435"/>
        </w:trPr>
        <w:tc>
          <w:tcPr>
            <w:tcW w:w="4778" w:type="dxa"/>
            <w:gridSpan w:val="4"/>
          </w:tcPr>
          <w:p w:rsidR="006231A7" w:rsidRDefault="006231A7" w:rsidP="00FE3A97">
            <w:pPr>
              <w:pStyle w:val="TableParagraph"/>
              <w:spacing w:before="120"/>
              <w:ind w:left="1617" w:right="1610"/>
              <w:jc w:val="center"/>
              <w:rPr>
                <w:sz w:val="15"/>
              </w:rPr>
            </w:pPr>
            <w:r>
              <w:rPr>
                <w:sz w:val="15"/>
              </w:rPr>
              <w:t>绩效评价</w:t>
            </w:r>
            <w:proofErr w:type="gramStart"/>
            <w:r>
              <w:rPr>
                <w:sz w:val="15"/>
              </w:rPr>
              <w:t>指标指标</w:t>
            </w:r>
            <w:proofErr w:type="gramEnd"/>
            <w:r>
              <w:rPr>
                <w:sz w:val="15"/>
              </w:rPr>
              <w:t>分值</w:t>
            </w:r>
          </w:p>
        </w:tc>
        <w:tc>
          <w:tcPr>
            <w:tcW w:w="4890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6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ind w:left="2124" w:right="2115"/>
              <w:jc w:val="center"/>
              <w:rPr>
                <w:sz w:val="15"/>
              </w:rPr>
            </w:pPr>
            <w:r>
              <w:rPr>
                <w:sz w:val="15"/>
              </w:rPr>
              <w:t>指标解释</w:t>
            </w:r>
          </w:p>
        </w:tc>
        <w:tc>
          <w:tcPr>
            <w:tcW w:w="673" w:type="dxa"/>
            <w:vMerge w:val="restart"/>
          </w:tcPr>
          <w:p w:rsidR="006231A7" w:rsidRDefault="006231A7" w:rsidP="00FE3A97">
            <w:pPr>
              <w:pStyle w:val="TableParagraph"/>
              <w:spacing w:before="1"/>
              <w:rPr>
                <w:rFonts w:ascii="黑体"/>
                <w:sz w:val="19"/>
              </w:rPr>
            </w:pPr>
          </w:p>
          <w:p w:rsidR="006231A7" w:rsidRDefault="006231A7" w:rsidP="00FE3A97">
            <w:pPr>
              <w:pStyle w:val="TableParagraph"/>
              <w:spacing w:line="300" w:lineRule="auto"/>
              <w:ind w:left="260" w:right="100" w:hanging="149"/>
              <w:rPr>
                <w:sz w:val="15"/>
              </w:rPr>
            </w:pPr>
            <w:r>
              <w:rPr>
                <w:sz w:val="15"/>
              </w:rPr>
              <w:t>自评得分</w:t>
            </w:r>
          </w:p>
        </w:tc>
        <w:tc>
          <w:tcPr>
            <w:tcW w:w="478" w:type="dxa"/>
            <w:vMerge w:val="restart"/>
          </w:tcPr>
          <w:p w:rsidR="006231A7" w:rsidRDefault="006231A7" w:rsidP="00FE3A97">
            <w:pPr>
              <w:pStyle w:val="TableParagraph"/>
              <w:spacing w:before="1"/>
              <w:rPr>
                <w:rFonts w:ascii="黑体"/>
                <w:sz w:val="19"/>
              </w:rPr>
            </w:pPr>
          </w:p>
          <w:p w:rsidR="006231A7" w:rsidRDefault="006231A7" w:rsidP="00FE3A97">
            <w:pPr>
              <w:pStyle w:val="TableParagraph"/>
              <w:spacing w:line="300" w:lineRule="auto"/>
              <w:ind w:left="163" w:right="153"/>
              <w:rPr>
                <w:sz w:val="15"/>
              </w:rPr>
            </w:pPr>
            <w:r>
              <w:rPr>
                <w:sz w:val="15"/>
              </w:rPr>
              <w:t>备注</w:t>
            </w:r>
          </w:p>
        </w:tc>
      </w:tr>
      <w:tr w:rsidR="006231A7" w:rsidTr="00FE3A97">
        <w:trPr>
          <w:trHeight w:val="480"/>
        </w:trPr>
        <w:tc>
          <w:tcPr>
            <w:tcW w:w="1093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244"/>
              <w:rPr>
                <w:sz w:val="15"/>
              </w:rPr>
            </w:pPr>
            <w:r>
              <w:rPr>
                <w:sz w:val="15"/>
              </w:rPr>
              <w:t>一级指标</w:t>
            </w:r>
          </w:p>
        </w:tc>
        <w:tc>
          <w:tcPr>
            <w:tcW w:w="124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322"/>
              <w:rPr>
                <w:sz w:val="15"/>
              </w:rPr>
            </w:pPr>
            <w:r>
              <w:rPr>
                <w:sz w:val="15"/>
              </w:rPr>
              <w:t>二级指标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三级指标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23"/>
              <w:ind w:left="23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指标</w:t>
            </w:r>
          </w:p>
          <w:p w:rsidR="006231A7" w:rsidRDefault="006231A7" w:rsidP="00FE3A97">
            <w:pPr>
              <w:pStyle w:val="TableParagraph"/>
              <w:spacing w:before="48"/>
              <w:ind w:left="23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分值</w:t>
            </w:r>
          </w:p>
        </w:tc>
        <w:tc>
          <w:tcPr>
            <w:tcW w:w="4890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12"/>
              <w:rPr>
                <w:rFonts w:ascii="黑体"/>
                <w:sz w:val="16"/>
              </w:rPr>
            </w:pPr>
          </w:p>
          <w:p w:rsidR="006231A7" w:rsidRDefault="006231A7" w:rsidP="00FE3A97">
            <w:pPr>
              <w:pStyle w:val="TableParagraph"/>
              <w:ind w:left="24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总体绩效</w:t>
            </w:r>
          </w:p>
          <w:p w:rsidR="006231A7" w:rsidRDefault="006231A7" w:rsidP="00FE3A97">
            <w:pPr>
              <w:pStyle w:val="TableParagraph"/>
              <w:spacing w:before="48"/>
              <w:ind w:left="225"/>
              <w:rPr>
                <w:b/>
                <w:sz w:val="15"/>
              </w:rPr>
            </w:pPr>
            <w:r>
              <w:rPr>
                <w:b/>
                <w:sz w:val="15"/>
              </w:rPr>
              <w:t>（65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5"/>
              </w:rPr>
            </w:pPr>
          </w:p>
          <w:p w:rsidR="006231A7" w:rsidRDefault="006231A7" w:rsidP="00FE3A97">
            <w:pPr>
              <w:pStyle w:val="TableParagraph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履职效能</w:t>
            </w:r>
          </w:p>
          <w:p w:rsidR="006231A7" w:rsidRDefault="006231A7" w:rsidP="00FE3A97">
            <w:pPr>
              <w:pStyle w:val="TableParagraph"/>
              <w:spacing w:before="122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（15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预算编审履职效果</w:t>
            </w:r>
          </w:p>
        </w:tc>
        <w:tc>
          <w:tcPr>
            <w:tcW w:w="77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3"/>
              </w:rPr>
            </w:pPr>
          </w:p>
          <w:p w:rsidR="006231A7" w:rsidRDefault="006231A7" w:rsidP="00FE3A97">
            <w:pPr>
              <w:pStyle w:val="TableParagraph"/>
              <w:ind w:left="291" w:right="28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3"/>
              <w:ind w:left="108"/>
              <w:rPr>
                <w:sz w:val="15"/>
              </w:rPr>
            </w:pPr>
            <w:r>
              <w:rPr>
                <w:sz w:val="15"/>
              </w:rPr>
              <w:t>部门整体绩效目标中选定预算编审核心职能目标，反映该项职能目标完</w:t>
            </w:r>
          </w:p>
          <w:p w:rsidR="006231A7" w:rsidRDefault="006231A7" w:rsidP="00FE3A97">
            <w:pPr>
              <w:pStyle w:val="TableParagraph"/>
              <w:spacing w:before="48"/>
              <w:ind w:left="108"/>
              <w:rPr>
                <w:sz w:val="15"/>
              </w:rPr>
            </w:pPr>
            <w:r>
              <w:rPr>
                <w:sz w:val="15"/>
              </w:rPr>
              <w:t>成效果情况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1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预算执行履职效果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5"/>
              <w:ind w:left="108"/>
              <w:rPr>
                <w:sz w:val="15"/>
              </w:rPr>
            </w:pPr>
            <w:r>
              <w:rPr>
                <w:sz w:val="15"/>
              </w:rPr>
              <w:t>部门整体绩效目标中选定预算执行核心职能目标，反映该项职能目标完</w:t>
            </w:r>
          </w:p>
          <w:p w:rsidR="006231A7" w:rsidRDefault="006231A7" w:rsidP="00FE3A97">
            <w:pPr>
              <w:pStyle w:val="TableParagraph"/>
              <w:spacing w:before="48"/>
              <w:ind w:left="108"/>
              <w:rPr>
                <w:sz w:val="15"/>
              </w:rPr>
            </w:pPr>
            <w:r>
              <w:rPr>
                <w:sz w:val="15"/>
              </w:rPr>
              <w:t>成效果情况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4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63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60"/>
              <w:ind w:left="137" w:right="128"/>
              <w:jc w:val="center"/>
              <w:rPr>
                <w:sz w:val="15"/>
              </w:rPr>
            </w:pPr>
            <w:r>
              <w:rPr>
                <w:sz w:val="15"/>
              </w:rPr>
              <w:t>预决算信息公开履职</w:t>
            </w:r>
          </w:p>
          <w:p w:rsidR="006231A7" w:rsidRDefault="006231A7" w:rsidP="00FE3A97">
            <w:pPr>
              <w:pStyle w:val="TableParagraph"/>
              <w:spacing w:before="123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效果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99" w:line="300" w:lineRule="auto"/>
              <w:ind w:left="108" w:right="120"/>
              <w:rPr>
                <w:sz w:val="15"/>
              </w:rPr>
            </w:pPr>
            <w:r>
              <w:rPr>
                <w:w w:val="95"/>
                <w:sz w:val="15"/>
              </w:rPr>
              <w:t xml:space="preserve">部门整体绩效目标中选定预决算信息公开核心职能目标，反映该项职能  </w:t>
            </w:r>
            <w:r>
              <w:rPr>
                <w:sz w:val="15"/>
              </w:rPr>
              <w:t>目标完成效果情况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1"/>
              <w:rPr>
                <w:rFonts w:ascii="黑体"/>
                <w:sz w:val="17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11"/>
              <w:rPr>
                <w:rFonts w:ascii="黑体"/>
                <w:sz w:val="20"/>
              </w:rPr>
            </w:pPr>
          </w:p>
          <w:p w:rsidR="006231A7" w:rsidRDefault="006231A7" w:rsidP="00FE3A97">
            <w:pPr>
              <w:pStyle w:val="TableParagraph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预算管理</w:t>
            </w:r>
          </w:p>
          <w:p w:rsidR="006231A7" w:rsidRDefault="006231A7" w:rsidP="00FE3A97">
            <w:pPr>
              <w:pStyle w:val="TableParagraph"/>
              <w:spacing w:before="48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（25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预算编制质量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3"/>
              <w:ind w:left="108"/>
              <w:rPr>
                <w:sz w:val="15"/>
              </w:rPr>
            </w:pPr>
            <w:r>
              <w:rPr>
                <w:sz w:val="15"/>
              </w:rPr>
              <w:t>部门是否严格按要求编制年初部门预算，年初预算编制的科学性和准确</w:t>
            </w:r>
          </w:p>
          <w:p w:rsidR="006231A7" w:rsidRDefault="006231A7" w:rsidP="00FE3A97">
            <w:pPr>
              <w:pStyle w:val="TableParagraph"/>
              <w:spacing w:before="48"/>
              <w:ind w:left="108"/>
              <w:rPr>
                <w:sz w:val="15"/>
              </w:rPr>
            </w:pPr>
            <w:r>
              <w:rPr>
                <w:w w:val="99"/>
                <w:sz w:val="15"/>
              </w:rPr>
              <w:t>性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9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49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单位收入统筹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49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49"/>
              <w:ind w:left="108"/>
              <w:rPr>
                <w:sz w:val="15"/>
              </w:rPr>
            </w:pPr>
            <w:r>
              <w:rPr>
                <w:sz w:val="15"/>
              </w:rPr>
              <w:t>部门统筹自有收入程度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49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5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80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支出执行进度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80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80"/>
              <w:ind w:left="108"/>
              <w:rPr>
                <w:sz w:val="15"/>
              </w:rPr>
            </w:pPr>
            <w:r>
              <w:rPr>
                <w:sz w:val="15"/>
              </w:rPr>
              <w:t xml:space="preserve">部门 1 至 6 月、1 至 10 </w:t>
            </w:r>
            <w:proofErr w:type="gramStart"/>
            <w:r>
              <w:rPr>
                <w:sz w:val="15"/>
              </w:rPr>
              <w:t>月预算</w:t>
            </w:r>
            <w:proofErr w:type="gramEnd"/>
            <w:r>
              <w:rPr>
                <w:sz w:val="15"/>
              </w:rPr>
              <w:t>执行情况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80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4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73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预算年终结余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73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73"/>
              <w:ind w:left="108"/>
              <w:rPr>
                <w:sz w:val="15"/>
              </w:rPr>
            </w:pPr>
            <w:r>
              <w:rPr>
                <w:sz w:val="15"/>
              </w:rPr>
              <w:t>部门整体年终预算结余情况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73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54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10"/>
              <w:rPr>
                <w:rFonts w:ascii="黑体"/>
                <w:sz w:val="13"/>
              </w:rPr>
            </w:pPr>
          </w:p>
          <w:p w:rsidR="006231A7" w:rsidRDefault="006231A7" w:rsidP="00FE3A97">
            <w:pPr>
              <w:pStyle w:val="TableParagraph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严控一般性支出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10"/>
              <w:rPr>
                <w:rFonts w:ascii="黑体"/>
                <w:sz w:val="13"/>
              </w:rPr>
            </w:pPr>
          </w:p>
          <w:p w:rsidR="006231A7" w:rsidRDefault="006231A7" w:rsidP="00FE3A97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8" w:line="240" w:lineRule="atLeast"/>
              <w:ind w:left="108" w:right="22"/>
              <w:rPr>
                <w:sz w:val="15"/>
              </w:rPr>
            </w:pPr>
            <w:r>
              <w:rPr>
                <w:spacing w:val="-6"/>
                <w:w w:val="95"/>
                <w:sz w:val="15"/>
              </w:rPr>
              <w:t xml:space="preserve">部门严控“三公”经费、会议、培训、差旅、办节办展、办公设备购置、  </w:t>
            </w:r>
            <w:r>
              <w:rPr>
                <w:spacing w:val="-8"/>
                <w:sz w:val="15"/>
              </w:rPr>
              <w:t xml:space="preserve">信息网络及软件购置更新、课题经费等 </w:t>
            </w:r>
            <w:r>
              <w:rPr>
                <w:sz w:val="15"/>
              </w:rPr>
              <w:t>8</w:t>
            </w:r>
            <w:r>
              <w:rPr>
                <w:spacing w:val="-6"/>
                <w:sz w:val="15"/>
              </w:rPr>
              <w:t xml:space="preserve"> 项一般性支出情况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10"/>
              <w:rPr>
                <w:rFonts w:ascii="黑体"/>
                <w:sz w:val="13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9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spacing w:before="9"/>
              <w:rPr>
                <w:rFonts w:ascii="黑体"/>
                <w:sz w:val="16"/>
              </w:rPr>
            </w:pPr>
          </w:p>
          <w:p w:rsidR="006231A7" w:rsidRDefault="006231A7" w:rsidP="00FE3A97">
            <w:pPr>
              <w:pStyle w:val="TableParagraph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财务管理</w:t>
            </w:r>
          </w:p>
          <w:p w:rsidR="006231A7" w:rsidRDefault="006231A7" w:rsidP="00FE3A97">
            <w:pPr>
              <w:pStyle w:val="TableParagraph"/>
              <w:spacing w:before="48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（10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51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财务管理制度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51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51"/>
              <w:ind w:left="108"/>
              <w:rPr>
                <w:sz w:val="15"/>
              </w:rPr>
            </w:pPr>
            <w:r>
              <w:rPr>
                <w:sz w:val="15"/>
              </w:rPr>
              <w:t>部门财务管理制度建立情况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51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4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24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财务岗位设置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24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4"/>
              <w:ind w:left="108"/>
              <w:rPr>
                <w:sz w:val="15"/>
              </w:rPr>
            </w:pPr>
            <w:r>
              <w:rPr>
                <w:sz w:val="15"/>
              </w:rPr>
              <w:t>部门财务岗位设置是否符合相关财务管理制度要求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24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0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55"/>
              <w:ind w:left="132" w:right="128"/>
              <w:jc w:val="center"/>
              <w:rPr>
                <w:sz w:val="15"/>
              </w:rPr>
            </w:pPr>
            <w:r>
              <w:rPr>
                <w:sz w:val="15"/>
              </w:rPr>
              <w:t>资金使用规范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55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55"/>
              <w:ind w:left="108"/>
              <w:rPr>
                <w:sz w:val="15"/>
              </w:rPr>
            </w:pPr>
            <w:r>
              <w:rPr>
                <w:sz w:val="15"/>
              </w:rPr>
              <w:t>部门资金使用是否符合相关财务管理制度规定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55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4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spacing w:before="95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资产管理</w:t>
            </w:r>
          </w:p>
          <w:p w:rsidR="006231A7" w:rsidRDefault="006231A7" w:rsidP="00FE3A97">
            <w:pPr>
              <w:pStyle w:val="TableParagraph"/>
              <w:spacing w:before="48"/>
              <w:ind w:left="339"/>
              <w:rPr>
                <w:b/>
                <w:sz w:val="15"/>
              </w:rPr>
            </w:pPr>
            <w:r>
              <w:rPr>
                <w:b/>
                <w:sz w:val="15"/>
              </w:rPr>
              <w:t>（9</w:t>
            </w:r>
            <w:r>
              <w:rPr>
                <w:b/>
                <w:spacing w:val="-20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74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人均资产变化率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74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74"/>
              <w:ind w:left="108"/>
              <w:rPr>
                <w:sz w:val="15"/>
              </w:rPr>
            </w:pPr>
            <w:r>
              <w:rPr>
                <w:sz w:val="15"/>
              </w:rPr>
              <w:t>部门人均资产变化情况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74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7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40"/>
              <w:ind w:left="137" w:right="128"/>
              <w:jc w:val="center"/>
              <w:rPr>
                <w:sz w:val="15"/>
              </w:rPr>
            </w:pPr>
            <w:r>
              <w:rPr>
                <w:sz w:val="15"/>
              </w:rPr>
              <w:t>资产利用率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40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40"/>
              <w:ind w:left="108"/>
              <w:rPr>
                <w:sz w:val="15"/>
              </w:rPr>
            </w:pPr>
            <w:r>
              <w:rPr>
                <w:sz w:val="15"/>
              </w:rPr>
              <w:t>部门资产超最低使用年限情况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40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6"/>
              </w:rPr>
            </w:pPr>
          </w:p>
          <w:p w:rsidR="006231A7" w:rsidRDefault="006231A7" w:rsidP="00FE3A97">
            <w:pPr>
              <w:pStyle w:val="TableParagraph"/>
              <w:ind w:left="24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总体绩效</w:t>
            </w:r>
          </w:p>
          <w:p w:rsidR="006231A7" w:rsidRDefault="006231A7" w:rsidP="00FE3A97">
            <w:pPr>
              <w:pStyle w:val="TableParagraph"/>
              <w:spacing w:before="48"/>
              <w:ind w:left="225"/>
              <w:rPr>
                <w:b/>
                <w:sz w:val="15"/>
              </w:rPr>
            </w:pPr>
            <w:r>
              <w:rPr>
                <w:b/>
                <w:sz w:val="15"/>
              </w:rPr>
              <w:t>（65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245" w:type="dxa"/>
          </w:tcPr>
          <w:p w:rsidR="006231A7" w:rsidRDefault="006231A7" w:rsidP="00FE3A97">
            <w:pPr>
              <w:pStyle w:val="TableParagraph"/>
              <w:spacing w:before="24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资产管理</w:t>
            </w:r>
          </w:p>
          <w:p w:rsidR="006231A7" w:rsidRDefault="006231A7" w:rsidP="00FE3A97">
            <w:pPr>
              <w:pStyle w:val="TableParagraph"/>
              <w:spacing w:before="48"/>
              <w:ind w:left="339"/>
              <w:rPr>
                <w:b/>
                <w:sz w:val="15"/>
              </w:rPr>
            </w:pPr>
            <w:r>
              <w:rPr>
                <w:b/>
                <w:sz w:val="15"/>
              </w:rPr>
              <w:t>（9</w:t>
            </w:r>
            <w:r>
              <w:rPr>
                <w:b/>
                <w:spacing w:val="-20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7" w:right="128"/>
              <w:jc w:val="center"/>
              <w:rPr>
                <w:sz w:val="15"/>
              </w:rPr>
            </w:pPr>
            <w:r>
              <w:rPr>
                <w:sz w:val="15"/>
              </w:rPr>
              <w:t>资产</w:t>
            </w:r>
            <w:proofErr w:type="gramStart"/>
            <w:r>
              <w:rPr>
                <w:sz w:val="15"/>
              </w:rPr>
              <w:t>盘活率</w:t>
            </w:r>
            <w:proofErr w:type="gramEnd"/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部门闲置一年以上的资产盘活情况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8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spacing w:before="1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采购管理</w:t>
            </w:r>
          </w:p>
          <w:p w:rsidR="006231A7" w:rsidRDefault="006231A7" w:rsidP="00FE3A97">
            <w:pPr>
              <w:pStyle w:val="TableParagraph"/>
              <w:spacing w:before="47"/>
              <w:ind w:left="339"/>
              <w:rPr>
                <w:b/>
                <w:sz w:val="15"/>
              </w:rPr>
            </w:pPr>
            <w:r>
              <w:rPr>
                <w:b/>
                <w:sz w:val="15"/>
              </w:rPr>
              <w:t>（6</w:t>
            </w:r>
            <w:r>
              <w:rPr>
                <w:b/>
                <w:spacing w:val="-20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93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支持中小企业发展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93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93"/>
              <w:ind w:left="108"/>
              <w:rPr>
                <w:sz w:val="15"/>
              </w:rPr>
            </w:pPr>
            <w:r>
              <w:rPr>
                <w:sz w:val="15"/>
              </w:rPr>
              <w:t>部门是否严格执行政府采购促进中小企业发展相关管理办法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93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2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66"/>
              <w:ind w:left="137" w:right="128"/>
              <w:jc w:val="center"/>
              <w:rPr>
                <w:sz w:val="15"/>
              </w:rPr>
            </w:pPr>
            <w:r>
              <w:rPr>
                <w:sz w:val="15"/>
              </w:rPr>
              <w:t>采购执行率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66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66"/>
              <w:ind w:left="108"/>
              <w:rPr>
                <w:sz w:val="15"/>
              </w:rPr>
            </w:pPr>
            <w:r>
              <w:rPr>
                <w:sz w:val="15"/>
              </w:rPr>
              <w:t>部门政府采购项目资金支付比例情况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66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00"/>
        </w:trPr>
        <w:tc>
          <w:tcPr>
            <w:tcW w:w="1093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5"/>
              <w:rPr>
                <w:rFonts w:ascii="黑体"/>
                <w:sz w:val="16"/>
              </w:rPr>
            </w:pPr>
          </w:p>
          <w:p w:rsidR="006231A7" w:rsidRDefault="006231A7" w:rsidP="00FE3A97">
            <w:pPr>
              <w:pStyle w:val="TableParagraph"/>
              <w:ind w:left="24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项目绩效</w:t>
            </w:r>
          </w:p>
          <w:p w:rsidR="006231A7" w:rsidRDefault="006231A7" w:rsidP="00FE3A97">
            <w:pPr>
              <w:pStyle w:val="TableParagraph"/>
              <w:spacing w:before="48"/>
              <w:ind w:left="225"/>
              <w:rPr>
                <w:b/>
                <w:sz w:val="15"/>
              </w:rPr>
            </w:pPr>
            <w:r>
              <w:rPr>
                <w:b/>
                <w:sz w:val="15"/>
              </w:rPr>
              <w:t>（35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5"/>
              </w:rPr>
            </w:pPr>
          </w:p>
          <w:p w:rsidR="006231A7" w:rsidRDefault="006231A7" w:rsidP="00FE3A97">
            <w:pPr>
              <w:pStyle w:val="TableParagraph"/>
              <w:spacing w:before="1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项目决策</w:t>
            </w:r>
          </w:p>
          <w:p w:rsidR="006231A7" w:rsidRDefault="006231A7" w:rsidP="00FE3A97">
            <w:pPr>
              <w:pStyle w:val="TableParagraph"/>
              <w:spacing w:before="47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（12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103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决策程序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103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103"/>
              <w:ind w:left="108"/>
              <w:rPr>
                <w:sz w:val="15"/>
              </w:rPr>
            </w:pPr>
            <w:r>
              <w:rPr>
                <w:sz w:val="15"/>
              </w:rPr>
              <w:t>部门预算项目设立是否按规定履行评估论证、申报程序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103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目标设置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4"/>
              <w:ind w:left="108"/>
              <w:rPr>
                <w:sz w:val="15"/>
              </w:rPr>
            </w:pPr>
            <w:r>
              <w:rPr>
                <w:sz w:val="15"/>
              </w:rPr>
              <w:t>部门预算项目绩效目标与计划期内的任务量、预算安排的资金量匹配情</w:t>
            </w:r>
          </w:p>
          <w:p w:rsidR="006231A7" w:rsidRDefault="006231A7" w:rsidP="00FE3A97">
            <w:pPr>
              <w:pStyle w:val="TableParagraph"/>
              <w:spacing w:before="48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况</w:t>
            </w:r>
            <w:proofErr w:type="gramEnd"/>
            <w:r>
              <w:rPr>
                <w:sz w:val="15"/>
              </w:rPr>
              <w:t>，绩效目标设置是否科学合理、规范完整、量化细化、预算匹配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3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8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43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项目入库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43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43"/>
              <w:ind w:left="108"/>
              <w:rPr>
                <w:sz w:val="15"/>
              </w:rPr>
            </w:pPr>
            <w:r>
              <w:rPr>
                <w:sz w:val="15"/>
              </w:rPr>
              <w:t>部门预算项目是否在规定时间完成项目入库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43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5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spacing w:before="10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项目执行</w:t>
            </w:r>
          </w:p>
          <w:p w:rsidR="006231A7" w:rsidRDefault="006231A7" w:rsidP="00FE3A97">
            <w:pPr>
              <w:pStyle w:val="TableParagraph"/>
              <w:spacing w:before="48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（12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31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执行同向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31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31"/>
              <w:ind w:left="108"/>
              <w:rPr>
                <w:sz w:val="15"/>
              </w:rPr>
            </w:pPr>
            <w:r>
              <w:rPr>
                <w:sz w:val="15"/>
              </w:rPr>
              <w:t>部门预算项目实际列支内容是否与绩效目标设置方向相符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31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7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40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项目调整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40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40"/>
              <w:ind w:left="108"/>
              <w:rPr>
                <w:sz w:val="15"/>
              </w:rPr>
            </w:pPr>
            <w:r>
              <w:rPr>
                <w:sz w:val="15"/>
              </w:rPr>
              <w:t>部门预算项目是否采取对应调整措施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40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27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38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执行结果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38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38"/>
              <w:ind w:left="108"/>
              <w:rPr>
                <w:sz w:val="15"/>
              </w:rPr>
            </w:pPr>
            <w:r>
              <w:rPr>
                <w:sz w:val="15"/>
              </w:rPr>
              <w:t>部门预算项目预算执行情况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38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0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restart"/>
          </w:tcPr>
          <w:p w:rsidR="006231A7" w:rsidRDefault="006231A7" w:rsidP="00FE3A97">
            <w:pPr>
              <w:pStyle w:val="TableParagraph"/>
              <w:rPr>
                <w:rFonts w:ascii="黑体"/>
                <w:sz w:val="14"/>
              </w:rPr>
            </w:pPr>
          </w:p>
          <w:p w:rsidR="006231A7" w:rsidRDefault="006231A7" w:rsidP="00FE3A97">
            <w:pPr>
              <w:pStyle w:val="TableParagraph"/>
              <w:spacing w:before="100"/>
              <w:ind w:left="32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目标实现</w:t>
            </w:r>
          </w:p>
          <w:p w:rsidR="006231A7" w:rsidRDefault="006231A7" w:rsidP="00FE3A97">
            <w:pPr>
              <w:pStyle w:val="TableParagraph"/>
              <w:spacing w:before="48"/>
              <w:ind w:left="301"/>
              <w:rPr>
                <w:b/>
                <w:sz w:val="15"/>
              </w:rPr>
            </w:pPr>
            <w:r>
              <w:rPr>
                <w:b/>
                <w:sz w:val="15"/>
              </w:rPr>
              <w:t>（11</w:t>
            </w:r>
            <w:r>
              <w:rPr>
                <w:b/>
                <w:spacing w:val="-21"/>
                <w:sz w:val="15"/>
              </w:rPr>
              <w:t xml:space="preserve"> 分</w:t>
            </w:r>
            <w:r>
              <w:rPr>
                <w:b/>
                <w:sz w:val="15"/>
              </w:rPr>
              <w:t>）</w:t>
            </w: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56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目标完成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56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56"/>
              <w:ind w:left="108"/>
              <w:rPr>
                <w:sz w:val="15"/>
              </w:rPr>
            </w:pPr>
            <w:r>
              <w:rPr>
                <w:sz w:val="15"/>
              </w:rPr>
              <w:t>部门预算项目绩效目标数量指标完成情况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56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30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70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目标偏离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70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70"/>
              <w:ind w:left="108"/>
              <w:rPr>
                <w:sz w:val="15"/>
              </w:rPr>
            </w:pPr>
            <w:r>
              <w:rPr>
                <w:sz w:val="15"/>
              </w:rPr>
              <w:t>部门预算项目绩效目标数量指标实现程度与预期目标的偏离情况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70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335"/>
        </w:trPr>
        <w:tc>
          <w:tcPr>
            <w:tcW w:w="1093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231A7" w:rsidRDefault="006231A7" w:rsidP="00FE3A97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6231A7" w:rsidRDefault="006231A7" w:rsidP="00FE3A97">
            <w:pPr>
              <w:pStyle w:val="TableParagraph"/>
              <w:spacing w:before="70"/>
              <w:ind w:left="135" w:right="128"/>
              <w:jc w:val="center"/>
              <w:rPr>
                <w:sz w:val="15"/>
              </w:rPr>
            </w:pPr>
            <w:r>
              <w:rPr>
                <w:sz w:val="15"/>
              </w:rPr>
              <w:t>实现效果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70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70"/>
              <w:ind w:left="108"/>
              <w:rPr>
                <w:sz w:val="15"/>
              </w:rPr>
            </w:pPr>
            <w:r>
              <w:rPr>
                <w:sz w:val="15"/>
              </w:rPr>
              <w:t>部门预算项目绩效目标效益指标实施效果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spacing w:before="70"/>
              <w:ind w:left="10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A7" w:rsidTr="00FE3A97">
        <w:trPr>
          <w:trHeight w:val="480"/>
        </w:trPr>
        <w:tc>
          <w:tcPr>
            <w:tcW w:w="1093" w:type="dxa"/>
          </w:tcPr>
          <w:p w:rsidR="006231A7" w:rsidRDefault="006231A7" w:rsidP="00FE3A97">
            <w:pPr>
              <w:pStyle w:val="TableParagraph"/>
              <w:spacing w:before="23"/>
              <w:ind w:left="318"/>
              <w:rPr>
                <w:b/>
                <w:sz w:val="15"/>
              </w:rPr>
            </w:pPr>
            <w:r>
              <w:rPr>
                <w:b/>
                <w:sz w:val="15"/>
              </w:rPr>
              <w:t>扣分项</w:t>
            </w:r>
          </w:p>
          <w:p w:rsidR="006231A7" w:rsidRDefault="006231A7" w:rsidP="00FE3A97">
            <w:pPr>
              <w:pStyle w:val="TableParagraph"/>
              <w:spacing w:before="48"/>
              <w:ind w:left="225"/>
              <w:rPr>
                <w:b/>
                <w:sz w:val="15"/>
              </w:rPr>
            </w:pPr>
            <w:r>
              <w:rPr>
                <w:b/>
                <w:sz w:val="15"/>
              </w:rPr>
              <w:t>（10 分）</w:t>
            </w:r>
          </w:p>
        </w:tc>
        <w:tc>
          <w:tcPr>
            <w:tcW w:w="2910" w:type="dxa"/>
            <w:gridSpan w:val="2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855"/>
              <w:rPr>
                <w:sz w:val="15"/>
              </w:rPr>
            </w:pPr>
            <w:r>
              <w:rPr>
                <w:sz w:val="15"/>
              </w:rPr>
              <w:t>被评价部门配合度</w:t>
            </w:r>
          </w:p>
        </w:tc>
        <w:tc>
          <w:tcPr>
            <w:tcW w:w="775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4890" w:type="dxa"/>
          </w:tcPr>
          <w:p w:rsidR="006231A7" w:rsidRDefault="006231A7" w:rsidP="00FE3A97">
            <w:pPr>
              <w:pStyle w:val="TableParagraph"/>
              <w:spacing w:before="2"/>
              <w:rPr>
                <w:rFonts w:ascii="黑体"/>
                <w:sz w:val="11"/>
              </w:rPr>
            </w:pPr>
          </w:p>
          <w:p w:rsidR="006231A7" w:rsidRDefault="006231A7" w:rsidP="00FE3A97"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被评价对象工作配合情况</w:t>
            </w:r>
          </w:p>
        </w:tc>
        <w:tc>
          <w:tcPr>
            <w:tcW w:w="673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</w:tcPr>
          <w:p w:rsidR="006231A7" w:rsidRDefault="006231A7" w:rsidP="00FE3A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231A7" w:rsidRDefault="006231A7" w:rsidP="006231A7">
      <w:pPr>
        <w:rPr>
          <w:rFonts w:ascii="Times New Roman"/>
          <w:sz w:val="14"/>
        </w:rPr>
        <w:sectPr w:rsidR="006231A7">
          <w:type w:val="continuous"/>
          <w:pgSz w:w="11910" w:h="16840"/>
          <w:pgMar w:top="1580" w:right="360" w:bottom="280" w:left="480" w:header="720" w:footer="720" w:gutter="0"/>
          <w:cols w:space="720"/>
        </w:sectPr>
      </w:pPr>
    </w:p>
    <w:p w:rsidR="006231A7" w:rsidRDefault="006231A7" w:rsidP="006231A7">
      <w:pPr>
        <w:pStyle w:val="a3"/>
        <w:ind w:left="0"/>
        <w:rPr>
          <w:rFonts w:ascii="黑体"/>
          <w:sz w:val="20"/>
        </w:rPr>
      </w:pPr>
    </w:p>
    <w:p w:rsidR="006231A7" w:rsidRDefault="006231A7" w:rsidP="006231A7">
      <w:pPr>
        <w:pStyle w:val="a3"/>
        <w:spacing w:before="4"/>
        <w:ind w:left="0"/>
        <w:rPr>
          <w:rFonts w:ascii="宋体"/>
          <w:sz w:val="19"/>
        </w:rPr>
      </w:pPr>
    </w:p>
    <w:p w:rsidR="006231A7" w:rsidRDefault="006231A7" w:rsidP="006231A7">
      <w:pPr>
        <w:pStyle w:val="a3"/>
        <w:spacing w:before="4"/>
        <w:ind w:left="0"/>
        <w:rPr>
          <w:rFonts w:ascii="宋体"/>
          <w:sz w:val="19"/>
        </w:rPr>
      </w:pPr>
    </w:p>
    <w:p w:rsidR="006231A7" w:rsidRDefault="006231A7" w:rsidP="006231A7">
      <w:pPr>
        <w:pStyle w:val="a3"/>
        <w:spacing w:before="4"/>
        <w:ind w:left="0"/>
        <w:rPr>
          <w:rFonts w:ascii="宋体"/>
          <w:sz w:val="19"/>
        </w:rPr>
      </w:pPr>
    </w:p>
    <w:p w:rsidR="006231A7" w:rsidRDefault="006231A7" w:rsidP="006231A7">
      <w:pPr>
        <w:pStyle w:val="a3"/>
        <w:spacing w:before="4"/>
        <w:ind w:left="0"/>
        <w:rPr>
          <w:rFonts w:ascii="宋体"/>
          <w:sz w:val="19"/>
        </w:rPr>
      </w:pPr>
    </w:p>
    <w:p w:rsidR="0067578C" w:rsidRDefault="0067578C"/>
    <w:sectPr w:rsidR="0067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B6" w:rsidRDefault="006047B6" w:rsidP="006231A7">
      <w:r>
        <w:separator/>
      </w:r>
    </w:p>
  </w:endnote>
  <w:endnote w:type="continuationSeparator" w:id="0">
    <w:p w:rsidR="006047B6" w:rsidRDefault="006047B6" w:rsidP="0062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B6" w:rsidRDefault="006047B6" w:rsidP="006231A7">
      <w:r>
        <w:separator/>
      </w:r>
    </w:p>
  </w:footnote>
  <w:footnote w:type="continuationSeparator" w:id="0">
    <w:p w:rsidR="006047B6" w:rsidRDefault="006047B6" w:rsidP="0062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A7"/>
    <w:rsid w:val="006047B6"/>
    <w:rsid w:val="006231A7"/>
    <w:rsid w:val="006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6B9A4-60B6-46C6-8B66-E39C293F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31A7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</w:rPr>
  </w:style>
  <w:style w:type="paragraph" w:styleId="1">
    <w:name w:val="heading 1"/>
    <w:basedOn w:val="a"/>
    <w:link w:val="1Char"/>
    <w:uiPriority w:val="1"/>
    <w:qFormat/>
    <w:rsid w:val="006231A7"/>
    <w:pPr>
      <w:ind w:left="120" w:hanging="884"/>
      <w:outlineLvl w:val="0"/>
    </w:pPr>
    <w:rPr>
      <w:rFonts w:ascii="仿宋" w:eastAsia="仿宋" w:hAnsi="仿宋" w:cs="仿宋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6231A7"/>
    <w:rPr>
      <w:rFonts w:ascii="仿宋" w:eastAsia="仿宋" w:hAnsi="仿宋" w:cs="仿宋"/>
      <w:b/>
      <w:bCs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6231A7"/>
    <w:pPr>
      <w:ind w:left="18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6231A7"/>
    <w:rPr>
      <w:rFonts w:ascii="Arial Unicode MS" w:eastAsia="Arial Unicode MS" w:hAnsi="Arial Unicode MS" w:cs="Arial Unicode MS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231A7"/>
    <w:rPr>
      <w:rFonts w:ascii="宋体" w:eastAsia="宋体" w:hAnsi="宋体" w:cs="宋体"/>
    </w:rPr>
  </w:style>
  <w:style w:type="paragraph" w:styleId="a4">
    <w:name w:val="header"/>
    <w:basedOn w:val="a"/>
    <w:link w:val="Char0"/>
    <w:uiPriority w:val="99"/>
    <w:unhideWhenUsed/>
    <w:rsid w:val="00623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31A7"/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31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31A7"/>
    <w:rPr>
      <w:rFonts w:ascii="Arial Unicode MS" w:eastAsia="Arial Unicode MS" w:hAnsi="Arial Unicode MS" w:cs="Arial Unicode MS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2025-10-20T01:42:00Z</dcterms:created>
  <dcterms:modified xsi:type="dcterms:W3CDTF">2025-10-20T01:46:00Z</dcterms:modified>
</cp:coreProperties>
</file>