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A1B18B">
      <w:pPr>
        <w:widowControl/>
        <w:jc w:val="both"/>
        <w:rPr>
          <w:rFonts w:hint="eastAsia" w:ascii="思源黑体 CN Normal" w:hAnsi="思源黑体 CN Normal" w:eastAsia="思源黑体 CN Normal" w:cs="思源黑体 CN Normal"/>
          <w:b w:val="0"/>
          <w:bCs w:val="0"/>
          <w:color w:val="000000" w:themeColor="text1"/>
          <w:sz w:val="48"/>
          <w:szCs w:val="48"/>
          <w14:textFill>
            <w14:solidFill>
              <w14:schemeClr w14:val="tx1"/>
            </w14:solidFill>
          </w14:textFill>
        </w:rPr>
        <w:sectPr>
          <w:headerReference r:id="rId4" w:type="first"/>
          <w:footerReference r:id="rId6" w:type="first"/>
          <w:headerReference r:id="rId3" w:type="default"/>
          <w:footerReference r:id="rId5" w:type="default"/>
          <w:pgSz w:w="11906" w:h="16838"/>
          <w:pgMar w:top="1440" w:right="1800" w:bottom="1440" w:left="1800" w:header="851" w:footer="992" w:gutter="0"/>
          <w:pgNumType w:fmt="decimal" w:start="1"/>
          <w:cols w:space="425" w:num="1"/>
          <w:docGrid w:type="lines" w:linePitch="312" w:charSpace="0"/>
        </w:sectPr>
      </w:pPr>
    </w:p>
    <w:p w14:paraId="2D3D8A8E">
      <w:pPr>
        <w:widowControl/>
        <w:jc w:val="left"/>
        <w:rPr>
          <w:rStyle w:val="38"/>
          <w:rFonts w:hint="eastAsia" w:ascii="思源黑体 CN Normal" w:hAnsi="思源黑体 CN Normal" w:eastAsia="思源黑体 CN Normal" w:cs="思源黑体 CN Normal"/>
        </w:rPr>
      </w:pPr>
    </w:p>
    <w:p w14:paraId="06638D99">
      <w:pPr>
        <w:pStyle w:val="5"/>
        <w:jc w:val="center"/>
        <w:rPr>
          <w:rFonts w:hint="eastAsia" w:ascii="黑体" w:hAnsi="黑体" w:eastAsia="黑体" w:cs="黑体"/>
          <w:b w:val="0"/>
          <w:bCs w:val="0"/>
        </w:rPr>
      </w:pPr>
      <w:bookmarkStart w:id="0" w:name="_Toc25539"/>
      <w:bookmarkStart w:id="1" w:name="_Toc111208510"/>
      <w:r>
        <w:rPr>
          <w:rFonts w:hint="eastAsia" w:ascii="黑体" w:hAnsi="黑体" w:eastAsia="黑体" w:cs="黑体"/>
          <w:b w:val="0"/>
          <w:bCs w:val="0"/>
        </w:rPr>
        <w:t>第四部分 附件</w:t>
      </w:r>
      <w:bookmarkEnd w:id="0"/>
      <w:bookmarkEnd w:id="1"/>
    </w:p>
    <w:p w14:paraId="0ED7C328">
      <w:pPr>
        <w:keepNext w:val="0"/>
        <w:keepLines w:val="0"/>
        <w:pageBreakBefore w:val="0"/>
        <w:widowControl/>
        <w:kinsoku/>
        <w:wordWrap/>
        <w:overflowPunct/>
        <w:topLinePunct w:val="0"/>
        <w:autoSpaceDE/>
        <w:autoSpaceDN/>
        <w:bidi w:val="0"/>
        <w:spacing w:line="578" w:lineRule="exact"/>
        <w:ind w:firstLine="2640" w:firstLineChars="600"/>
        <w:contextualSpacing/>
        <w:jc w:val="both"/>
        <w:textAlignment w:val="auto"/>
        <w:outlineLvl w:val="9"/>
        <w:rPr>
          <w:rFonts w:hint="eastAsia" w:ascii="方正小标宋_GBK" w:hAnsi="方正小标宋_GBK" w:eastAsia="方正小标宋_GBK" w:cs="方正小标宋_GBK"/>
          <w:b w:val="0"/>
          <w:bCs/>
          <w:sz w:val="44"/>
          <w:szCs w:val="44"/>
          <w:highlight w:val="none"/>
          <w:shd w:val="clear" w:color="auto" w:fill="FFFFFF"/>
          <w:lang w:val="en-US" w:eastAsia="zh-CN"/>
        </w:rPr>
      </w:pPr>
    </w:p>
    <w:p w14:paraId="3420DF17">
      <w:pPr>
        <w:keepNext w:val="0"/>
        <w:keepLines w:val="0"/>
        <w:pageBreakBefore w:val="0"/>
        <w:widowControl/>
        <w:kinsoku/>
        <w:wordWrap/>
        <w:overflowPunct/>
        <w:topLinePunct w:val="0"/>
        <w:autoSpaceDE/>
        <w:autoSpaceDN/>
        <w:bidi w:val="0"/>
        <w:spacing w:line="578" w:lineRule="exact"/>
        <w:ind w:firstLine="2640" w:firstLineChars="600"/>
        <w:contextualSpacing/>
        <w:jc w:val="both"/>
        <w:textAlignment w:val="auto"/>
        <w:outlineLvl w:val="9"/>
        <w:rPr>
          <w:rFonts w:hint="eastAsia" w:ascii="方正小标宋_GBK" w:hAnsi="方正小标宋_GBK" w:eastAsia="方正小标宋_GBK" w:cs="方正小标宋_GBK"/>
          <w:b w:val="0"/>
          <w:bCs/>
          <w:sz w:val="44"/>
          <w:szCs w:val="44"/>
          <w:highlight w:val="none"/>
          <w:shd w:val="clear" w:color="auto" w:fill="FFFFFF"/>
          <w:lang w:val="en-US" w:eastAsia="zh-CN"/>
        </w:rPr>
      </w:pPr>
      <w:r>
        <w:rPr>
          <w:rFonts w:hint="eastAsia" w:ascii="方正小标宋_GBK" w:hAnsi="方正小标宋_GBK" w:eastAsia="方正小标宋_GBK" w:cs="方正小标宋_GBK"/>
          <w:b w:val="0"/>
          <w:bCs/>
          <w:sz w:val="44"/>
          <w:szCs w:val="44"/>
          <w:highlight w:val="none"/>
          <w:shd w:val="clear" w:color="auto" w:fill="FFFFFF"/>
          <w:lang w:val="en-US" w:eastAsia="zh-CN"/>
        </w:rPr>
        <w:t>渠县人民政府办公室</w:t>
      </w:r>
    </w:p>
    <w:p w14:paraId="4B2E50B2">
      <w:pPr>
        <w:keepNext w:val="0"/>
        <w:keepLines w:val="0"/>
        <w:pageBreakBefore w:val="0"/>
        <w:widowControl/>
        <w:kinsoku/>
        <w:wordWrap/>
        <w:overflowPunct/>
        <w:topLinePunct w:val="0"/>
        <w:autoSpaceDE/>
        <w:autoSpaceDN/>
        <w:bidi w:val="0"/>
        <w:spacing w:line="578" w:lineRule="exact"/>
        <w:contextualSpacing/>
        <w:jc w:val="center"/>
        <w:textAlignment w:val="auto"/>
        <w:outlineLvl w:val="9"/>
        <w:rPr>
          <w:rFonts w:hint="eastAsia" w:ascii="方正小标宋_GBK" w:hAnsi="方正小标宋_GBK" w:eastAsia="方正小标宋_GBK" w:cs="方正小标宋_GBK"/>
          <w:b w:val="0"/>
          <w:bCs/>
          <w:sz w:val="44"/>
          <w:szCs w:val="44"/>
          <w:highlight w:val="none"/>
          <w:shd w:val="clear" w:color="auto" w:fill="FFFFFF"/>
        </w:rPr>
      </w:pPr>
      <w:r>
        <w:rPr>
          <w:rFonts w:hint="eastAsia" w:ascii="方正小标宋_GBK" w:hAnsi="方正小标宋_GBK" w:eastAsia="方正小标宋_GBK" w:cs="方正小标宋_GBK"/>
          <w:b w:val="0"/>
          <w:bCs/>
          <w:sz w:val="44"/>
          <w:szCs w:val="44"/>
          <w:highlight w:val="none"/>
          <w:shd w:val="clear" w:color="auto" w:fill="FFFFFF"/>
          <w:lang w:val="en-US" w:eastAsia="zh-CN"/>
        </w:rPr>
        <w:t>2024年部门</w:t>
      </w:r>
      <w:r>
        <w:rPr>
          <w:rFonts w:hint="eastAsia" w:ascii="方正小标宋_GBK" w:hAnsi="方正小标宋_GBK" w:eastAsia="方正小标宋_GBK" w:cs="方正小标宋_GBK"/>
          <w:b w:val="0"/>
          <w:bCs/>
          <w:sz w:val="44"/>
          <w:szCs w:val="44"/>
          <w:highlight w:val="none"/>
          <w:shd w:val="clear" w:color="auto" w:fill="FFFFFF"/>
          <w:lang w:eastAsia="zh-CN"/>
        </w:rPr>
        <w:t>预算</w:t>
      </w:r>
      <w:r>
        <w:rPr>
          <w:rFonts w:hint="eastAsia" w:ascii="方正小标宋_GBK" w:hAnsi="方正小标宋_GBK" w:eastAsia="方正小标宋_GBK" w:cs="方正小标宋_GBK"/>
          <w:b w:val="0"/>
          <w:bCs/>
          <w:sz w:val="44"/>
          <w:szCs w:val="44"/>
          <w:highlight w:val="none"/>
          <w:shd w:val="clear" w:color="auto" w:fill="FFFFFF"/>
        </w:rPr>
        <w:t>绩效</w:t>
      </w:r>
      <w:r>
        <w:rPr>
          <w:rFonts w:hint="eastAsia" w:ascii="方正小标宋_GBK" w:hAnsi="方正小标宋_GBK" w:eastAsia="方正小标宋_GBK" w:cs="方正小标宋_GBK"/>
          <w:b w:val="0"/>
          <w:bCs/>
          <w:sz w:val="44"/>
          <w:szCs w:val="44"/>
          <w:highlight w:val="none"/>
          <w:shd w:val="clear" w:color="auto" w:fill="FFFFFF"/>
          <w:lang w:eastAsia="zh-CN"/>
        </w:rPr>
        <w:t>评价</w:t>
      </w:r>
      <w:r>
        <w:rPr>
          <w:rFonts w:hint="eastAsia" w:ascii="方正小标宋_GBK" w:hAnsi="方正小标宋_GBK" w:eastAsia="方正小标宋_GBK" w:cs="方正小标宋_GBK"/>
          <w:b w:val="0"/>
          <w:bCs/>
          <w:sz w:val="44"/>
          <w:szCs w:val="44"/>
          <w:highlight w:val="none"/>
          <w:shd w:val="clear" w:color="auto" w:fill="FFFFFF"/>
        </w:rPr>
        <w:t>报告</w:t>
      </w:r>
    </w:p>
    <w:p w14:paraId="07271ADD">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contextualSpacing/>
        <w:jc w:val="left"/>
        <w:textAlignment w:val="auto"/>
        <w:outlineLvl w:val="9"/>
        <w:rPr>
          <w:rFonts w:hint="default" w:ascii="仿宋_GB2312" w:hAnsi="仿宋_GB2312" w:eastAsia="仿宋_GB2312" w:cs="仿宋_GB2312"/>
          <w:sz w:val="32"/>
          <w:szCs w:val="32"/>
          <w:lang w:val="en-US" w:eastAsia="zh-CN"/>
        </w:rPr>
      </w:pPr>
    </w:p>
    <w:p w14:paraId="7C275E2C">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firstLine="320" w:firstLineChars="100"/>
        <w:contextualSpacing/>
        <w:jc w:val="left"/>
        <w:textAlignment w:val="auto"/>
        <w:outlineLvl w:val="9"/>
        <w:rPr>
          <w:rFonts w:hint="eastAsia" w:ascii="黑体" w:hAnsi="黑体" w:eastAsia="黑体" w:cs="黑体"/>
          <w:szCs w:val="32"/>
        </w:rPr>
      </w:pPr>
      <w:r>
        <w:rPr>
          <w:rFonts w:hint="eastAsia" w:ascii="黑体" w:hAnsi="黑体" w:eastAsia="黑体" w:cs="黑体"/>
          <w:color w:val="000000"/>
          <w:kern w:val="0"/>
          <w:szCs w:val="32"/>
          <w:highlight w:val="none"/>
          <w:shd w:val="clear" w:color="auto" w:fill="FFFFFF"/>
          <w:lang w:val="zh-CN"/>
        </w:rPr>
        <w:t>一、部门（单位）基本情况</w:t>
      </w:r>
    </w:p>
    <w:p w14:paraId="42131146">
      <w:pPr>
        <w:keepNext w:val="0"/>
        <w:keepLines w:val="0"/>
        <w:pageBreakBefore w:val="0"/>
        <w:kinsoku/>
        <w:wordWrap/>
        <w:overflowPunct/>
        <w:topLinePunct w:val="0"/>
        <w:autoSpaceDE/>
        <w:autoSpaceDN/>
        <w:bidi w:val="0"/>
        <w:snapToGrid w:val="0"/>
        <w:spacing w:line="578" w:lineRule="exact"/>
        <w:ind w:firstLine="630" w:firstLineChars="196"/>
        <w:textAlignment w:val="auto"/>
        <w:rPr>
          <w:rFonts w:hint="eastAsia" w:ascii="Times New Roman" w:hAnsi="Times New Roman" w:eastAsia="楷体_GB2312" w:cs="Times New Roman"/>
          <w:b/>
          <w:bCs/>
          <w:color w:val="000000"/>
          <w:kern w:val="0"/>
          <w:szCs w:val="32"/>
          <w:highlight w:val="none"/>
          <w:shd w:val="clear" w:color="auto" w:fill="FFFFFF"/>
          <w:lang w:val="zh-CN" w:eastAsia="zh-CN"/>
        </w:rPr>
      </w:pPr>
      <w:r>
        <w:rPr>
          <w:rFonts w:hint="eastAsia" w:eastAsia="楷体_GB2312" w:cs="Times New Roman"/>
          <w:b/>
          <w:bCs/>
          <w:color w:val="000000"/>
          <w:kern w:val="0"/>
          <w:szCs w:val="32"/>
          <w:highlight w:val="none"/>
          <w:shd w:val="clear" w:color="auto" w:fill="FFFFFF"/>
          <w:lang w:val="zh-CN"/>
        </w:rPr>
        <w:t>（一）</w:t>
      </w:r>
      <w:r>
        <w:rPr>
          <w:rFonts w:hint="default" w:ascii="Times New Roman" w:hAnsi="Times New Roman" w:eastAsia="楷体_GB2312" w:cs="Times New Roman"/>
          <w:b/>
          <w:bCs/>
          <w:color w:val="000000"/>
          <w:kern w:val="0"/>
          <w:szCs w:val="32"/>
          <w:highlight w:val="none"/>
          <w:shd w:val="clear" w:color="auto" w:fill="FFFFFF"/>
          <w:lang w:val="zh-CN"/>
        </w:rPr>
        <w:t>机构组成</w:t>
      </w:r>
      <w:r>
        <w:rPr>
          <w:rFonts w:hint="eastAsia" w:eastAsia="楷体_GB2312" w:cs="Times New Roman"/>
          <w:b/>
          <w:bCs/>
          <w:color w:val="000000"/>
          <w:kern w:val="0"/>
          <w:szCs w:val="32"/>
          <w:highlight w:val="none"/>
          <w:shd w:val="clear" w:color="auto" w:fill="FFFFFF"/>
          <w:lang w:val="en-US" w:eastAsia="zh-CN"/>
        </w:rPr>
        <w:t xml:space="preserve"> </w:t>
      </w:r>
    </w:p>
    <w:p w14:paraId="53A2CFCD">
      <w:pPr>
        <w:keepNext w:val="0"/>
        <w:keepLines w:val="0"/>
        <w:pageBreakBefore w:val="0"/>
        <w:kinsoku/>
        <w:wordWrap/>
        <w:overflowPunct/>
        <w:topLinePunct w:val="0"/>
        <w:autoSpaceDE/>
        <w:autoSpaceDN/>
        <w:bidi w:val="0"/>
        <w:snapToGrid w:val="0"/>
        <w:spacing w:line="578" w:lineRule="exact"/>
        <w:ind w:firstLine="627" w:firstLineChars="196"/>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渠县人民政府办公室</w:t>
      </w:r>
      <w:r>
        <w:rPr>
          <w:rFonts w:hint="eastAsia" w:ascii="Times New Roman" w:hAnsi="Times New Roman" w:cs="Times New Roman"/>
          <w:sz w:val="32"/>
          <w:szCs w:val="32"/>
          <w:lang w:val="en-US" w:eastAsia="zh-CN"/>
        </w:rPr>
        <w:t>属于</w:t>
      </w:r>
      <w:r>
        <w:rPr>
          <w:rFonts w:hint="eastAsia" w:ascii="Times New Roman" w:hAnsi="Times New Roman" w:eastAsia="仿宋_GB2312" w:cs="Times New Roman"/>
          <w:sz w:val="32"/>
          <w:szCs w:val="32"/>
        </w:rPr>
        <w:t>行政单位，预算级次为一级预算单位。</w:t>
      </w:r>
      <w:r>
        <w:rPr>
          <w:rFonts w:hint="eastAsia" w:cs="Times New Roman"/>
          <w:sz w:val="32"/>
          <w:szCs w:val="32"/>
          <w:lang w:val="en-US" w:eastAsia="zh-CN"/>
        </w:rPr>
        <w:t>下设一个正科级事业单位，即渠县区域合作服务中心；</w:t>
      </w:r>
      <w:r>
        <w:rPr>
          <w:rFonts w:hint="eastAsia" w:ascii="Times New Roman" w:hAnsi="Times New Roman" w:eastAsia="仿宋_GB2312" w:cs="Times New Roman"/>
          <w:sz w:val="32"/>
          <w:szCs w:val="32"/>
        </w:rPr>
        <w:t>内设</w:t>
      </w:r>
      <w:r>
        <w:rPr>
          <w:rFonts w:hint="eastAsia" w:ascii="Times New Roman" w:hAnsi="Times New Roman" w:cs="Times New Roman"/>
          <w:sz w:val="32"/>
          <w:szCs w:val="32"/>
          <w:lang w:val="en-US" w:eastAsia="zh-CN"/>
        </w:rPr>
        <w:t>10</w:t>
      </w:r>
      <w:r>
        <w:rPr>
          <w:rFonts w:hint="eastAsia" w:ascii="Times New Roman" w:hAnsi="Times New Roman" w:eastAsia="仿宋_GB2312" w:cs="Times New Roman"/>
          <w:sz w:val="32"/>
          <w:szCs w:val="32"/>
        </w:rPr>
        <w:t>股</w:t>
      </w:r>
      <w:r>
        <w:rPr>
          <w:rFonts w:hint="eastAsia" w:ascii="Times New Roman" w:hAnsi="Times New Roman" w:cs="Times New Roman"/>
          <w:sz w:val="32"/>
          <w:szCs w:val="32"/>
          <w:lang w:val="en-US" w:eastAsia="zh-CN"/>
        </w:rPr>
        <w:t>3</w:t>
      </w:r>
      <w:r>
        <w:rPr>
          <w:rFonts w:hint="eastAsia" w:ascii="Times New Roman" w:hAnsi="Times New Roman" w:eastAsia="仿宋_GB2312" w:cs="Times New Roman"/>
          <w:sz w:val="32"/>
          <w:szCs w:val="32"/>
        </w:rPr>
        <w:t>中心，包括一秘书股、二秘书股、三秘书股、综合</w:t>
      </w:r>
      <w:r>
        <w:rPr>
          <w:rFonts w:hint="eastAsia" w:ascii="Times New Roman" w:hAnsi="Times New Roman" w:cs="Times New Roman"/>
          <w:sz w:val="32"/>
          <w:szCs w:val="32"/>
          <w:lang w:val="en-US" w:eastAsia="zh-CN"/>
        </w:rPr>
        <w:t>股</w:t>
      </w:r>
      <w:r>
        <w:rPr>
          <w:rFonts w:hint="eastAsia" w:ascii="Times New Roman" w:hAnsi="Times New Roman" w:eastAsia="仿宋_GB2312" w:cs="Times New Roman"/>
          <w:sz w:val="32"/>
          <w:szCs w:val="32"/>
        </w:rPr>
        <w:t>、信息股、党建政工股、外事股、</w:t>
      </w:r>
      <w:r>
        <w:rPr>
          <w:rFonts w:hint="eastAsia" w:ascii="Times New Roman" w:hAnsi="Times New Roman" w:cs="Times New Roman"/>
          <w:sz w:val="32"/>
          <w:szCs w:val="32"/>
          <w:lang w:val="en-US" w:eastAsia="zh-CN"/>
        </w:rPr>
        <w:t>国防动员股、</w:t>
      </w:r>
      <w:r>
        <w:rPr>
          <w:rFonts w:hint="eastAsia" w:ascii="Times New Roman" w:hAnsi="Times New Roman" w:eastAsia="仿宋_GB2312" w:cs="Times New Roman"/>
          <w:sz w:val="32"/>
          <w:szCs w:val="32"/>
        </w:rPr>
        <w:t>督查</w:t>
      </w:r>
      <w:r>
        <w:rPr>
          <w:rFonts w:hint="eastAsia" w:ascii="Times New Roman" w:hAnsi="Times New Roman" w:cs="Times New Roman"/>
          <w:sz w:val="32"/>
          <w:szCs w:val="32"/>
          <w:lang w:val="en-US" w:eastAsia="zh-CN"/>
        </w:rPr>
        <w:t>股</w:t>
      </w:r>
      <w:r>
        <w:rPr>
          <w:rFonts w:hint="eastAsia" w:ascii="Times New Roman" w:hAnsi="Times New Roman" w:cs="Times New Roman"/>
          <w:sz w:val="32"/>
          <w:szCs w:val="32"/>
          <w:lang w:eastAsia="zh-CN"/>
        </w:rPr>
        <w:t>、</w:t>
      </w:r>
      <w:r>
        <w:rPr>
          <w:rFonts w:hint="eastAsia" w:ascii="Times New Roman" w:hAnsi="Times New Roman" w:eastAsia="仿宋_GB2312" w:cs="Times New Roman"/>
          <w:sz w:val="32"/>
          <w:szCs w:val="32"/>
        </w:rPr>
        <w:t>财务股；</w:t>
      </w:r>
      <w:r>
        <w:rPr>
          <w:rFonts w:hint="eastAsia" w:ascii="Times New Roman" w:hAnsi="Times New Roman" w:cs="Times New Roman"/>
          <w:sz w:val="32"/>
          <w:szCs w:val="32"/>
          <w:lang w:val="en-US" w:eastAsia="zh-CN"/>
        </w:rPr>
        <w:t>项目前期工作服务中心、信息公开管理中心</w:t>
      </w:r>
      <w:r>
        <w:rPr>
          <w:rFonts w:hint="eastAsia" w:ascii="Times New Roman" w:hAnsi="Times New Roman" w:eastAsia="仿宋_GB2312" w:cs="Times New Roman"/>
          <w:sz w:val="32"/>
          <w:szCs w:val="32"/>
        </w:rPr>
        <w:t>、经济研究发展中心。</w:t>
      </w:r>
    </w:p>
    <w:p w14:paraId="7338BDCA">
      <w:pPr>
        <w:keepNext w:val="0"/>
        <w:keepLines w:val="0"/>
        <w:pageBreakBefore w:val="0"/>
        <w:widowControl/>
        <w:numPr>
          <w:ilvl w:val="0"/>
          <w:numId w:val="1"/>
        </w:numPr>
        <w:kinsoku/>
        <w:wordWrap/>
        <w:overflowPunct/>
        <w:topLinePunct w:val="0"/>
        <w:autoSpaceDE/>
        <w:autoSpaceDN/>
        <w:bidi w:val="0"/>
        <w:adjustRightInd w:val="0"/>
        <w:snapToGrid w:val="0"/>
        <w:spacing w:line="578" w:lineRule="exact"/>
        <w:ind w:firstLine="643" w:firstLineChars="200"/>
        <w:contextualSpacing/>
        <w:jc w:val="left"/>
        <w:textAlignment w:val="auto"/>
        <w:outlineLvl w:val="9"/>
        <w:rPr>
          <w:rFonts w:hint="default" w:ascii="Times New Roman" w:hAnsi="Times New Roman" w:eastAsia="楷体_GB2312" w:cs="Times New Roman"/>
          <w:b/>
          <w:bCs/>
          <w:color w:val="000000"/>
          <w:kern w:val="0"/>
          <w:szCs w:val="32"/>
          <w:highlight w:val="none"/>
          <w:shd w:val="clear" w:color="auto" w:fill="FFFFFF"/>
          <w:lang w:val="zh-CN"/>
        </w:rPr>
      </w:pPr>
      <w:r>
        <w:rPr>
          <w:rFonts w:hint="default" w:ascii="Times New Roman" w:hAnsi="Times New Roman" w:eastAsia="楷体_GB2312" w:cs="Times New Roman"/>
          <w:b/>
          <w:bCs/>
          <w:color w:val="000000"/>
          <w:kern w:val="0"/>
          <w:szCs w:val="32"/>
          <w:highlight w:val="none"/>
          <w:shd w:val="clear" w:color="auto" w:fill="FFFFFF"/>
          <w:lang w:val="zh-CN"/>
        </w:rPr>
        <w:t>机构职能</w:t>
      </w:r>
    </w:p>
    <w:p w14:paraId="58AB0C88">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default" w:ascii="Times New Roman" w:hAnsi="Times New Roman" w:eastAsia="楷体_GB2312" w:cs="Times New Roman"/>
          <w:b/>
          <w:bCs/>
          <w:color w:val="000000"/>
          <w:kern w:val="0"/>
          <w:szCs w:val="32"/>
          <w:highlight w:val="none"/>
          <w:shd w:val="clear" w:color="auto" w:fill="FFFFFF"/>
          <w:lang w:val="zh-CN"/>
        </w:rPr>
      </w:pPr>
      <w:r>
        <w:rPr>
          <w:rFonts w:hint="eastAsia" w:eastAsia="仿宋_GB2312"/>
          <w:sz w:val="32"/>
          <w:szCs w:val="32"/>
        </w:rPr>
        <w:t>协助</w:t>
      </w:r>
      <w:r>
        <w:rPr>
          <w:rFonts w:hint="eastAsia"/>
          <w:sz w:val="32"/>
          <w:szCs w:val="32"/>
          <w:lang w:val="en-US" w:eastAsia="zh-CN"/>
        </w:rPr>
        <w:t>县</w:t>
      </w:r>
      <w:r>
        <w:rPr>
          <w:rFonts w:hint="eastAsia" w:eastAsia="仿宋_GB2312"/>
          <w:sz w:val="32"/>
          <w:szCs w:val="32"/>
        </w:rPr>
        <w:t>政府领导督促检查政府重大决策、重要工作部署的贯彻执行和落实情况，办理、检查政府领导和上级领导机关的批示件及交办事项的落实，及时了解和报告执行及办理中出现的新情况、新问题，负责政府全面日常工作。</w:t>
      </w:r>
    </w:p>
    <w:p w14:paraId="1ECACF55">
      <w:pPr>
        <w:keepNext w:val="0"/>
        <w:keepLines w:val="0"/>
        <w:pageBreakBefore w:val="0"/>
        <w:numPr>
          <w:ilvl w:val="0"/>
          <w:numId w:val="1"/>
        </w:numPr>
        <w:kinsoku/>
        <w:wordWrap/>
        <w:overflowPunct/>
        <w:topLinePunct w:val="0"/>
        <w:autoSpaceDE/>
        <w:autoSpaceDN/>
        <w:bidi w:val="0"/>
        <w:snapToGrid w:val="0"/>
        <w:spacing w:line="578" w:lineRule="exact"/>
        <w:ind w:left="0" w:leftChars="0" w:firstLine="643" w:firstLineChars="200"/>
        <w:textAlignment w:val="auto"/>
        <w:rPr>
          <w:rFonts w:hint="eastAsia" w:eastAsia="楷体_GB2312" w:cs="Times New Roman"/>
          <w:b/>
          <w:bCs/>
          <w:color w:val="000000"/>
          <w:kern w:val="0"/>
          <w:szCs w:val="32"/>
          <w:highlight w:val="none"/>
          <w:shd w:val="clear" w:color="auto" w:fill="FFFFFF"/>
          <w:lang w:val="en-US" w:eastAsia="zh-CN"/>
        </w:rPr>
      </w:pPr>
      <w:r>
        <w:rPr>
          <w:rFonts w:hint="default" w:ascii="Times New Roman" w:hAnsi="Times New Roman" w:eastAsia="楷体_GB2312" w:cs="Times New Roman"/>
          <w:b/>
          <w:bCs/>
          <w:color w:val="000000"/>
          <w:kern w:val="0"/>
          <w:szCs w:val="32"/>
          <w:highlight w:val="none"/>
          <w:shd w:val="clear" w:color="auto" w:fill="FFFFFF"/>
          <w:lang w:val="zh-CN"/>
        </w:rPr>
        <w:t>人员概况</w:t>
      </w:r>
      <w:r>
        <w:rPr>
          <w:rFonts w:hint="eastAsia" w:eastAsia="楷体_GB2312" w:cs="Times New Roman"/>
          <w:b/>
          <w:bCs/>
          <w:color w:val="000000"/>
          <w:kern w:val="0"/>
          <w:szCs w:val="32"/>
          <w:highlight w:val="none"/>
          <w:shd w:val="clear" w:color="auto" w:fill="FFFFFF"/>
          <w:lang w:val="en-US" w:eastAsia="zh-CN"/>
        </w:rPr>
        <w:t xml:space="preserve"> </w:t>
      </w:r>
    </w:p>
    <w:p w14:paraId="022BF651">
      <w:pPr>
        <w:keepNext w:val="0"/>
        <w:keepLines w:val="0"/>
        <w:pageBreakBefore w:val="0"/>
        <w:numPr>
          <w:ilvl w:val="0"/>
          <w:numId w:val="0"/>
        </w:numPr>
        <w:kinsoku/>
        <w:wordWrap/>
        <w:overflowPunct/>
        <w:topLinePunct w:val="0"/>
        <w:autoSpaceDE/>
        <w:autoSpaceDN/>
        <w:bidi w:val="0"/>
        <w:snapToGrid w:val="0"/>
        <w:spacing w:line="578" w:lineRule="exact"/>
        <w:ind w:firstLine="640" w:firstLineChars="200"/>
        <w:textAlignment w:val="auto"/>
        <w:rPr>
          <w:rFonts w:eastAsia="楷体_GB2312"/>
          <w:b/>
          <w:color w:val="auto"/>
          <w:sz w:val="32"/>
          <w:szCs w:val="32"/>
        </w:rPr>
      </w:pPr>
      <w:r>
        <w:rPr>
          <w:rFonts w:hint="default" w:ascii="Times New Roman" w:hAnsi="Times New Roman" w:cs="Times New Roman"/>
          <w:szCs w:val="32"/>
        </w:rPr>
        <w:t>截至202</w:t>
      </w:r>
      <w:r>
        <w:rPr>
          <w:rFonts w:hint="eastAsia" w:cs="Times New Roman"/>
          <w:szCs w:val="32"/>
          <w:lang w:val="en-US" w:eastAsia="zh-CN"/>
        </w:rPr>
        <w:t>4</w:t>
      </w:r>
      <w:r>
        <w:rPr>
          <w:rFonts w:hint="default" w:ascii="Times New Roman" w:hAnsi="Times New Roman" w:cs="Times New Roman"/>
          <w:szCs w:val="32"/>
        </w:rPr>
        <w:t>年末，</w:t>
      </w:r>
      <w:r>
        <w:rPr>
          <w:rFonts w:hint="eastAsia" w:cs="Times New Roman"/>
          <w:szCs w:val="32"/>
          <w:lang w:val="en-US" w:eastAsia="zh-CN"/>
        </w:rPr>
        <w:t>办公室共有编制113名，其中行政编制44名、事业编制63名、行政工勤编制6名。现有</w:t>
      </w:r>
      <w:r>
        <w:rPr>
          <w:rFonts w:hint="eastAsia" w:ascii="Times New Roman" w:hAnsi="Times New Roman" w:eastAsia="仿宋_GB2312" w:cs="Times New Roman"/>
          <w:color w:val="auto"/>
          <w:sz w:val="32"/>
          <w:szCs w:val="32"/>
        </w:rPr>
        <w:t>在职人员</w:t>
      </w:r>
      <w:r>
        <w:rPr>
          <w:rFonts w:hint="eastAsia" w:cs="Times New Roman"/>
          <w:color w:val="auto"/>
          <w:sz w:val="32"/>
          <w:szCs w:val="32"/>
          <w:lang w:val="en-US" w:eastAsia="zh-CN"/>
        </w:rPr>
        <w:t>102</w:t>
      </w:r>
      <w:r>
        <w:rPr>
          <w:rFonts w:hint="eastAsia" w:ascii="Times New Roman" w:hAnsi="Times New Roman" w:eastAsia="仿宋_GB2312" w:cs="Times New Roman"/>
          <w:color w:val="auto"/>
          <w:sz w:val="32"/>
          <w:szCs w:val="32"/>
        </w:rPr>
        <w:t>人，其中行政编制4</w:t>
      </w:r>
      <w:r>
        <w:rPr>
          <w:rFonts w:hint="eastAsia" w:cs="Times New Roman"/>
          <w:color w:val="auto"/>
          <w:sz w:val="32"/>
          <w:szCs w:val="32"/>
          <w:lang w:val="en-US" w:eastAsia="zh-CN"/>
        </w:rPr>
        <w:t>2</w:t>
      </w:r>
      <w:r>
        <w:rPr>
          <w:rFonts w:hint="eastAsia" w:ascii="Times New Roman" w:hAnsi="Times New Roman" w:eastAsia="仿宋_GB2312" w:cs="Times New Roman"/>
          <w:color w:val="auto"/>
          <w:sz w:val="32"/>
          <w:szCs w:val="32"/>
        </w:rPr>
        <w:t>人，行政工勤编制6人，事业编制</w:t>
      </w:r>
      <w:r>
        <w:rPr>
          <w:rFonts w:hint="eastAsia" w:cs="Times New Roman"/>
          <w:color w:val="auto"/>
          <w:sz w:val="32"/>
          <w:szCs w:val="32"/>
          <w:lang w:val="en-US" w:eastAsia="zh-CN"/>
        </w:rPr>
        <w:t>54</w:t>
      </w:r>
      <w:r>
        <w:rPr>
          <w:rFonts w:hint="eastAsia" w:ascii="Times New Roman" w:hAnsi="Times New Roman" w:eastAsia="仿宋_GB2312" w:cs="Times New Roman"/>
          <w:color w:val="auto"/>
          <w:sz w:val="32"/>
          <w:szCs w:val="32"/>
        </w:rPr>
        <w:t>人。</w:t>
      </w:r>
    </w:p>
    <w:p w14:paraId="78051992">
      <w:pPr>
        <w:keepNext w:val="0"/>
        <w:keepLines w:val="0"/>
        <w:pageBreakBefore w:val="0"/>
        <w:widowControl/>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default" w:ascii="Times New Roman" w:hAnsi="Times New Roman" w:eastAsia="黑体" w:cs="Times New Roman"/>
          <w:color w:val="000000"/>
          <w:kern w:val="0"/>
          <w:szCs w:val="32"/>
          <w:highlight w:val="none"/>
          <w:shd w:val="clear" w:color="auto" w:fill="FFFFFF"/>
        </w:rPr>
      </w:pPr>
      <w:r>
        <w:rPr>
          <w:rFonts w:hint="default" w:ascii="Times New Roman" w:hAnsi="Times New Roman" w:eastAsia="黑体" w:cs="Times New Roman"/>
          <w:color w:val="000000"/>
          <w:kern w:val="0"/>
          <w:szCs w:val="32"/>
          <w:highlight w:val="none"/>
          <w:shd w:val="clear" w:color="auto" w:fill="FFFFFF"/>
        </w:rPr>
        <w:t>二、</w:t>
      </w:r>
      <w:r>
        <w:rPr>
          <w:rFonts w:hint="default" w:ascii="Times New Roman" w:hAnsi="Times New Roman" w:eastAsia="黑体" w:cs="Times New Roman"/>
          <w:color w:val="000000"/>
          <w:kern w:val="0"/>
          <w:szCs w:val="32"/>
          <w:highlight w:val="none"/>
          <w:shd w:val="clear" w:color="auto" w:fill="FFFFFF"/>
          <w:lang w:eastAsia="zh-CN"/>
        </w:rPr>
        <w:t>部门</w:t>
      </w:r>
      <w:r>
        <w:rPr>
          <w:rFonts w:hint="default" w:ascii="Times New Roman" w:hAnsi="Times New Roman" w:eastAsia="黑体" w:cs="Times New Roman"/>
          <w:color w:val="000000"/>
          <w:kern w:val="0"/>
          <w:szCs w:val="32"/>
          <w:highlight w:val="none"/>
          <w:shd w:val="clear" w:color="auto" w:fill="FFFFFF"/>
        </w:rPr>
        <w:t>资金收支情况</w:t>
      </w:r>
    </w:p>
    <w:p w14:paraId="220A166E">
      <w:pPr>
        <w:keepNext w:val="0"/>
        <w:keepLines w:val="0"/>
        <w:pageBreakBefore w:val="0"/>
        <w:kinsoku/>
        <w:wordWrap/>
        <w:overflowPunct/>
        <w:topLinePunct w:val="0"/>
        <w:autoSpaceDE/>
        <w:autoSpaceDN/>
        <w:bidi w:val="0"/>
        <w:spacing w:line="578" w:lineRule="exact"/>
        <w:ind w:firstLine="643" w:firstLineChars="200"/>
        <w:textAlignment w:val="auto"/>
        <w:rPr>
          <w:rFonts w:hint="eastAsia" w:eastAsia="楷体_GB2312" w:cs="Times New Roman"/>
          <w:b/>
          <w:bCs/>
          <w:color w:val="000000"/>
          <w:kern w:val="0"/>
          <w:szCs w:val="32"/>
          <w:highlight w:val="none"/>
          <w:shd w:val="clear" w:color="auto" w:fill="FFFFFF"/>
          <w:lang w:val="zh-CN"/>
        </w:rPr>
      </w:pPr>
      <w:r>
        <w:rPr>
          <w:rFonts w:hint="default" w:ascii="Times New Roman" w:hAnsi="Times New Roman" w:eastAsia="楷体_GB2312" w:cs="Times New Roman"/>
          <w:b/>
          <w:bCs/>
          <w:color w:val="000000"/>
          <w:kern w:val="0"/>
          <w:szCs w:val="32"/>
          <w:highlight w:val="none"/>
          <w:shd w:val="clear" w:color="auto" w:fill="FFFFFF"/>
          <w:lang w:val="zh-CN"/>
        </w:rPr>
        <w:t>（一）</w:t>
      </w:r>
      <w:r>
        <w:rPr>
          <w:rFonts w:hint="eastAsia" w:eastAsia="楷体_GB2312" w:cs="Times New Roman"/>
          <w:b/>
          <w:bCs/>
          <w:color w:val="000000"/>
          <w:kern w:val="0"/>
          <w:szCs w:val="32"/>
          <w:highlight w:val="none"/>
          <w:shd w:val="clear" w:color="auto" w:fill="FFFFFF"/>
          <w:lang w:val="zh-CN"/>
        </w:rPr>
        <w:t>收入情况</w:t>
      </w:r>
    </w:p>
    <w:p w14:paraId="1990902F">
      <w:pPr>
        <w:keepNext w:val="0"/>
        <w:keepLines w:val="0"/>
        <w:pageBreakBefore w:val="0"/>
        <w:kinsoku/>
        <w:wordWrap/>
        <w:overflowPunct/>
        <w:topLinePunct w:val="0"/>
        <w:autoSpaceDE/>
        <w:autoSpaceDN/>
        <w:bidi w:val="0"/>
        <w:spacing w:line="578"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202</w:t>
      </w:r>
      <w:r>
        <w:rPr>
          <w:rFonts w:hint="eastAsia" w:cs="Times New Roman"/>
          <w:sz w:val="32"/>
          <w:szCs w:val="32"/>
          <w:lang w:val="en-US" w:eastAsia="zh-CN"/>
        </w:rPr>
        <w:t>4</w:t>
      </w:r>
      <w:r>
        <w:rPr>
          <w:rFonts w:hint="eastAsia" w:ascii="Times New Roman" w:hAnsi="Times New Roman" w:eastAsia="仿宋_GB2312" w:cs="Times New Roman"/>
          <w:sz w:val="32"/>
          <w:szCs w:val="32"/>
        </w:rPr>
        <w:t>年年初预算收</w:t>
      </w:r>
      <w:r>
        <w:rPr>
          <w:rFonts w:hint="eastAsia" w:cs="Times New Roman"/>
          <w:sz w:val="32"/>
          <w:szCs w:val="32"/>
          <w:lang w:val="en-US" w:eastAsia="zh-CN"/>
        </w:rPr>
        <w:t>入2361.58</w:t>
      </w:r>
      <w:r>
        <w:rPr>
          <w:rFonts w:hint="eastAsia" w:ascii="Times New Roman" w:hAnsi="Times New Roman" w:eastAsia="仿宋_GB2312" w:cs="Times New Roman"/>
          <w:sz w:val="32"/>
          <w:szCs w:val="32"/>
        </w:rPr>
        <w:t>万元，</w:t>
      </w:r>
      <w:r>
        <w:rPr>
          <w:rFonts w:hint="eastAsia" w:cs="Times New Roman"/>
          <w:sz w:val="32"/>
          <w:szCs w:val="32"/>
          <w:lang w:val="en-US" w:eastAsia="zh-CN"/>
        </w:rPr>
        <w:t>其中</w:t>
      </w:r>
      <w:r>
        <w:rPr>
          <w:rFonts w:hint="eastAsia" w:ascii="Times New Roman" w:hAnsi="Times New Roman" w:eastAsia="仿宋_GB2312" w:cs="Times New Roman"/>
          <w:sz w:val="32"/>
          <w:szCs w:val="32"/>
        </w:rPr>
        <w:t>一般公共预算财政拨款收入</w:t>
      </w:r>
      <w:r>
        <w:rPr>
          <w:rFonts w:hint="eastAsia" w:cs="Times New Roman"/>
          <w:sz w:val="32"/>
          <w:szCs w:val="32"/>
          <w:lang w:val="en-US" w:eastAsia="zh-CN"/>
        </w:rPr>
        <w:t>1430.82万元，政府性基金财政拨款收入930.76万元。</w:t>
      </w:r>
      <w:r>
        <w:rPr>
          <w:rFonts w:hint="eastAsia" w:ascii="Times New Roman" w:hAnsi="Times New Roman" w:eastAsia="仿宋_GB2312" w:cs="Times New Roman"/>
          <w:sz w:val="32"/>
          <w:szCs w:val="32"/>
        </w:rPr>
        <w:t>202</w:t>
      </w:r>
      <w:r>
        <w:rPr>
          <w:rFonts w:hint="eastAsia" w:cs="Times New Roman"/>
          <w:sz w:val="32"/>
          <w:szCs w:val="32"/>
          <w:lang w:val="en-US" w:eastAsia="zh-CN"/>
        </w:rPr>
        <w:t>4</w:t>
      </w:r>
      <w:r>
        <w:rPr>
          <w:rFonts w:hint="eastAsia" w:ascii="Times New Roman" w:hAnsi="Times New Roman" w:eastAsia="仿宋_GB2312" w:cs="Times New Roman"/>
          <w:sz w:val="32"/>
          <w:szCs w:val="32"/>
        </w:rPr>
        <w:t>年决算收入</w:t>
      </w:r>
      <w:r>
        <w:rPr>
          <w:rFonts w:hint="eastAsia" w:cs="Times New Roman"/>
          <w:sz w:val="32"/>
          <w:szCs w:val="32"/>
          <w:lang w:val="en-US" w:eastAsia="zh-CN"/>
        </w:rPr>
        <w:t>2289.41</w:t>
      </w:r>
      <w:r>
        <w:rPr>
          <w:rFonts w:hint="eastAsia" w:ascii="Times New Roman" w:hAnsi="Times New Roman" w:eastAsia="仿宋_GB2312" w:cs="Times New Roman"/>
          <w:sz w:val="32"/>
          <w:szCs w:val="32"/>
        </w:rPr>
        <w:t>万元，其中一般公共预算财政拨款收入</w:t>
      </w:r>
      <w:r>
        <w:rPr>
          <w:rFonts w:hint="eastAsia" w:cs="Times New Roman"/>
          <w:sz w:val="32"/>
          <w:szCs w:val="32"/>
          <w:lang w:val="en-US" w:eastAsia="zh-CN"/>
        </w:rPr>
        <w:t>1457.44</w:t>
      </w:r>
      <w:r>
        <w:rPr>
          <w:rFonts w:hint="eastAsia" w:ascii="Times New Roman" w:hAnsi="Times New Roman" w:eastAsia="仿宋_GB2312" w:cs="Times New Roman"/>
          <w:sz w:val="32"/>
          <w:szCs w:val="32"/>
        </w:rPr>
        <w:t>万元，</w:t>
      </w:r>
      <w:r>
        <w:rPr>
          <w:rFonts w:hint="eastAsia" w:ascii="仿宋" w:hAnsi="仿宋" w:eastAsia="仿宋" w:cs="仿宋"/>
          <w:color w:val="auto"/>
          <w:lang w:val="en-US" w:eastAsia="zh-CN"/>
        </w:rPr>
        <w:t>政府性基金</w:t>
      </w:r>
      <w:r>
        <w:rPr>
          <w:rFonts w:hint="eastAsia" w:ascii="Times New Roman" w:hAnsi="Times New Roman" w:eastAsia="仿宋_GB2312" w:cs="Times New Roman"/>
          <w:sz w:val="32"/>
          <w:szCs w:val="32"/>
        </w:rPr>
        <w:t>预算财政</w:t>
      </w:r>
      <w:r>
        <w:rPr>
          <w:rFonts w:hint="eastAsia" w:ascii="仿宋" w:hAnsi="仿宋" w:eastAsia="仿宋" w:cs="仿宋"/>
          <w:color w:val="auto"/>
          <w:lang w:val="en-US" w:eastAsia="zh-CN"/>
        </w:rPr>
        <w:t>拨款收入</w:t>
      </w:r>
      <w:r>
        <w:rPr>
          <w:rFonts w:hint="eastAsia" w:cs="Times New Roman"/>
          <w:sz w:val="32"/>
          <w:szCs w:val="32"/>
          <w:lang w:val="en-US" w:eastAsia="zh-CN"/>
        </w:rPr>
        <w:t>831.97</w:t>
      </w:r>
      <w:r>
        <w:rPr>
          <w:rFonts w:hint="eastAsia" w:ascii="仿宋" w:hAnsi="仿宋" w:eastAsia="仿宋" w:cs="仿宋"/>
          <w:color w:val="auto"/>
        </w:rPr>
        <w:t>万元</w:t>
      </w:r>
      <w:r>
        <w:rPr>
          <w:rFonts w:hint="eastAsia" w:ascii="Times New Roman" w:hAnsi="Times New Roman" w:eastAsia="仿宋_GB2312" w:cs="Times New Roman"/>
          <w:sz w:val="32"/>
          <w:szCs w:val="32"/>
        </w:rPr>
        <w:t>。</w:t>
      </w:r>
    </w:p>
    <w:p w14:paraId="06049D25">
      <w:pPr>
        <w:keepNext w:val="0"/>
        <w:keepLines w:val="0"/>
        <w:pageBreakBefore w:val="0"/>
        <w:numPr>
          <w:ilvl w:val="0"/>
          <w:numId w:val="2"/>
        </w:numPr>
        <w:kinsoku/>
        <w:wordWrap/>
        <w:overflowPunct/>
        <w:topLinePunct w:val="0"/>
        <w:autoSpaceDE/>
        <w:autoSpaceDN/>
        <w:bidi w:val="0"/>
        <w:spacing w:line="578" w:lineRule="exact"/>
        <w:ind w:left="-3" w:leftChars="0" w:firstLine="643" w:firstLineChars="0"/>
        <w:textAlignment w:val="auto"/>
        <w:rPr>
          <w:rFonts w:hint="default" w:ascii="Times New Roman" w:hAnsi="Times New Roman" w:eastAsia="仿宋_GB2312" w:cs="Times New Roman"/>
          <w:sz w:val="32"/>
          <w:szCs w:val="32"/>
          <w:lang w:val="en-US" w:eastAsia="zh-CN"/>
        </w:rPr>
      </w:pPr>
      <w:r>
        <w:rPr>
          <w:rFonts w:hint="eastAsia" w:eastAsia="楷体_GB2312" w:cs="Times New Roman"/>
          <w:b/>
          <w:bCs/>
          <w:color w:val="000000"/>
          <w:kern w:val="0"/>
          <w:szCs w:val="32"/>
          <w:highlight w:val="none"/>
          <w:shd w:val="clear" w:color="auto" w:fill="FFFFFF"/>
          <w:lang w:val="zh-CN"/>
        </w:rPr>
        <w:t>支出情况</w:t>
      </w:r>
    </w:p>
    <w:p w14:paraId="17D6BF85">
      <w:pPr>
        <w:keepNext w:val="0"/>
        <w:keepLines w:val="0"/>
        <w:pageBreakBefore w:val="0"/>
        <w:numPr>
          <w:ilvl w:val="0"/>
          <w:numId w:val="0"/>
        </w:numPr>
        <w:kinsoku/>
        <w:wordWrap/>
        <w:overflowPunct/>
        <w:topLinePunct w:val="0"/>
        <w:autoSpaceDE/>
        <w:autoSpaceDN/>
        <w:bidi w:val="0"/>
        <w:spacing w:line="578" w:lineRule="exact"/>
        <w:ind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zh-CN"/>
        </w:rPr>
        <w:t>202</w:t>
      </w:r>
      <w:r>
        <w:rPr>
          <w:rFonts w:hint="eastAsia" w:cs="Times New Roman"/>
          <w:sz w:val="32"/>
          <w:szCs w:val="32"/>
          <w:lang w:val="en-US" w:eastAsia="zh-CN"/>
        </w:rPr>
        <w:t>4</w:t>
      </w:r>
      <w:r>
        <w:rPr>
          <w:rFonts w:hint="eastAsia" w:ascii="Times New Roman" w:hAnsi="Times New Roman" w:eastAsia="仿宋_GB2312" w:cs="Times New Roman"/>
          <w:sz w:val="32"/>
          <w:szCs w:val="32"/>
          <w:lang w:val="zh-CN"/>
        </w:rPr>
        <w:t>年</w:t>
      </w:r>
      <w:r>
        <w:rPr>
          <w:rFonts w:hint="eastAsia" w:cs="Times New Roman"/>
          <w:sz w:val="32"/>
          <w:szCs w:val="32"/>
          <w:lang w:val="en-US" w:eastAsia="zh-CN"/>
        </w:rPr>
        <w:t>年初</w:t>
      </w:r>
      <w:r>
        <w:rPr>
          <w:rFonts w:hint="eastAsia" w:ascii="Times New Roman" w:hAnsi="Times New Roman" w:eastAsia="仿宋_GB2312" w:cs="Times New Roman"/>
          <w:sz w:val="32"/>
          <w:szCs w:val="32"/>
          <w:lang w:val="zh-CN"/>
        </w:rPr>
        <w:t>支出预算</w:t>
      </w:r>
      <w:r>
        <w:rPr>
          <w:rFonts w:hint="eastAsia" w:cs="Times New Roman"/>
          <w:sz w:val="32"/>
          <w:szCs w:val="32"/>
          <w:lang w:val="en-US" w:eastAsia="zh-CN"/>
        </w:rPr>
        <w:t>2361.58</w:t>
      </w:r>
      <w:r>
        <w:rPr>
          <w:rFonts w:hint="eastAsia" w:ascii="Times New Roman" w:hAnsi="Times New Roman" w:eastAsia="仿宋_GB2312" w:cs="Times New Roman"/>
          <w:sz w:val="32"/>
          <w:szCs w:val="32"/>
          <w:lang w:val="zh-CN"/>
        </w:rPr>
        <w:t>万元，其中：基本支出</w:t>
      </w:r>
      <w:r>
        <w:rPr>
          <w:rFonts w:hint="eastAsia" w:cs="Times New Roman"/>
          <w:sz w:val="32"/>
          <w:szCs w:val="32"/>
          <w:lang w:val="en-US" w:eastAsia="zh-CN"/>
        </w:rPr>
        <w:t>1334.64</w:t>
      </w:r>
      <w:r>
        <w:rPr>
          <w:rFonts w:hint="eastAsia" w:ascii="Times New Roman" w:hAnsi="Times New Roman" w:eastAsia="仿宋_GB2312" w:cs="Times New Roman"/>
          <w:sz w:val="32"/>
          <w:szCs w:val="32"/>
          <w:lang w:val="zh-CN"/>
        </w:rPr>
        <w:t>万元，项目支出</w:t>
      </w:r>
      <w:r>
        <w:rPr>
          <w:rFonts w:hint="eastAsia" w:cs="Times New Roman"/>
          <w:sz w:val="32"/>
          <w:szCs w:val="32"/>
          <w:lang w:val="en-US" w:eastAsia="zh-CN"/>
        </w:rPr>
        <w:t>1026.94</w:t>
      </w:r>
      <w:r>
        <w:rPr>
          <w:rFonts w:hint="eastAsia" w:ascii="Times New Roman" w:hAnsi="Times New Roman" w:eastAsia="仿宋_GB2312" w:cs="Times New Roman"/>
          <w:sz w:val="32"/>
          <w:szCs w:val="32"/>
          <w:lang w:val="zh-CN"/>
        </w:rPr>
        <w:t>万元。</w:t>
      </w:r>
      <w:r>
        <w:rPr>
          <w:rFonts w:hint="eastAsia" w:cs="Times New Roman"/>
          <w:sz w:val="32"/>
          <w:szCs w:val="32"/>
          <w:lang w:val="en-US" w:eastAsia="zh-CN"/>
        </w:rPr>
        <w:t>2024年决算支出2289.41万元，其中：基本支出1317.66万元，项目支出971.75万元。</w:t>
      </w:r>
    </w:p>
    <w:p w14:paraId="3107454F">
      <w:pPr>
        <w:keepNext w:val="0"/>
        <w:keepLines w:val="0"/>
        <w:pageBreakBefore w:val="0"/>
        <w:widowControl/>
        <w:numPr>
          <w:ilvl w:val="0"/>
          <w:numId w:val="2"/>
        </w:numPr>
        <w:kinsoku/>
        <w:wordWrap/>
        <w:overflowPunct/>
        <w:topLinePunct w:val="0"/>
        <w:autoSpaceDE/>
        <w:autoSpaceDN/>
        <w:bidi w:val="0"/>
        <w:adjustRightInd w:val="0"/>
        <w:snapToGrid w:val="0"/>
        <w:spacing w:line="578" w:lineRule="exact"/>
        <w:ind w:left="-3" w:leftChars="0" w:firstLine="643" w:firstLineChars="0"/>
        <w:contextualSpacing/>
        <w:jc w:val="left"/>
        <w:textAlignment w:val="auto"/>
        <w:outlineLvl w:val="9"/>
        <w:rPr>
          <w:rFonts w:hint="default" w:ascii="Times New Roman" w:hAnsi="Times New Roman" w:eastAsia="楷体_GB2312" w:cs="Times New Roman"/>
          <w:b/>
          <w:szCs w:val="32"/>
        </w:rPr>
      </w:pPr>
      <w:r>
        <w:rPr>
          <w:rFonts w:hint="default" w:ascii="Times New Roman" w:hAnsi="Times New Roman" w:eastAsia="楷体_GB2312" w:cs="Times New Roman"/>
          <w:b/>
          <w:szCs w:val="32"/>
        </w:rPr>
        <w:t>结余分配和结转结余情况</w:t>
      </w:r>
    </w:p>
    <w:p w14:paraId="742EDFDE">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default" w:ascii="Times New Roman" w:hAnsi="Times New Roman" w:eastAsia="仿宋_GB2312" w:cs="Times New Roman"/>
          <w:b w:val="0"/>
          <w:bCs w:val="0"/>
          <w:color w:val="000000"/>
          <w:kern w:val="0"/>
          <w:szCs w:val="32"/>
          <w:highlight w:val="none"/>
          <w:shd w:val="clear" w:color="auto" w:fill="FFFFFF"/>
          <w:lang w:val="zh-CN" w:eastAsia="zh-CN"/>
        </w:rPr>
      </w:pPr>
      <w:r>
        <w:rPr>
          <w:rFonts w:hint="eastAsia" w:cs="Times New Roman"/>
          <w:szCs w:val="32"/>
          <w:lang w:val="en-US" w:eastAsia="zh-CN"/>
        </w:rPr>
        <w:t>2024年无预算</w:t>
      </w:r>
      <w:r>
        <w:rPr>
          <w:rFonts w:hint="default" w:ascii="Times New Roman" w:hAnsi="Times New Roman" w:eastAsia="仿宋_GB2312" w:cs="Times New Roman"/>
          <w:b w:val="0"/>
          <w:bCs w:val="0"/>
          <w:color w:val="000000"/>
          <w:kern w:val="0"/>
          <w:szCs w:val="32"/>
          <w:highlight w:val="none"/>
          <w:shd w:val="clear" w:color="auto" w:fill="FFFFFF"/>
          <w:lang w:val="en-US" w:eastAsia="zh-CN"/>
        </w:rPr>
        <w:t>结转</w:t>
      </w:r>
      <w:r>
        <w:rPr>
          <w:rFonts w:hint="eastAsia" w:cs="Times New Roman"/>
          <w:b w:val="0"/>
          <w:bCs w:val="0"/>
          <w:color w:val="000000"/>
          <w:kern w:val="0"/>
          <w:szCs w:val="32"/>
          <w:highlight w:val="none"/>
          <w:shd w:val="clear" w:color="auto" w:fill="FFFFFF"/>
          <w:lang w:val="en-US" w:eastAsia="zh-CN"/>
        </w:rPr>
        <w:t>结余</w:t>
      </w:r>
      <w:r>
        <w:rPr>
          <w:rFonts w:hint="default" w:ascii="Times New Roman" w:hAnsi="Times New Roman" w:eastAsia="仿宋_GB2312" w:cs="Times New Roman"/>
          <w:b w:val="0"/>
          <w:bCs w:val="0"/>
          <w:color w:val="000000"/>
          <w:kern w:val="0"/>
          <w:szCs w:val="32"/>
          <w:highlight w:val="none"/>
          <w:shd w:val="clear" w:color="auto" w:fill="FFFFFF"/>
          <w:lang w:val="en-US" w:eastAsia="zh-CN"/>
        </w:rPr>
        <w:t>。</w:t>
      </w:r>
    </w:p>
    <w:p w14:paraId="2B47A094">
      <w:pPr>
        <w:keepNext w:val="0"/>
        <w:keepLines w:val="0"/>
        <w:pageBreakBefore w:val="0"/>
        <w:widowControl/>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default" w:ascii="Times New Roman" w:hAnsi="Times New Roman" w:eastAsia="黑体" w:cs="Times New Roman"/>
          <w:color w:val="000000" w:themeColor="text1"/>
          <w:kern w:val="0"/>
          <w:szCs w:val="32"/>
          <w:highlight w:val="none"/>
          <w:shd w:val="clear" w:color="auto" w:fill="FFFFFF"/>
          <w14:textFill>
            <w14:solidFill>
              <w14:schemeClr w14:val="tx1"/>
            </w14:solidFill>
          </w14:textFill>
        </w:rPr>
      </w:pPr>
      <w:r>
        <w:rPr>
          <w:rFonts w:hint="default" w:ascii="Times New Roman" w:hAnsi="Times New Roman" w:eastAsia="黑体" w:cs="Times New Roman"/>
          <w:color w:val="000000"/>
          <w:kern w:val="0"/>
          <w:szCs w:val="32"/>
          <w:highlight w:val="none"/>
          <w:shd w:val="clear" w:color="auto" w:fill="FFFFFF"/>
        </w:rPr>
        <w:t>三、</w:t>
      </w:r>
      <w:r>
        <w:rPr>
          <w:rFonts w:hint="default" w:ascii="Times New Roman" w:hAnsi="Times New Roman" w:eastAsia="黑体" w:cs="Times New Roman"/>
          <w:color w:val="000000"/>
          <w:kern w:val="0"/>
          <w:szCs w:val="32"/>
          <w:highlight w:val="none"/>
          <w:u w:val="none"/>
          <w:shd w:val="clear" w:color="auto" w:fill="FFFFFF"/>
        </w:rPr>
        <w:t>部门</w:t>
      </w:r>
      <w:r>
        <w:rPr>
          <w:rFonts w:hint="default" w:ascii="Times New Roman" w:hAnsi="Times New Roman" w:eastAsia="黑体" w:cs="Times New Roman"/>
          <w:color w:val="000000"/>
          <w:kern w:val="0"/>
          <w:szCs w:val="32"/>
          <w:highlight w:val="none"/>
          <w:u w:val="none"/>
          <w:shd w:val="clear" w:color="auto" w:fill="FFFFFF"/>
          <w:lang w:eastAsia="zh-CN"/>
        </w:rPr>
        <w:t>预算</w:t>
      </w:r>
      <w:r>
        <w:rPr>
          <w:rFonts w:hint="default" w:ascii="Times New Roman" w:hAnsi="Times New Roman" w:eastAsia="黑体" w:cs="Times New Roman"/>
          <w:color w:val="000000"/>
          <w:kern w:val="0"/>
          <w:szCs w:val="32"/>
          <w:highlight w:val="none"/>
          <w:u w:val="none"/>
          <w:shd w:val="clear" w:color="auto" w:fill="FFFFFF"/>
        </w:rPr>
        <w:t>绩效</w:t>
      </w:r>
      <w:r>
        <w:rPr>
          <w:rFonts w:hint="default" w:ascii="Times New Roman" w:hAnsi="Times New Roman" w:eastAsia="黑体" w:cs="Times New Roman"/>
          <w:color w:val="000000"/>
          <w:kern w:val="0"/>
          <w:szCs w:val="32"/>
          <w:highlight w:val="none"/>
          <w:u w:val="none"/>
          <w:shd w:val="clear" w:color="auto" w:fill="FFFFFF"/>
          <w:lang w:eastAsia="zh-CN"/>
        </w:rPr>
        <w:t>分析</w:t>
      </w:r>
    </w:p>
    <w:p w14:paraId="127B4A16">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3" w:firstLineChars="200"/>
        <w:contextualSpacing/>
        <w:jc w:val="left"/>
        <w:textAlignment w:val="auto"/>
        <w:outlineLvl w:val="9"/>
        <w:rPr>
          <w:rFonts w:hint="eastAsia" w:ascii="Times New Roman" w:hAnsi="Times New Roman" w:eastAsia="楷体_GB2312" w:cs="Times New Roman"/>
          <w:color w:val="000000"/>
          <w:kern w:val="0"/>
          <w:szCs w:val="32"/>
          <w:highlight w:val="none"/>
          <w:shd w:val="clear" w:color="auto" w:fill="FFFFFF"/>
          <w:lang w:val="en-US" w:eastAsia="zh-CN"/>
        </w:rPr>
      </w:pPr>
      <w:r>
        <w:rPr>
          <w:rFonts w:hint="default" w:ascii="Times New Roman" w:hAnsi="Times New Roman" w:eastAsia="楷体_GB2312" w:cs="Times New Roman"/>
          <w:b/>
          <w:bCs/>
          <w:color w:val="000000"/>
          <w:kern w:val="0"/>
          <w:szCs w:val="32"/>
          <w:highlight w:val="none"/>
          <w:shd w:val="clear" w:color="auto" w:fill="FFFFFF"/>
          <w:lang w:val="zh-CN"/>
        </w:rPr>
        <w:t>（一）</w:t>
      </w:r>
      <w:r>
        <w:rPr>
          <w:rFonts w:hint="eastAsia" w:eastAsia="楷体_GB2312" w:cs="Times New Roman"/>
          <w:b/>
          <w:bCs/>
          <w:color w:val="000000"/>
          <w:kern w:val="0"/>
          <w:szCs w:val="32"/>
          <w:highlight w:val="none"/>
          <w:shd w:val="clear" w:color="auto" w:fill="FFFFFF"/>
          <w:lang w:val="zh-CN"/>
        </w:rPr>
        <w:t>部门预算</w:t>
      </w:r>
      <w:r>
        <w:rPr>
          <w:rFonts w:hint="default" w:ascii="Times New Roman" w:hAnsi="Times New Roman" w:eastAsia="楷体_GB2312" w:cs="Times New Roman"/>
          <w:b/>
          <w:bCs/>
          <w:color w:val="000000"/>
          <w:kern w:val="0"/>
          <w:szCs w:val="32"/>
          <w:highlight w:val="none"/>
          <w:shd w:val="clear" w:color="auto" w:fill="FFFFFF"/>
          <w:lang w:val="zh-CN"/>
        </w:rPr>
        <w:t>总体绩效分析</w:t>
      </w:r>
      <w:r>
        <w:rPr>
          <w:rFonts w:hint="eastAsia" w:eastAsia="楷体_GB2312" w:cs="Times New Roman"/>
          <w:b/>
          <w:bCs/>
          <w:color w:val="000000"/>
          <w:kern w:val="0"/>
          <w:szCs w:val="32"/>
          <w:highlight w:val="none"/>
          <w:shd w:val="clear" w:color="auto" w:fill="FFFFFF"/>
          <w:lang w:val="en-US" w:eastAsia="zh-CN"/>
        </w:rPr>
        <w:t xml:space="preserve"> </w:t>
      </w:r>
    </w:p>
    <w:p w14:paraId="1951312D">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eastAsia" w:ascii="仿宋_GB2312" w:hAnsi="仿宋_GB2312" w:cs="仿宋_GB2312"/>
          <w:sz w:val="32"/>
          <w:szCs w:val="32"/>
          <w:lang w:val="en-US" w:eastAsia="zh-CN"/>
        </w:rPr>
      </w:pPr>
      <w:r>
        <w:rPr>
          <w:rFonts w:hint="eastAsia" w:ascii="楷体_GB2312" w:hAnsi="楷体_GB2312" w:eastAsia="楷体_GB2312" w:cs="楷体_GB2312"/>
          <w:color w:val="000000"/>
          <w:kern w:val="0"/>
          <w:szCs w:val="32"/>
          <w:highlight w:val="none"/>
          <w:shd w:val="clear" w:color="auto" w:fill="FFFFFF"/>
          <w:lang w:val="en-US" w:eastAsia="zh-CN"/>
        </w:rPr>
        <w:t>1</w:t>
      </w:r>
      <w:r>
        <w:rPr>
          <w:rFonts w:hint="eastAsia" w:ascii="楷体_GB2312" w:hAnsi="仿宋_GB2312" w:eastAsia="楷体_GB2312" w:cs="仿宋_GB2312"/>
          <w:b/>
          <w:sz w:val="32"/>
          <w:szCs w:val="32"/>
          <w:lang w:val="en-US" w:eastAsia="zh-CN"/>
        </w:rPr>
        <w:t>.</w:t>
      </w:r>
      <w:r>
        <w:rPr>
          <w:rFonts w:hint="eastAsia" w:ascii="楷体_GB2312" w:hAnsi="仿宋_GB2312" w:eastAsia="楷体_GB2312" w:cs="仿宋_GB2312"/>
          <w:b/>
          <w:sz w:val="32"/>
          <w:szCs w:val="32"/>
          <w:lang w:val="zh-CN"/>
        </w:rPr>
        <w:t>履职效能。</w:t>
      </w:r>
      <w:r>
        <w:rPr>
          <w:rFonts w:hint="eastAsia" w:ascii="仿宋_GB2312" w:hAnsi="仿宋_GB2312" w:eastAsia="仿宋_GB2312" w:cs="仿宋_GB2312"/>
          <w:sz w:val="32"/>
          <w:szCs w:val="32"/>
        </w:rPr>
        <w:t>202</w:t>
      </w:r>
      <w:r>
        <w:rPr>
          <w:rFonts w:hint="eastAsia" w:ascii="仿宋_GB2312" w:hAnsi="仿宋_GB2312" w:cs="仿宋_GB2312"/>
          <w:sz w:val="32"/>
          <w:szCs w:val="32"/>
          <w:lang w:val="en-US" w:eastAsia="zh-CN"/>
        </w:rPr>
        <w:t>4</w:t>
      </w:r>
      <w:r>
        <w:rPr>
          <w:rFonts w:hint="eastAsia" w:ascii="仿宋_GB2312" w:hAnsi="仿宋_GB2312" w:eastAsia="仿宋_GB2312" w:cs="仿宋_GB2312"/>
          <w:sz w:val="32"/>
          <w:szCs w:val="32"/>
        </w:rPr>
        <w:t>年，在县委、县政府的正确领导下，在市政府办公室的关心支持下，我办紧扣全市、全县重点工作和发展思路，秉承“服务大局、以文辅政、协调各方、高效运转、当好参谋、抓好落实”的工作理念，忠诚履职，勇于担当，较好地完成了各项工作任务，为全县经济社会高质量发展作出了积极贡献</w:t>
      </w:r>
      <w:r>
        <w:rPr>
          <w:rFonts w:hint="eastAsia" w:ascii="仿宋_GB2312" w:hAnsi="仿宋_GB2312" w:cs="仿宋_GB2312"/>
          <w:sz w:val="32"/>
          <w:szCs w:val="32"/>
          <w:lang w:eastAsia="zh-CN"/>
        </w:rPr>
        <w:t>。</w:t>
      </w:r>
      <w:r>
        <w:rPr>
          <w:rFonts w:hint="eastAsia" w:ascii="仿宋_GB2312" w:hAnsi="仿宋_GB2312" w:cs="仿宋_GB2312"/>
          <w:sz w:val="32"/>
          <w:szCs w:val="32"/>
          <w:lang w:val="en-US" w:eastAsia="zh-CN"/>
        </w:rPr>
        <w:t>一是讲政治、强学习，牢牢把握正确政治方向。二是突出思想引领抓学习。顾大局、强服务，充分发挥参谋辅政作用。三是积极沟通协调，保证工作质效。提质效、强保障，切实提升服务大局能力。</w:t>
      </w:r>
    </w:p>
    <w:p w14:paraId="7DFBF2C4">
      <w:pPr>
        <w:keepNext w:val="0"/>
        <w:keepLines w:val="0"/>
        <w:pageBreakBefore w:val="0"/>
        <w:widowControl w:val="0"/>
        <w:kinsoku/>
        <w:wordWrap/>
        <w:overflowPunct/>
        <w:topLinePunct w:val="0"/>
        <w:autoSpaceDE/>
        <w:autoSpaceDN/>
        <w:bidi w:val="0"/>
        <w:adjustRightInd/>
        <w:snapToGrid/>
        <w:spacing w:line="578" w:lineRule="exact"/>
        <w:ind w:firstLine="643" w:firstLineChars="200"/>
        <w:textAlignment w:val="auto"/>
        <w:rPr>
          <w:rFonts w:hint="eastAsia" w:ascii="楷体_GB2312" w:hAnsi="楷体_GB2312" w:eastAsia="楷体_GB2312" w:cs="楷体_GB2312"/>
          <w:b/>
          <w:bCs/>
          <w:color w:val="000000"/>
          <w:kern w:val="0"/>
          <w:szCs w:val="32"/>
          <w:highlight w:val="none"/>
          <w:shd w:val="clear" w:color="auto" w:fill="FFFFFF"/>
          <w:lang w:val="zh-CN"/>
        </w:rPr>
      </w:pPr>
      <w:r>
        <w:rPr>
          <w:rFonts w:hint="eastAsia" w:ascii="楷体_GB2312" w:hAnsi="楷体_GB2312" w:eastAsia="楷体_GB2312" w:cs="楷体_GB2312"/>
          <w:b/>
          <w:bCs/>
          <w:color w:val="000000"/>
          <w:kern w:val="0"/>
          <w:szCs w:val="32"/>
          <w:highlight w:val="none"/>
          <w:shd w:val="clear" w:color="auto" w:fill="FFFFFF"/>
          <w:lang w:val="en-US" w:eastAsia="zh-CN"/>
        </w:rPr>
        <w:t>2.</w:t>
      </w:r>
      <w:r>
        <w:rPr>
          <w:rFonts w:hint="default" w:ascii="楷体_GB2312" w:hAnsi="楷体_GB2312" w:eastAsia="楷体_GB2312" w:cs="楷体_GB2312"/>
          <w:b/>
          <w:bCs/>
          <w:color w:val="000000"/>
          <w:kern w:val="0"/>
          <w:szCs w:val="32"/>
          <w:highlight w:val="none"/>
          <w:shd w:val="clear" w:color="auto" w:fill="FFFFFF"/>
          <w:lang w:val="zh-CN"/>
        </w:rPr>
        <w:t>预算管理</w:t>
      </w:r>
      <w:r>
        <w:rPr>
          <w:rFonts w:hint="eastAsia" w:ascii="楷体_GB2312" w:hAnsi="楷体_GB2312" w:eastAsia="楷体_GB2312" w:cs="楷体_GB2312"/>
          <w:b/>
          <w:bCs/>
          <w:color w:val="000000"/>
          <w:kern w:val="0"/>
          <w:szCs w:val="32"/>
          <w:highlight w:val="none"/>
          <w:shd w:val="clear" w:color="auto" w:fill="FFFFFF"/>
          <w:lang w:val="zh-CN"/>
        </w:rPr>
        <w:t>。</w:t>
      </w:r>
    </w:p>
    <w:p w14:paraId="54E4DCFD">
      <w:pPr>
        <w:keepNext w:val="0"/>
        <w:keepLines w:val="0"/>
        <w:pageBreakBefore w:val="0"/>
        <w:kinsoku/>
        <w:wordWrap/>
        <w:overflowPunct/>
        <w:topLinePunct w:val="0"/>
        <w:autoSpaceDE/>
        <w:autoSpaceDN/>
        <w:bidi w:val="0"/>
        <w:adjustRightInd w:val="0"/>
        <w:snapToGrid w:val="0"/>
        <w:spacing w:line="578" w:lineRule="exact"/>
        <w:ind w:firstLine="640" w:firstLineChars="200"/>
        <w:contextualSpacing/>
        <w:textAlignment w:val="auto"/>
        <w:rPr>
          <w:color w:val="000000"/>
          <w:kern w:val="0"/>
          <w:szCs w:val="32"/>
          <w:shd w:val="clear" w:color="auto" w:fill="FFFFFF"/>
          <w:lang w:val="zh-CN"/>
        </w:rPr>
      </w:pPr>
      <w:r>
        <w:rPr>
          <w:rFonts w:hint="eastAsia"/>
          <w:color w:val="000000"/>
          <w:kern w:val="0"/>
          <w:szCs w:val="32"/>
          <w:shd w:val="clear" w:color="auto" w:fill="FFFFFF"/>
          <w:lang w:val="zh-CN"/>
        </w:rPr>
        <w:t>（1）预算编制。</w:t>
      </w:r>
      <w:r>
        <w:rPr>
          <w:rFonts w:hint="eastAsia" w:ascii="Times New Roman" w:hAnsi="Times New Roman" w:cs="Times New Roman"/>
          <w:color w:val="000000"/>
          <w:kern w:val="0"/>
          <w:szCs w:val="32"/>
          <w:highlight w:val="none"/>
          <w:shd w:val="clear" w:color="auto" w:fill="FFFFFF"/>
          <w:lang w:val="en-US" w:eastAsia="zh-CN"/>
        </w:rPr>
        <w:t>我办</w:t>
      </w:r>
      <w:r>
        <w:rPr>
          <w:rFonts w:hint="eastAsia" w:cs="Times New Roman"/>
          <w:color w:val="auto"/>
          <w:kern w:val="0"/>
          <w:szCs w:val="32"/>
          <w:highlight w:val="none"/>
          <w:shd w:val="clear" w:color="auto" w:fill="FFFFFF"/>
          <w:lang w:val="en-US" w:eastAsia="zh-CN"/>
        </w:rPr>
        <w:t>严</w:t>
      </w:r>
      <w:r>
        <w:rPr>
          <w:rFonts w:hint="eastAsia" w:cs="Times New Roman"/>
          <w:color w:val="000000"/>
          <w:kern w:val="0"/>
          <w:szCs w:val="32"/>
          <w:highlight w:val="none"/>
          <w:shd w:val="clear" w:color="auto" w:fill="FFFFFF"/>
          <w:lang w:val="en-US" w:eastAsia="zh-CN"/>
        </w:rPr>
        <w:t>格按照</w:t>
      </w:r>
      <w:r>
        <w:rPr>
          <w:rFonts w:hint="eastAsia" w:ascii="仿宋_GB2312" w:hAnsi="仿宋_GB2312" w:eastAsia="仿宋_GB2312" w:cs="仿宋_GB2312"/>
          <w:sz w:val="32"/>
          <w:szCs w:val="32"/>
          <w:lang w:val="en-US" w:eastAsia="zh-CN"/>
        </w:rPr>
        <w:t>县财政局部门预算编制通知和有关要求，</w:t>
      </w:r>
      <w:r>
        <w:rPr>
          <w:rFonts w:hint="eastAsia" w:ascii="方正仿宋_GBK" w:hAnsi="方正仿宋_GBK" w:eastAsia="方正仿宋_GBK" w:cs="方正仿宋_GBK"/>
          <w:sz w:val="32"/>
          <w:szCs w:val="32"/>
          <w:lang w:val="en-US" w:eastAsia="zh-CN"/>
        </w:rPr>
        <w:t>采用零基预算方法，根据上年度的预算执行情况和本年度经济发展情况，综合考虑各方面因素，</w:t>
      </w:r>
      <w:r>
        <w:rPr>
          <w:rFonts w:hint="eastAsia" w:ascii="仿宋_GB2312" w:hAnsi="仿宋_GB2312" w:eastAsia="仿宋_GB2312" w:cs="仿宋_GB2312"/>
          <w:sz w:val="32"/>
          <w:szCs w:val="32"/>
          <w:lang w:val="en-US" w:eastAsia="zh-CN"/>
        </w:rPr>
        <w:t>编制了</w:t>
      </w:r>
      <w:r>
        <w:rPr>
          <w:rFonts w:hint="eastAsia" w:ascii="仿宋_GB2312" w:hAnsi="仿宋_GB2312" w:cs="仿宋_GB2312"/>
          <w:sz w:val="32"/>
          <w:szCs w:val="32"/>
          <w:lang w:val="en-US" w:eastAsia="zh-CN"/>
        </w:rPr>
        <w:t>渠县人民政府办公室2024年度部门预算，</w:t>
      </w:r>
      <w:r>
        <w:rPr>
          <w:rFonts w:hint="eastAsia"/>
          <w:color w:val="000000"/>
          <w:kern w:val="0"/>
          <w:szCs w:val="32"/>
          <w:shd w:val="clear" w:color="auto" w:fill="FFFFFF"/>
          <w:lang w:val="zh-CN"/>
        </w:rPr>
        <w:t>并根据批复的部门预算和绩效目标严格执行。</w:t>
      </w:r>
    </w:p>
    <w:p w14:paraId="3313989E">
      <w:pPr>
        <w:keepNext w:val="0"/>
        <w:keepLines w:val="0"/>
        <w:pageBreakBefore w:val="0"/>
        <w:kinsoku/>
        <w:wordWrap/>
        <w:overflowPunct/>
        <w:topLinePunct w:val="0"/>
        <w:autoSpaceDE/>
        <w:autoSpaceDN/>
        <w:bidi w:val="0"/>
        <w:adjustRightInd w:val="0"/>
        <w:snapToGrid w:val="0"/>
        <w:spacing w:line="578" w:lineRule="exact"/>
        <w:ind w:firstLine="640" w:firstLineChars="200"/>
        <w:contextualSpacing/>
        <w:textAlignment w:val="auto"/>
        <w:rPr>
          <w:rFonts w:hint="eastAsia"/>
          <w:color w:val="000000"/>
          <w:kern w:val="0"/>
          <w:szCs w:val="32"/>
          <w:shd w:val="clear" w:color="auto" w:fill="FFFFFF"/>
          <w:lang w:val="zh-CN"/>
        </w:rPr>
      </w:pPr>
      <w:r>
        <w:rPr>
          <w:rFonts w:hint="eastAsia"/>
          <w:color w:val="000000"/>
          <w:kern w:val="0"/>
          <w:szCs w:val="32"/>
          <w:shd w:val="clear" w:color="auto" w:fill="FFFFFF"/>
          <w:lang w:val="zh-CN"/>
        </w:rPr>
        <w:t>决算报表反映，</w:t>
      </w:r>
      <w:r>
        <w:rPr>
          <w:rFonts w:hint="eastAsia"/>
          <w:color w:val="000000"/>
          <w:kern w:val="0"/>
          <w:szCs w:val="32"/>
          <w:shd w:val="clear" w:color="auto" w:fill="FFFFFF"/>
          <w:lang w:val="en-US" w:eastAsia="zh-CN"/>
        </w:rPr>
        <w:t>政府</w:t>
      </w:r>
      <w:r>
        <w:rPr>
          <w:rFonts w:hint="eastAsia"/>
          <w:color w:val="000000"/>
          <w:kern w:val="0"/>
          <w:szCs w:val="32"/>
          <w:shd w:val="clear" w:color="auto" w:fill="FFFFFF"/>
          <w:lang w:val="zh-CN"/>
        </w:rPr>
        <w:t>办公室202</w:t>
      </w:r>
      <w:r>
        <w:rPr>
          <w:rFonts w:hint="eastAsia"/>
          <w:color w:val="000000"/>
          <w:kern w:val="0"/>
          <w:szCs w:val="32"/>
          <w:shd w:val="clear" w:color="auto" w:fill="FFFFFF"/>
          <w:lang w:val="en-US" w:eastAsia="zh-CN"/>
        </w:rPr>
        <w:t>4</w:t>
      </w:r>
      <w:r>
        <w:rPr>
          <w:rFonts w:hint="eastAsia"/>
          <w:color w:val="000000"/>
          <w:kern w:val="0"/>
          <w:szCs w:val="32"/>
          <w:shd w:val="clear" w:color="auto" w:fill="FFFFFF"/>
          <w:lang w:val="zh-CN"/>
        </w:rPr>
        <w:t>年年初财政拨款预算数</w:t>
      </w:r>
      <w:r>
        <w:rPr>
          <w:rFonts w:hint="eastAsia"/>
          <w:color w:val="000000"/>
          <w:kern w:val="0"/>
          <w:szCs w:val="32"/>
          <w:shd w:val="clear" w:color="auto" w:fill="FFFFFF"/>
          <w:lang w:val="en-US" w:eastAsia="zh-CN"/>
        </w:rPr>
        <w:t>2361.58</w:t>
      </w:r>
      <w:r>
        <w:rPr>
          <w:rFonts w:hint="eastAsia"/>
          <w:color w:val="000000"/>
          <w:kern w:val="0"/>
          <w:szCs w:val="32"/>
          <w:shd w:val="clear" w:color="auto" w:fill="FFFFFF"/>
          <w:lang w:val="zh-CN"/>
        </w:rPr>
        <w:t>万元，财政拨款预算执行数</w:t>
      </w:r>
      <w:r>
        <w:rPr>
          <w:rFonts w:hint="eastAsia"/>
          <w:color w:val="000000"/>
          <w:kern w:val="0"/>
          <w:szCs w:val="32"/>
          <w:shd w:val="clear" w:color="auto" w:fill="FFFFFF"/>
          <w:lang w:val="en-US" w:eastAsia="zh-CN"/>
        </w:rPr>
        <w:t>2289.41</w:t>
      </w:r>
      <w:r>
        <w:rPr>
          <w:rFonts w:hint="eastAsia"/>
          <w:color w:val="000000"/>
          <w:kern w:val="0"/>
          <w:szCs w:val="32"/>
          <w:shd w:val="clear" w:color="auto" w:fill="FFFFFF"/>
          <w:lang w:val="zh-CN"/>
        </w:rPr>
        <w:t>万元，财政拨款预算偏离度为</w:t>
      </w:r>
      <w:r>
        <w:rPr>
          <w:rFonts w:hint="eastAsia"/>
          <w:color w:val="000000"/>
          <w:kern w:val="0"/>
          <w:szCs w:val="32"/>
          <w:shd w:val="clear" w:color="auto" w:fill="FFFFFF"/>
          <w:lang w:val="en-US" w:eastAsia="zh-CN"/>
        </w:rPr>
        <w:t>3.05</w:t>
      </w:r>
      <w:r>
        <w:rPr>
          <w:rFonts w:hint="eastAsia"/>
          <w:color w:val="000000"/>
          <w:kern w:val="0"/>
          <w:szCs w:val="32"/>
          <w:shd w:val="clear" w:color="auto" w:fill="FFFFFF"/>
          <w:lang w:val="zh-CN"/>
        </w:rPr>
        <w:t>%。</w:t>
      </w:r>
    </w:p>
    <w:p w14:paraId="47FC4790">
      <w:pPr>
        <w:keepNext w:val="0"/>
        <w:keepLines w:val="0"/>
        <w:pageBreakBefore w:val="0"/>
        <w:kinsoku/>
        <w:wordWrap/>
        <w:overflowPunct/>
        <w:topLinePunct w:val="0"/>
        <w:autoSpaceDE/>
        <w:autoSpaceDN/>
        <w:bidi w:val="0"/>
        <w:adjustRightInd w:val="0"/>
        <w:snapToGrid w:val="0"/>
        <w:spacing w:line="578" w:lineRule="exact"/>
        <w:ind w:firstLine="640" w:firstLineChars="200"/>
        <w:contextualSpacing/>
        <w:textAlignment w:val="auto"/>
        <w:rPr>
          <w:color w:val="000000"/>
          <w:kern w:val="0"/>
          <w:szCs w:val="32"/>
          <w:shd w:val="clear" w:color="auto" w:fill="FFFFFF"/>
          <w:lang w:val="zh-CN"/>
        </w:rPr>
      </w:pPr>
      <w:r>
        <w:rPr>
          <w:rFonts w:hint="eastAsia"/>
          <w:color w:val="000000"/>
          <w:kern w:val="0"/>
          <w:szCs w:val="32"/>
          <w:shd w:val="clear" w:color="auto" w:fill="FFFFFF"/>
          <w:lang w:val="zh-CN"/>
        </w:rPr>
        <w:t>（2）收入统筹。</w:t>
      </w:r>
      <w:r>
        <w:rPr>
          <w:rFonts w:hint="eastAsia"/>
          <w:color w:val="000000"/>
          <w:kern w:val="0"/>
          <w:szCs w:val="32"/>
          <w:shd w:val="clear" w:color="auto" w:fill="FFFFFF"/>
          <w:lang w:val="en-US" w:eastAsia="zh-CN"/>
        </w:rPr>
        <w:t>县政府</w:t>
      </w:r>
      <w:r>
        <w:rPr>
          <w:rFonts w:hint="eastAsia"/>
          <w:color w:val="000000"/>
          <w:kern w:val="0"/>
          <w:szCs w:val="32"/>
          <w:shd w:val="clear" w:color="auto" w:fill="FFFFFF"/>
          <w:lang w:val="zh-CN"/>
        </w:rPr>
        <w:t>办公室不涉及自有收入。</w:t>
      </w:r>
    </w:p>
    <w:p w14:paraId="655DA435">
      <w:pPr>
        <w:keepNext w:val="0"/>
        <w:keepLines w:val="0"/>
        <w:pageBreakBefore w:val="0"/>
        <w:kinsoku/>
        <w:wordWrap/>
        <w:overflowPunct/>
        <w:topLinePunct w:val="0"/>
        <w:autoSpaceDE/>
        <w:autoSpaceDN/>
        <w:bidi w:val="0"/>
        <w:adjustRightInd w:val="0"/>
        <w:snapToGrid w:val="0"/>
        <w:spacing w:line="578" w:lineRule="exact"/>
        <w:ind w:firstLine="640" w:firstLineChars="200"/>
        <w:contextualSpacing/>
        <w:textAlignment w:val="auto"/>
        <w:rPr>
          <w:color w:val="000000"/>
          <w:kern w:val="0"/>
          <w:szCs w:val="32"/>
          <w:shd w:val="clear" w:color="auto" w:fill="FFFFFF"/>
          <w:lang w:val="zh-CN"/>
        </w:rPr>
      </w:pPr>
      <w:r>
        <w:rPr>
          <w:rFonts w:hint="eastAsia"/>
          <w:color w:val="000000"/>
          <w:kern w:val="0"/>
          <w:szCs w:val="32"/>
          <w:shd w:val="clear" w:color="auto" w:fill="FFFFFF"/>
          <w:lang w:val="zh-CN"/>
        </w:rPr>
        <w:t>（3）支出执行。县</w:t>
      </w:r>
      <w:r>
        <w:rPr>
          <w:rFonts w:hint="eastAsia"/>
          <w:color w:val="000000"/>
          <w:kern w:val="0"/>
          <w:szCs w:val="32"/>
          <w:shd w:val="clear" w:color="auto" w:fill="FFFFFF"/>
          <w:lang w:val="en-US" w:eastAsia="zh-CN"/>
        </w:rPr>
        <w:t>政府</w:t>
      </w:r>
      <w:r>
        <w:rPr>
          <w:rFonts w:hint="eastAsia"/>
          <w:color w:val="000000"/>
          <w:kern w:val="0"/>
          <w:szCs w:val="32"/>
          <w:shd w:val="clear" w:color="auto" w:fill="FFFFFF"/>
          <w:lang w:val="zh-CN"/>
        </w:rPr>
        <w:t>办公室202</w:t>
      </w:r>
      <w:r>
        <w:rPr>
          <w:rFonts w:hint="eastAsia"/>
          <w:color w:val="000000"/>
          <w:kern w:val="0"/>
          <w:szCs w:val="32"/>
          <w:shd w:val="clear" w:color="auto" w:fill="FFFFFF"/>
          <w:lang w:val="en-US" w:eastAsia="zh-CN"/>
        </w:rPr>
        <w:t>4</w:t>
      </w:r>
      <w:r>
        <w:rPr>
          <w:rFonts w:hint="eastAsia"/>
          <w:color w:val="000000"/>
          <w:kern w:val="0"/>
          <w:szCs w:val="32"/>
          <w:shd w:val="clear" w:color="auto" w:fill="FFFFFF"/>
          <w:lang w:val="zh-CN"/>
        </w:rPr>
        <w:t>年1至6月支出实际执行数</w:t>
      </w:r>
      <w:r>
        <w:rPr>
          <w:rFonts w:hint="eastAsia"/>
          <w:color w:val="000000"/>
          <w:kern w:val="0"/>
          <w:szCs w:val="32"/>
          <w:shd w:val="clear" w:color="auto" w:fill="FFFFFF"/>
          <w:lang w:val="en-US" w:eastAsia="zh-CN"/>
        </w:rPr>
        <w:t>1016.32</w:t>
      </w:r>
      <w:r>
        <w:rPr>
          <w:rFonts w:hint="eastAsia"/>
          <w:color w:val="000000"/>
          <w:kern w:val="0"/>
          <w:szCs w:val="32"/>
          <w:shd w:val="clear" w:color="auto" w:fill="FFFFFF"/>
          <w:lang w:val="zh-CN"/>
        </w:rPr>
        <w:t>万元，预算执行率</w:t>
      </w:r>
      <w:r>
        <w:rPr>
          <w:rFonts w:hint="eastAsia"/>
          <w:color w:val="000000"/>
          <w:kern w:val="0"/>
          <w:szCs w:val="32"/>
          <w:shd w:val="clear" w:color="auto" w:fill="FFFFFF"/>
          <w:lang w:val="en-US" w:eastAsia="zh-CN"/>
        </w:rPr>
        <w:t>43.03</w:t>
      </w:r>
      <w:r>
        <w:rPr>
          <w:rFonts w:hint="eastAsia"/>
          <w:color w:val="000000"/>
          <w:kern w:val="0"/>
          <w:szCs w:val="32"/>
          <w:shd w:val="clear" w:color="auto" w:fill="FFFFFF"/>
          <w:lang w:val="zh-CN"/>
        </w:rPr>
        <w:t>%；1至10月支出实际执行数</w:t>
      </w:r>
      <w:r>
        <w:rPr>
          <w:rFonts w:hint="eastAsia"/>
          <w:color w:val="000000"/>
          <w:kern w:val="0"/>
          <w:szCs w:val="32"/>
          <w:shd w:val="clear" w:color="auto" w:fill="FFFFFF"/>
          <w:lang w:val="en-US" w:eastAsia="zh-CN"/>
        </w:rPr>
        <w:t xml:space="preserve"> 1427.5</w:t>
      </w:r>
      <w:r>
        <w:rPr>
          <w:rFonts w:hint="eastAsia"/>
          <w:color w:val="000000"/>
          <w:kern w:val="0"/>
          <w:szCs w:val="32"/>
          <w:shd w:val="clear" w:color="auto" w:fill="FFFFFF"/>
          <w:lang w:val="zh-CN"/>
        </w:rPr>
        <w:t>万元，预算执行率</w:t>
      </w:r>
      <w:r>
        <w:rPr>
          <w:rFonts w:hint="eastAsia"/>
          <w:color w:val="000000"/>
          <w:kern w:val="0"/>
          <w:szCs w:val="32"/>
          <w:shd w:val="clear" w:color="auto" w:fill="FFFFFF"/>
          <w:lang w:val="en-US" w:eastAsia="zh-CN"/>
        </w:rPr>
        <w:t>60.44</w:t>
      </w:r>
      <w:r>
        <w:rPr>
          <w:rFonts w:hint="eastAsia"/>
          <w:color w:val="000000"/>
          <w:kern w:val="0"/>
          <w:szCs w:val="32"/>
          <w:shd w:val="clear" w:color="auto" w:fill="FFFFFF"/>
          <w:lang w:val="zh-CN"/>
        </w:rPr>
        <w:t>%，未发生支出预警和支出违规的情况。</w:t>
      </w:r>
    </w:p>
    <w:p w14:paraId="7AB4CF6B">
      <w:pPr>
        <w:keepNext w:val="0"/>
        <w:keepLines w:val="0"/>
        <w:pageBreakBefore w:val="0"/>
        <w:kinsoku/>
        <w:wordWrap/>
        <w:overflowPunct/>
        <w:topLinePunct w:val="0"/>
        <w:autoSpaceDE/>
        <w:autoSpaceDN/>
        <w:bidi w:val="0"/>
        <w:adjustRightInd w:val="0"/>
        <w:snapToGrid w:val="0"/>
        <w:spacing w:line="578" w:lineRule="exact"/>
        <w:ind w:firstLine="640" w:firstLineChars="200"/>
        <w:contextualSpacing/>
        <w:textAlignment w:val="auto"/>
        <w:rPr>
          <w:color w:val="000000"/>
          <w:kern w:val="0"/>
          <w:szCs w:val="32"/>
          <w:shd w:val="clear" w:color="auto" w:fill="FFFFFF"/>
          <w:lang w:val="zh-CN"/>
        </w:rPr>
      </w:pPr>
      <w:r>
        <w:rPr>
          <w:rFonts w:hint="eastAsia"/>
          <w:color w:val="000000"/>
          <w:kern w:val="0"/>
          <w:szCs w:val="32"/>
          <w:shd w:val="clear" w:color="auto" w:fill="FFFFFF"/>
          <w:lang w:val="zh-CN"/>
        </w:rPr>
        <w:t>（4）预算年终结余。</w:t>
      </w:r>
      <w:r>
        <w:rPr>
          <w:rFonts w:hint="eastAsia"/>
          <w:color w:val="000000"/>
          <w:kern w:val="0"/>
          <w:szCs w:val="32"/>
          <w:shd w:val="clear" w:color="auto" w:fill="FFFFFF"/>
          <w:lang w:val="en-US" w:eastAsia="zh-CN"/>
        </w:rPr>
        <w:t>政府</w:t>
      </w:r>
      <w:r>
        <w:rPr>
          <w:rFonts w:hint="eastAsia"/>
          <w:color w:val="000000"/>
          <w:kern w:val="0"/>
          <w:szCs w:val="32"/>
          <w:shd w:val="clear" w:color="auto" w:fill="FFFFFF"/>
          <w:lang w:val="zh-CN"/>
        </w:rPr>
        <w:t>办公室202</w:t>
      </w:r>
      <w:r>
        <w:rPr>
          <w:rFonts w:hint="eastAsia"/>
          <w:color w:val="000000"/>
          <w:kern w:val="0"/>
          <w:szCs w:val="32"/>
          <w:shd w:val="clear" w:color="auto" w:fill="FFFFFF"/>
          <w:lang w:val="en-US" w:eastAsia="zh-CN"/>
        </w:rPr>
        <w:t>4</w:t>
      </w:r>
      <w:r>
        <w:rPr>
          <w:rFonts w:hint="eastAsia"/>
          <w:color w:val="000000"/>
          <w:kern w:val="0"/>
          <w:szCs w:val="32"/>
          <w:shd w:val="clear" w:color="auto" w:fill="FFFFFF"/>
          <w:lang w:val="zh-CN"/>
        </w:rPr>
        <w:t>年末预算年终结</w:t>
      </w:r>
      <w:r>
        <w:rPr>
          <w:rFonts w:hint="eastAsia"/>
          <w:color w:val="000000"/>
          <w:kern w:val="0"/>
          <w:szCs w:val="32"/>
          <w:shd w:val="clear" w:color="auto" w:fill="FFFFFF"/>
          <w:lang w:val="en-US" w:eastAsia="zh-CN"/>
        </w:rPr>
        <w:t>转</w:t>
      </w:r>
      <w:r>
        <w:rPr>
          <w:rFonts w:hint="eastAsia"/>
          <w:color w:val="000000"/>
          <w:kern w:val="0"/>
          <w:szCs w:val="32"/>
          <w:shd w:val="clear" w:color="auto" w:fill="FFFFFF"/>
          <w:lang w:val="zh-CN"/>
        </w:rPr>
        <w:t>资金</w:t>
      </w:r>
      <w:r>
        <w:rPr>
          <w:rFonts w:hint="eastAsia"/>
          <w:color w:val="000000"/>
          <w:kern w:val="0"/>
          <w:szCs w:val="32"/>
          <w:shd w:val="clear" w:color="auto" w:fill="FFFFFF"/>
          <w:lang w:val="en-US" w:eastAsia="zh-CN"/>
        </w:rPr>
        <w:t>72.17万元</w:t>
      </w:r>
      <w:r>
        <w:rPr>
          <w:rFonts w:hint="eastAsia"/>
          <w:color w:val="000000"/>
          <w:kern w:val="0"/>
          <w:szCs w:val="32"/>
          <w:shd w:val="clear" w:color="auto" w:fill="FFFFFF"/>
          <w:lang w:val="zh-CN"/>
        </w:rPr>
        <w:t>。</w:t>
      </w:r>
    </w:p>
    <w:p w14:paraId="5DCB2BC3">
      <w:pPr>
        <w:keepNext w:val="0"/>
        <w:keepLines w:val="0"/>
        <w:pageBreakBefore w:val="0"/>
        <w:kinsoku/>
        <w:wordWrap/>
        <w:overflowPunct/>
        <w:topLinePunct w:val="0"/>
        <w:autoSpaceDE/>
        <w:autoSpaceDN/>
        <w:bidi w:val="0"/>
        <w:adjustRightInd w:val="0"/>
        <w:snapToGrid w:val="0"/>
        <w:spacing w:line="578" w:lineRule="exact"/>
        <w:ind w:firstLine="640" w:firstLineChars="200"/>
        <w:contextualSpacing/>
        <w:textAlignment w:val="auto"/>
        <w:rPr>
          <w:color w:val="000000"/>
          <w:kern w:val="0"/>
          <w:szCs w:val="32"/>
          <w:shd w:val="clear" w:color="auto" w:fill="FFFFFF"/>
          <w:lang w:val="zh-CN"/>
        </w:rPr>
      </w:pPr>
      <w:r>
        <w:rPr>
          <w:rFonts w:hint="eastAsia"/>
          <w:color w:val="000000"/>
          <w:kern w:val="0"/>
          <w:szCs w:val="32"/>
          <w:shd w:val="clear" w:color="auto" w:fill="FFFFFF"/>
          <w:lang w:val="zh-CN"/>
        </w:rPr>
        <w:t>（5）严控一般性支出。</w:t>
      </w:r>
      <w:r>
        <w:rPr>
          <w:rFonts w:hint="eastAsia"/>
          <w:color w:val="000000"/>
          <w:kern w:val="0"/>
          <w:szCs w:val="32"/>
          <w:shd w:val="clear" w:color="auto" w:fill="FFFFFF"/>
          <w:lang w:val="en-US" w:eastAsia="zh-CN"/>
        </w:rPr>
        <w:t>政府</w:t>
      </w:r>
      <w:r>
        <w:rPr>
          <w:rFonts w:hint="eastAsia"/>
          <w:color w:val="000000"/>
          <w:kern w:val="0"/>
          <w:szCs w:val="32"/>
          <w:shd w:val="clear" w:color="auto" w:fill="FFFFFF"/>
          <w:lang w:val="zh-CN"/>
        </w:rPr>
        <w:t>办公室按照有关要求严格控制“三公”经费、会议、培训、差旅、办节办展、办公设备购置、信息网络及软件购置更新、课题经费等8项一般性支出。</w:t>
      </w:r>
    </w:p>
    <w:p w14:paraId="17BBCCD5">
      <w:pPr>
        <w:keepNext w:val="0"/>
        <w:keepLines w:val="0"/>
        <w:pageBreakBefore w:val="0"/>
        <w:kinsoku/>
        <w:wordWrap/>
        <w:overflowPunct/>
        <w:topLinePunct w:val="0"/>
        <w:autoSpaceDE/>
        <w:autoSpaceDN/>
        <w:bidi w:val="0"/>
        <w:adjustRightInd w:val="0"/>
        <w:snapToGrid w:val="0"/>
        <w:spacing w:line="578" w:lineRule="exact"/>
        <w:ind w:firstLine="643" w:firstLineChars="200"/>
        <w:contextualSpacing/>
        <w:textAlignment w:val="auto"/>
        <w:rPr>
          <w:rFonts w:ascii="楷体_GB2312" w:hAnsi="楷体_GB2312" w:eastAsia="楷体_GB2312" w:cs="楷体_GB2312"/>
          <w:color w:val="000000"/>
          <w:kern w:val="0"/>
          <w:szCs w:val="32"/>
          <w:shd w:val="clear" w:color="auto" w:fill="FFFFFF"/>
          <w:lang w:val="zh-CN"/>
        </w:rPr>
      </w:pPr>
      <w:r>
        <w:rPr>
          <w:rFonts w:hint="eastAsia" w:ascii="楷体_GB2312" w:hAnsi="楷体_GB2312" w:eastAsia="楷体_GB2312" w:cs="楷体_GB2312"/>
          <w:b/>
          <w:bCs/>
          <w:color w:val="000000"/>
          <w:kern w:val="0"/>
          <w:szCs w:val="32"/>
          <w:highlight w:val="none"/>
          <w:shd w:val="clear" w:color="auto" w:fill="FFFFFF"/>
          <w:lang w:val="en-US" w:eastAsia="zh-CN"/>
        </w:rPr>
        <w:t>3.</w:t>
      </w:r>
      <w:r>
        <w:rPr>
          <w:rFonts w:hint="default" w:ascii="楷体_GB2312" w:hAnsi="楷体_GB2312" w:eastAsia="楷体_GB2312" w:cs="楷体_GB2312"/>
          <w:b/>
          <w:bCs/>
          <w:color w:val="000000"/>
          <w:kern w:val="0"/>
          <w:szCs w:val="32"/>
          <w:highlight w:val="none"/>
          <w:shd w:val="clear" w:color="auto" w:fill="FFFFFF"/>
          <w:lang w:val="zh-CN"/>
        </w:rPr>
        <w:t>财务管理</w:t>
      </w:r>
      <w:r>
        <w:rPr>
          <w:rFonts w:hint="eastAsia" w:ascii="楷体_GB2312" w:hAnsi="楷体_GB2312" w:eastAsia="楷体_GB2312" w:cs="楷体_GB2312"/>
          <w:b/>
          <w:bCs/>
          <w:color w:val="000000"/>
          <w:kern w:val="0"/>
          <w:szCs w:val="32"/>
          <w:highlight w:val="none"/>
          <w:shd w:val="clear" w:color="auto" w:fill="FFFFFF"/>
          <w:lang w:val="zh-CN"/>
        </w:rPr>
        <w:t>。</w:t>
      </w:r>
      <w:r>
        <w:rPr>
          <w:rFonts w:hint="eastAsia" w:cs="Times New Roman"/>
          <w:color w:val="000000"/>
          <w:kern w:val="0"/>
          <w:szCs w:val="32"/>
          <w:highlight w:val="none"/>
          <w:shd w:val="clear" w:color="auto" w:fill="FFFFFF"/>
          <w:lang w:val="en-US" w:eastAsia="zh-CN"/>
        </w:rPr>
        <w:t>我办严格遵守政府会计制度及渠县人民政府办公室财务管理制度相关规定，</w:t>
      </w:r>
      <w:r>
        <w:rPr>
          <w:rFonts w:hint="eastAsia"/>
          <w:color w:val="000000"/>
          <w:kern w:val="0"/>
          <w:szCs w:val="32"/>
          <w:shd w:val="clear" w:color="auto" w:fill="FFFFFF"/>
          <w:lang w:val="zh-CN"/>
        </w:rPr>
        <w:t>各项经济业务活动严格按照制度规定执行；</w:t>
      </w:r>
      <w:r>
        <w:rPr>
          <w:rFonts w:hint="eastAsia" w:cs="Times New Roman"/>
          <w:color w:val="000000"/>
          <w:kern w:val="0"/>
          <w:szCs w:val="32"/>
          <w:highlight w:val="none"/>
          <w:shd w:val="clear" w:color="auto" w:fill="FFFFFF"/>
          <w:lang w:val="en-US" w:eastAsia="zh-CN"/>
        </w:rPr>
        <w:t>设置了财务工作相关岗位，</w:t>
      </w:r>
      <w:r>
        <w:rPr>
          <w:rFonts w:hint="eastAsia"/>
          <w:color w:val="000000"/>
          <w:kern w:val="0"/>
          <w:szCs w:val="32"/>
          <w:shd w:val="clear" w:color="auto" w:fill="FFFFFF"/>
          <w:lang w:val="zh-CN"/>
        </w:rPr>
        <w:t>并明确职责权限；本年度资金使用规范，未发现</w:t>
      </w:r>
      <w:r>
        <w:rPr>
          <w:rFonts w:hint="eastAsia" w:cs="Times New Roman"/>
          <w:color w:val="000000"/>
          <w:kern w:val="0"/>
          <w:szCs w:val="32"/>
          <w:highlight w:val="none"/>
          <w:shd w:val="clear" w:color="auto" w:fill="FFFFFF"/>
          <w:lang w:val="en-US" w:eastAsia="zh-CN"/>
        </w:rPr>
        <w:t>虚列支出、超范围超标准使用经费、违规使用“三公”经费、滥发津补贴、报销不合规等现象。</w:t>
      </w:r>
    </w:p>
    <w:p w14:paraId="25BDB7E1">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3" w:firstLineChars="200"/>
        <w:contextualSpacing/>
        <w:jc w:val="left"/>
        <w:textAlignment w:val="auto"/>
        <w:outlineLvl w:val="9"/>
        <w:rPr>
          <w:rFonts w:hint="default" w:cs="Times New Roman"/>
          <w:color w:val="FF0000"/>
          <w:kern w:val="0"/>
          <w:szCs w:val="32"/>
          <w:highlight w:val="none"/>
          <w:shd w:val="clear" w:color="auto" w:fill="FFFFFF"/>
          <w:lang w:val="en-US" w:eastAsia="zh-CN"/>
        </w:rPr>
      </w:pPr>
      <w:r>
        <w:rPr>
          <w:rFonts w:hint="eastAsia" w:ascii="楷体_GB2312" w:hAnsi="楷体_GB2312" w:eastAsia="楷体_GB2312" w:cs="楷体_GB2312"/>
          <w:b/>
          <w:bCs/>
          <w:color w:val="000000"/>
          <w:kern w:val="0"/>
          <w:szCs w:val="32"/>
          <w:highlight w:val="none"/>
          <w:shd w:val="clear" w:color="auto" w:fill="FFFFFF"/>
          <w:lang w:val="en-US" w:eastAsia="zh-CN"/>
        </w:rPr>
        <w:t>4.</w:t>
      </w:r>
      <w:r>
        <w:rPr>
          <w:rFonts w:hint="default" w:ascii="楷体_GB2312" w:hAnsi="楷体_GB2312" w:eastAsia="楷体_GB2312" w:cs="楷体_GB2312"/>
          <w:b/>
          <w:bCs/>
          <w:color w:val="000000"/>
          <w:kern w:val="0"/>
          <w:szCs w:val="32"/>
          <w:highlight w:val="none"/>
          <w:shd w:val="clear" w:color="auto" w:fill="FFFFFF"/>
          <w:lang w:val="zh-CN"/>
        </w:rPr>
        <w:t>资产管理</w:t>
      </w:r>
      <w:r>
        <w:rPr>
          <w:rFonts w:hint="eastAsia" w:ascii="楷体_GB2312" w:hAnsi="楷体_GB2312" w:eastAsia="楷体_GB2312" w:cs="楷体_GB2312"/>
          <w:b/>
          <w:bCs/>
          <w:color w:val="000000"/>
          <w:kern w:val="0"/>
          <w:szCs w:val="32"/>
          <w:highlight w:val="none"/>
          <w:shd w:val="clear" w:color="auto" w:fill="FFFFFF"/>
          <w:lang w:val="zh-CN"/>
        </w:rPr>
        <w:t>。</w:t>
      </w:r>
      <w:r>
        <w:rPr>
          <w:rFonts w:hint="eastAsia" w:ascii="Times New Roman" w:hAnsi="Times New Roman" w:cs="Times New Roman"/>
          <w:color w:val="auto"/>
          <w:kern w:val="0"/>
          <w:szCs w:val="32"/>
          <w:highlight w:val="none"/>
          <w:shd w:val="clear" w:color="auto" w:fill="FFFFFF"/>
          <w:lang w:val="en-US" w:eastAsia="zh-CN"/>
        </w:rPr>
        <w:t>202</w:t>
      </w:r>
      <w:r>
        <w:rPr>
          <w:rFonts w:hint="eastAsia" w:cs="Times New Roman"/>
          <w:color w:val="auto"/>
          <w:kern w:val="0"/>
          <w:szCs w:val="32"/>
          <w:highlight w:val="none"/>
          <w:shd w:val="clear" w:color="auto" w:fill="FFFFFF"/>
          <w:lang w:val="en-US" w:eastAsia="zh-CN"/>
        </w:rPr>
        <w:t>4</w:t>
      </w:r>
      <w:r>
        <w:rPr>
          <w:rFonts w:hint="eastAsia" w:ascii="Times New Roman" w:hAnsi="Times New Roman" w:cs="Times New Roman"/>
          <w:color w:val="auto"/>
          <w:kern w:val="0"/>
          <w:szCs w:val="32"/>
          <w:highlight w:val="none"/>
          <w:shd w:val="clear" w:color="auto" w:fill="FFFFFF"/>
          <w:lang w:val="en-US" w:eastAsia="zh-CN"/>
        </w:rPr>
        <w:t>年</w:t>
      </w:r>
      <w:r>
        <w:rPr>
          <w:rFonts w:hint="eastAsia" w:cs="Times New Roman"/>
          <w:color w:val="auto"/>
          <w:kern w:val="0"/>
          <w:szCs w:val="32"/>
          <w:highlight w:val="none"/>
          <w:shd w:val="clear" w:color="auto" w:fill="FFFFFF"/>
          <w:lang w:val="en-US" w:eastAsia="zh-CN"/>
        </w:rPr>
        <w:t>，我办人均占有资产11983元，人均资产变化率小于6.8%；资产利用率为100%；无超最低使用年限报废或处置情况；无闲置一年以上的资产。</w:t>
      </w:r>
    </w:p>
    <w:p w14:paraId="5DDFB312">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3" w:firstLineChars="200"/>
        <w:contextualSpacing/>
        <w:jc w:val="left"/>
        <w:textAlignment w:val="auto"/>
        <w:outlineLvl w:val="9"/>
        <w:rPr>
          <w:rFonts w:hint="default" w:ascii="楷体_GB2312" w:hAnsi="楷体_GB2312" w:eastAsia="仿宋_GB2312" w:cs="楷体_GB2312"/>
          <w:color w:val="000000"/>
          <w:kern w:val="0"/>
          <w:szCs w:val="32"/>
          <w:highlight w:val="none"/>
          <w:shd w:val="clear" w:color="auto" w:fill="FFFFFF"/>
          <w:lang w:val="en-US" w:eastAsia="zh-CN"/>
        </w:rPr>
      </w:pPr>
      <w:r>
        <w:rPr>
          <w:rFonts w:hint="eastAsia" w:ascii="楷体_GB2312" w:hAnsi="楷体_GB2312" w:eastAsia="楷体_GB2312" w:cs="楷体_GB2312"/>
          <w:b/>
          <w:bCs/>
          <w:color w:val="000000"/>
          <w:kern w:val="0"/>
          <w:szCs w:val="32"/>
          <w:highlight w:val="none"/>
          <w:shd w:val="clear" w:color="auto" w:fill="FFFFFF"/>
          <w:lang w:val="en-US" w:eastAsia="zh-CN"/>
        </w:rPr>
        <w:t>5.</w:t>
      </w:r>
      <w:r>
        <w:rPr>
          <w:rFonts w:hint="default" w:ascii="楷体_GB2312" w:hAnsi="楷体_GB2312" w:eastAsia="楷体_GB2312" w:cs="楷体_GB2312"/>
          <w:b/>
          <w:bCs/>
          <w:color w:val="000000"/>
          <w:kern w:val="0"/>
          <w:szCs w:val="32"/>
          <w:highlight w:val="none"/>
          <w:shd w:val="clear" w:color="auto" w:fill="FFFFFF"/>
          <w:lang w:val="zh-CN"/>
        </w:rPr>
        <w:t>采购管理</w:t>
      </w:r>
      <w:r>
        <w:rPr>
          <w:rFonts w:hint="eastAsia" w:ascii="楷体_GB2312" w:hAnsi="楷体_GB2312" w:eastAsia="楷体_GB2312" w:cs="楷体_GB2312"/>
          <w:b/>
          <w:bCs/>
          <w:color w:val="000000"/>
          <w:kern w:val="0"/>
          <w:szCs w:val="32"/>
          <w:highlight w:val="none"/>
          <w:shd w:val="clear" w:color="auto" w:fill="FFFFFF"/>
          <w:lang w:val="zh-CN"/>
        </w:rPr>
        <w:t>。</w:t>
      </w:r>
      <w:r>
        <w:rPr>
          <w:rFonts w:hint="eastAsia" w:cs="Times New Roman"/>
          <w:color w:val="000000"/>
          <w:kern w:val="0"/>
          <w:szCs w:val="32"/>
          <w:highlight w:val="none"/>
          <w:shd w:val="clear" w:color="auto" w:fill="FFFFFF"/>
          <w:lang w:val="en-US" w:eastAsia="zh-CN"/>
        </w:rPr>
        <w:t>严格执行政府采购促进中小企业发展相关管理办法，我办每年预留采购份额5万元专门面向中小企业采购脱贫地区农副产品；2024年有2个政府采购项目。</w:t>
      </w:r>
    </w:p>
    <w:p w14:paraId="09CE63C0">
      <w:pPr>
        <w:keepNext w:val="0"/>
        <w:keepLines w:val="0"/>
        <w:pageBreakBefore w:val="0"/>
        <w:widowControl/>
        <w:kinsoku/>
        <w:wordWrap/>
        <w:overflowPunct/>
        <w:topLinePunct w:val="0"/>
        <w:autoSpaceDE/>
        <w:autoSpaceDN/>
        <w:bidi w:val="0"/>
        <w:adjustRightInd w:val="0"/>
        <w:snapToGrid w:val="0"/>
        <w:spacing w:line="578" w:lineRule="exact"/>
        <w:ind w:firstLine="643" w:firstLineChars="200"/>
        <w:contextualSpacing/>
        <w:jc w:val="left"/>
        <w:textAlignment w:val="auto"/>
        <w:outlineLvl w:val="9"/>
        <w:rPr>
          <w:rFonts w:hint="default" w:ascii="Times New Roman" w:hAnsi="Times New Roman" w:eastAsia="楷体_GB2312" w:cs="Times New Roman"/>
          <w:b/>
          <w:bCs/>
          <w:color w:val="000000"/>
          <w:kern w:val="0"/>
          <w:szCs w:val="32"/>
          <w:highlight w:val="none"/>
          <w:shd w:val="clear" w:color="auto" w:fill="FFFFFF"/>
          <w:lang w:val="zh-CN"/>
        </w:rPr>
      </w:pPr>
      <w:r>
        <w:rPr>
          <w:rFonts w:hint="default" w:ascii="Times New Roman" w:hAnsi="Times New Roman" w:eastAsia="楷体_GB2312" w:cs="Times New Roman"/>
          <w:b/>
          <w:bCs/>
          <w:color w:val="000000"/>
          <w:kern w:val="0"/>
          <w:szCs w:val="32"/>
          <w:highlight w:val="none"/>
          <w:shd w:val="clear" w:color="auto" w:fill="FFFFFF"/>
          <w:lang w:val="zh-CN"/>
        </w:rPr>
        <w:t>（二）部门预算项目绩效分析</w:t>
      </w:r>
    </w:p>
    <w:p w14:paraId="043FD418">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eastAsia" w:eastAsia="仿宋_GB2312" w:cs="Times New Roman"/>
          <w:color w:val="000000"/>
          <w:kern w:val="0"/>
          <w:szCs w:val="32"/>
          <w:highlight w:val="none"/>
          <w:shd w:val="clear" w:color="auto" w:fill="FFFFFF"/>
          <w:lang w:val="en-US" w:eastAsia="zh-CN"/>
        </w:rPr>
      </w:pPr>
      <w:r>
        <w:rPr>
          <w:rFonts w:hint="eastAsia" w:cs="Times New Roman"/>
          <w:color w:val="000000"/>
          <w:kern w:val="0"/>
          <w:szCs w:val="32"/>
          <w:highlight w:val="none"/>
          <w:shd w:val="clear" w:color="auto" w:fill="FFFFFF"/>
          <w:lang w:val="en-US" w:eastAsia="zh-CN"/>
        </w:rPr>
        <w:t>我办2024年实施了4</w:t>
      </w:r>
      <w:r>
        <w:rPr>
          <w:rFonts w:hint="default" w:cs="Times New Roman"/>
          <w:color w:val="000000"/>
          <w:kern w:val="0"/>
          <w:szCs w:val="32"/>
          <w:highlight w:val="none"/>
          <w:shd w:val="clear" w:color="auto" w:fill="FFFFFF"/>
          <w:lang w:val="zh-CN" w:eastAsia="zh-CN"/>
        </w:rPr>
        <w:t>个</w:t>
      </w:r>
      <w:r>
        <w:rPr>
          <w:rFonts w:hint="default" w:cs="Times New Roman"/>
          <w:color w:val="000000"/>
          <w:kern w:val="0"/>
          <w:szCs w:val="32"/>
          <w:highlight w:val="none"/>
          <w:shd w:val="clear" w:color="auto" w:fill="FFFFFF"/>
          <w:lang w:val="en-US" w:eastAsia="zh-CN"/>
        </w:rPr>
        <w:t>常年项目</w:t>
      </w:r>
      <w:r>
        <w:rPr>
          <w:rFonts w:hint="eastAsia" w:cs="Times New Roman"/>
          <w:color w:val="000000"/>
          <w:kern w:val="0"/>
          <w:szCs w:val="32"/>
          <w:highlight w:val="none"/>
          <w:shd w:val="clear" w:color="auto" w:fill="FFFFFF"/>
          <w:lang w:val="en-US" w:eastAsia="zh-CN"/>
        </w:rPr>
        <w:t>，</w:t>
      </w:r>
      <w:r>
        <w:rPr>
          <w:rFonts w:hint="default" w:cs="Times New Roman"/>
          <w:color w:val="000000"/>
          <w:kern w:val="0"/>
          <w:szCs w:val="32"/>
          <w:highlight w:val="none"/>
          <w:shd w:val="clear" w:color="auto" w:fill="FFFFFF"/>
          <w:lang w:val="zh-CN" w:eastAsia="zh-CN"/>
        </w:rPr>
        <w:t>涉及预算总金额</w:t>
      </w:r>
      <w:r>
        <w:rPr>
          <w:rFonts w:hint="eastAsia" w:cs="Times New Roman"/>
          <w:color w:val="000000"/>
          <w:kern w:val="0"/>
          <w:szCs w:val="32"/>
          <w:highlight w:val="none"/>
          <w:shd w:val="clear" w:color="auto" w:fill="FFFFFF"/>
          <w:lang w:val="en-US" w:eastAsia="zh-CN"/>
        </w:rPr>
        <w:t>873.62</w:t>
      </w:r>
      <w:r>
        <w:rPr>
          <w:rFonts w:hint="default" w:cs="Times New Roman"/>
          <w:color w:val="000000"/>
          <w:kern w:val="0"/>
          <w:szCs w:val="32"/>
          <w:highlight w:val="none"/>
          <w:shd w:val="clear" w:color="auto" w:fill="FFFFFF"/>
          <w:lang w:val="zh-CN" w:eastAsia="zh-CN"/>
        </w:rPr>
        <w:t>万元，</w:t>
      </w:r>
      <w:r>
        <w:rPr>
          <w:rFonts w:hint="default" w:cs="Times New Roman"/>
          <w:color w:val="000000"/>
          <w:kern w:val="0"/>
          <w:szCs w:val="32"/>
          <w:highlight w:val="none"/>
          <w:shd w:val="clear" w:color="auto" w:fill="FFFFFF"/>
          <w:lang w:val="zh-CN"/>
        </w:rPr>
        <w:t>1</w:t>
      </w:r>
      <w:r>
        <w:rPr>
          <w:rFonts w:hint="eastAsia" w:cs="Times New Roman"/>
          <w:color w:val="000000"/>
          <w:kern w:val="0"/>
          <w:szCs w:val="32"/>
          <w:highlight w:val="none"/>
          <w:shd w:val="clear" w:color="auto" w:fill="FFFFFF"/>
          <w:lang w:val="zh-CN" w:eastAsia="zh-CN"/>
        </w:rPr>
        <w:t>—</w:t>
      </w:r>
      <w:r>
        <w:rPr>
          <w:rFonts w:hint="default" w:cs="Times New Roman"/>
          <w:color w:val="000000"/>
          <w:kern w:val="0"/>
          <w:szCs w:val="32"/>
          <w:highlight w:val="none"/>
          <w:shd w:val="clear" w:color="auto" w:fill="FFFFFF"/>
          <w:lang w:val="zh-CN"/>
        </w:rPr>
        <w:t>1</w:t>
      </w:r>
      <w:r>
        <w:rPr>
          <w:rFonts w:hint="default" w:cs="Times New Roman"/>
          <w:color w:val="000000"/>
          <w:kern w:val="0"/>
          <w:szCs w:val="32"/>
          <w:highlight w:val="none"/>
          <w:shd w:val="clear" w:color="auto" w:fill="FFFFFF"/>
          <w:lang w:val="en-US" w:eastAsia="zh-CN"/>
        </w:rPr>
        <w:t>2</w:t>
      </w:r>
      <w:r>
        <w:rPr>
          <w:rFonts w:hint="default" w:cs="Times New Roman"/>
          <w:color w:val="000000"/>
          <w:kern w:val="0"/>
          <w:szCs w:val="32"/>
          <w:highlight w:val="none"/>
          <w:shd w:val="clear" w:color="auto" w:fill="FFFFFF"/>
          <w:lang w:val="zh-CN"/>
        </w:rPr>
        <w:t>月预算执行总体进度为</w:t>
      </w:r>
      <w:r>
        <w:rPr>
          <w:rFonts w:hint="eastAsia" w:cs="Times New Roman"/>
          <w:color w:val="000000"/>
          <w:kern w:val="0"/>
          <w:szCs w:val="32"/>
          <w:highlight w:val="none"/>
          <w:shd w:val="clear" w:color="auto" w:fill="FFFFFF"/>
          <w:lang w:val="en-US" w:eastAsia="zh-CN"/>
        </w:rPr>
        <w:t>100</w:t>
      </w:r>
      <w:r>
        <w:rPr>
          <w:rFonts w:hint="default" w:cs="Times New Roman"/>
          <w:color w:val="000000"/>
          <w:kern w:val="0"/>
          <w:szCs w:val="32"/>
          <w:highlight w:val="none"/>
          <w:shd w:val="clear" w:color="auto" w:fill="FFFFFF"/>
          <w:lang w:val="zh-CN"/>
        </w:rPr>
        <w:t>%</w:t>
      </w:r>
      <w:r>
        <w:rPr>
          <w:rFonts w:hint="eastAsia" w:cs="Times New Roman"/>
          <w:color w:val="000000"/>
          <w:kern w:val="0"/>
          <w:szCs w:val="32"/>
          <w:highlight w:val="none"/>
          <w:shd w:val="clear" w:color="auto" w:fill="FFFFFF"/>
          <w:lang w:val="en-US" w:eastAsia="zh-CN"/>
        </w:rPr>
        <w:t>；实施了2个</w:t>
      </w:r>
      <w:r>
        <w:rPr>
          <w:rFonts w:hint="default" w:cs="Times New Roman"/>
          <w:color w:val="000000"/>
          <w:kern w:val="0"/>
          <w:szCs w:val="32"/>
          <w:highlight w:val="none"/>
          <w:shd w:val="clear" w:color="auto" w:fill="FFFFFF"/>
          <w:lang w:val="en-US" w:eastAsia="zh-CN"/>
        </w:rPr>
        <w:t>一次性项目</w:t>
      </w:r>
      <w:r>
        <w:rPr>
          <w:rFonts w:hint="default" w:cs="Times New Roman"/>
          <w:color w:val="000000"/>
          <w:kern w:val="0"/>
          <w:szCs w:val="32"/>
          <w:highlight w:val="none"/>
          <w:shd w:val="clear" w:color="auto" w:fill="FFFFFF"/>
          <w:lang w:val="zh-CN" w:eastAsia="zh-CN"/>
        </w:rPr>
        <w:t>，涉及预算总金额</w:t>
      </w:r>
      <w:r>
        <w:rPr>
          <w:rFonts w:hint="eastAsia" w:cs="Times New Roman"/>
          <w:color w:val="000000"/>
          <w:kern w:val="0"/>
          <w:szCs w:val="32"/>
          <w:highlight w:val="none"/>
          <w:shd w:val="clear" w:color="auto" w:fill="FFFFFF"/>
          <w:lang w:val="en-US" w:eastAsia="zh-CN"/>
        </w:rPr>
        <w:t>98.13</w:t>
      </w:r>
      <w:r>
        <w:rPr>
          <w:rFonts w:hint="default" w:cs="Times New Roman"/>
          <w:color w:val="000000"/>
          <w:kern w:val="0"/>
          <w:szCs w:val="32"/>
          <w:highlight w:val="none"/>
          <w:shd w:val="clear" w:color="auto" w:fill="FFFFFF"/>
          <w:lang w:val="zh-CN" w:eastAsia="zh-CN"/>
        </w:rPr>
        <w:t>万元，</w:t>
      </w:r>
      <w:r>
        <w:rPr>
          <w:rFonts w:hint="default" w:cs="Times New Roman"/>
          <w:color w:val="000000"/>
          <w:kern w:val="0"/>
          <w:szCs w:val="32"/>
          <w:highlight w:val="none"/>
          <w:shd w:val="clear" w:color="auto" w:fill="FFFFFF"/>
          <w:lang w:val="zh-CN"/>
        </w:rPr>
        <w:t>1</w:t>
      </w:r>
      <w:r>
        <w:rPr>
          <w:rFonts w:hint="eastAsia" w:cs="Times New Roman"/>
          <w:color w:val="000000"/>
          <w:kern w:val="0"/>
          <w:szCs w:val="32"/>
          <w:highlight w:val="none"/>
          <w:shd w:val="clear" w:color="auto" w:fill="FFFFFF"/>
          <w:lang w:val="zh-CN" w:eastAsia="zh-CN"/>
        </w:rPr>
        <w:t>—</w:t>
      </w:r>
      <w:r>
        <w:rPr>
          <w:rFonts w:hint="default" w:cs="Times New Roman"/>
          <w:color w:val="000000"/>
          <w:kern w:val="0"/>
          <w:szCs w:val="32"/>
          <w:highlight w:val="none"/>
          <w:shd w:val="clear" w:color="auto" w:fill="FFFFFF"/>
          <w:lang w:val="zh-CN"/>
        </w:rPr>
        <w:t>1</w:t>
      </w:r>
      <w:r>
        <w:rPr>
          <w:rFonts w:hint="default" w:cs="Times New Roman"/>
          <w:color w:val="000000"/>
          <w:kern w:val="0"/>
          <w:szCs w:val="32"/>
          <w:highlight w:val="none"/>
          <w:shd w:val="clear" w:color="auto" w:fill="FFFFFF"/>
          <w:lang w:val="en-US" w:eastAsia="zh-CN"/>
        </w:rPr>
        <w:t>2</w:t>
      </w:r>
      <w:r>
        <w:rPr>
          <w:rFonts w:hint="default" w:cs="Times New Roman"/>
          <w:color w:val="000000"/>
          <w:kern w:val="0"/>
          <w:szCs w:val="32"/>
          <w:highlight w:val="none"/>
          <w:shd w:val="clear" w:color="auto" w:fill="FFFFFF"/>
          <w:lang w:val="zh-CN"/>
        </w:rPr>
        <w:t>月预算执行总体进度为</w:t>
      </w:r>
      <w:r>
        <w:rPr>
          <w:rFonts w:hint="eastAsia" w:cs="Times New Roman"/>
          <w:color w:val="000000"/>
          <w:kern w:val="0"/>
          <w:szCs w:val="32"/>
          <w:highlight w:val="none"/>
          <w:shd w:val="clear" w:color="auto" w:fill="FFFFFF"/>
          <w:lang w:val="en-US" w:eastAsia="zh-CN"/>
        </w:rPr>
        <w:t>100</w:t>
      </w:r>
      <w:r>
        <w:rPr>
          <w:rFonts w:hint="default" w:cs="Times New Roman"/>
          <w:color w:val="000000"/>
          <w:kern w:val="0"/>
          <w:szCs w:val="32"/>
          <w:highlight w:val="none"/>
          <w:shd w:val="clear" w:color="auto" w:fill="FFFFFF"/>
          <w:lang w:val="zh-CN"/>
        </w:rPr>
        <w:t>%</w:t>
      </w:r>
      <w:r>
        <w:rPr>
          <w:rFonts w:hint="eastAsia" w:cs="Times New Roman"/>
          <w:color w:val="000000"/>
          <w:kern w:val="0"/>
          <w:szCs w:val="32"/>
          <w:highlight w:val="none"/>
          <w:shd w:val="clear" w:color="auto" w:fill="FFFFFF"/>
          <w:lang w:val="zh-CN"/>
        </w:rPr>
        <w:t>。</w:t>
      </w:r>
    </w:p>
    <w:p w14:paraId="3B430E93">
      <w:pPr>
        <w:keepNext w:val="0"/>
        <w:keepLines w:val="0"/>
        <w:pageBreakBefore w:val="0"/>
        <w:kinsoku/>
        <w:wordWrap/>
        <w:overflowPunct/>
        <w:topLinePunct w:val="0"/>
        <w:autoSpaceDE/>
        <w:autoSpaceDN/>
        <w:bidi w:val="0"/>
        <w:adjustRightInd w:val="0"/>
        <w:snapToGrid w:val="0"/>
        <w:spacing w:line="578" w:lineRule="exact"/>
        <w:ind w:firstLine="640" w:firstLineChars="200"/>
        <w:contextualSpacing/>
        <w:textAlignment w:val="auto"/>
        <w:rPr>
          <w:rFonts w:ascii="楷体_GB2312" w:hAnsi="楷体_GB2312" w:eastAsia="楷体_GB2312" w:cs="楷体_GB2312"/>
          <w:color w:val="000000"/>
          <w:kern w:val="0"/>
          <w:szCs w:val="32"/>
          <w:shd w:val="clear" w:color="auto" w:fill="FFFFFF"/>
          <w:lang w:val="zh-CN"/>
        </w:rPr>
      </w:pPr>
      <w:r>
        <w:rPr>
          <w:rFonts w:hint="eastAsia" w:ascii="楷体_GB2312" w:hAnsi="楷体_GB2312" w:eastAsia="楷体_GB2312" w:cs="楷体_GB2312"/>
          <w:color w:val="000000"/>
          <w:kern w:val="0"/>
          <w:szCs w:val="32"/>
          <w:shd w:val="clear" w:color="auto" w:fill="FFFFFF"/>
        </w:rPr>
        <w:t>1.</w:t>
      </w:r>
      <w:r>
        <w:rPr>
          <w:rFonts w:hint="eastAsia" w:ascii="楷体_GB2312" w:hAnsi="楷体_GB2312" w:eastAsia="楷体_GB2312" w:cs="楷体_GB2312"/>
          <w:color w:val="000000"/>
          <w:kern w:val="0"/>
          <w:szCs w:val="32"/>
          <w:shd w:val="clear" w:color="auto" w:fill="FFFFFF"/>
          <w:lang w:val="zh-CN"/>
        </w:rPr>
        <w:t>项目决策。</w:t>
      </w:r>
      <w:r>
        <w:rPr>
          <w:rFonts w:hint="eastAsia"/>
          <w:color w:val="000000"/>
          <w:kern w:val="0"/>
          <w:szCs w:val="32"/>
          <w:shd w:val="clear" w:color="auto" w:fill="FFFFFF"/>
          <w:lang w:val="zh-CN"/>
        </w:rPr>
        <w:t>本单位预算项目设立履行了评估论证程序，并按照项目入库管理流程进行申报审核，均在规定时间完成项目入库。部门预算项目切实按照财政要求和年度重点任务制定了绩效目标，编制要素科学合理、规范完整，绩效指标细化量化，与预算安排相匹配。</w:t>
      </w:r>
    </w:p>
    <w:p w14:paraId="1692E569">
      <w:pPr>
        <w:keepNext w:val="0"/>
        <w:keepLines w:val="0"/>
        <w:pageBreakBefore w:val="0"/>
        <w:kinsoku/>
        <w:wordWrap/>
        <w:overflowPunct/>
        <w:topLinePunct w:val="0"/>
        <w:autoSpaceDE/>
        <w:autoSpaceDN/>
        <w:bidi w:val="0"/>
        <w:adjustRightInd w:val="0"/>
        <w:snapToGrid w:val="0"/>
        <w:spacing w:line="578" w:lineRule="exact"/>
        <w:ind w:firstLine="640" w:firstLineChars="200"/>
        <w:contextualSpacing/>
        <w:textAlignment w:val="auto"/>
        <w:rPr>
          <w:rFonts w:ascii="楷体_GB2312" w:hAnsi="楷体_GB2312" w:eastAsia="楷体_GB2312" w:cs="楷体_GB2312"/>
          <w:color w:val="000000"/>
          <w:kern w:val="0"/>
          <w:szCs w:val="32"/>
          <w:shd w:val="clear" w:color="auto" w:fill="FFFFFF"/>
          <w:lang w:val="zh-CN"/>
        </w:rPr>
      </w:pPr>
      <w:r>
        <w:rPr>
          <w:rFonts w:hint="eastAsia" w:ascii="楷体_GB2312" w:hAnsi="楷体_GB2312" w:eastAsia="楷体_GB2312" w:cs="楷体_GB2312"/>
          <w:color w:val="000000"/>
          <w:kern w:val="0"/>
          <w:szCs w:val="32"/>
          <w:shd w:val="clear" w:color="auto" w:fill="FFFFFF"/>
        </w:rPr>
        <w:t>2.项目执行</w:t>
      </w:r>
      <w:r>
        <w:rPr>
          <w:rFonts w:hint="eastAsia" w:ascii="楷体_GB2312" w:hAnsi="楷体_GB2312" w:eastAsia="楷体_GB2312" w:cs="楷体_GB2312"/>
          <w:color w:val="000000"/>
          <w:kern w:val="0"/>
          <w:szCs w:val="32"/>
          <w:shd w:val="clear" w:color="auto" w:fill="FFFFFF"/>
          <w:lang w:val="zh-CN"/>
        </w:rPr>
        <w:t>。</w:t>
      </w:r>
      <w:r>
        <w:rPr>
          <w:rFonts w:hint="eastAsia"/>
          <w:color w:val="000000"/>
          <w:kern w:val="0"/>
          <w:szCs w:val="32"/>
          <w:shd w:val="clear" w:color="auto" w:fill="FFFFFF"/>
          <w:lang w:val="zh-CN"/>
        </w:rPr>
        <w:t>本单位围绕年度重点工作任务认真履职，部门整体支出、项目支出绩效目标均实现较好。通过扎实开展整体支出预算绩效和项目绩效运行监控分析，根据分析结果及时对相关经费进行了预算收回或科目调整。</w:t>
      </w:r>
    </w:p>
    <w:p w14:paraId="1C77B5FA">
      <w:pPr>
        <w:adjustRightInd w:val="0"/>
        <w:snapToGrid w:val="0"/>
        <w:spacing w:line="598" w:lineRule="exact"/>
        <w:ind w:firstLine="640" w:firstLineChars="200"/>
        <w:contextualSpacing/>
        <w:rPr>
          <w:rFonts w:ascii="楷体_GB2312" w:hAnsi="楷体_GB2312" w:eastAsia="楷体_GB2312" w:cs="楷体_GB2312"/>
          <w:color w:val="000000"/>
          <w:kern w:val="0"/>
          <w:szCs w:val="32"/>
          <w:shd w:val="clear" w:color="auto" w:fill="FFFFFF"/>
          <w:lang w:val="zh-CN"/>
        </w:rPr>
      </w:pPr>
      <w:r>
        <w:rPr>
          <w:rFonts w:hint="eastAsia" w:ascii="楷体_GB2312" w:hAnsi="楷体_GB2312" w:eastAsia="楷体_GB2312" w:cs="楷体_GB2312"/>
          <w:color w:val="000000"/>
          <w:kern w:val="0"/>
          <w:szCs w:val="32"/>
          <w:shd w:val="clear" w:color="auto" w:fill="FFFFFF"/>
        </w:rPr>
        <w:t>3.</w:t>
      </w:r>
      <w:r>
        <w:rPr>
          <w:rFonts w:hint="eastAsia" w:ascii="楷体_GB2312" w:hAnsi="楷体_GB2312" w:eastAsia="楷体_GB2312" w:cs="楷体_GB2312"/>
          <w:color w:val="000000"/>
          <w:kern w:val="0"/>
          <w:szCs w:val="32"/>
          <w:shd w:val="clear" w:color="auto" w:fill="FFFFFF"/>
          <w:lang w:val="zh-CN"/>
        </w:rPr>
        <w:t>目标实现。</w:t>
      </w:r>
      <w:r>
        <w:rPr>
          <w:rFonts w:hint="eastAsia"/>
          <w:color w:val="000000"/>
          <w:kern w:val="0"/>
          <w:szCs w:val="32"/>
          <w:shd w:val="clear" w:color="auto" w:fill="FFFFFF"/>
          <w:lang w:val="zh-CN"/>
        </w:rPr>
        <w:t>本单位围绕各项绩效目标认真履职，部门预算项目绩效目标数量指标基本完成，项目整体目标基本实现，未发现预算项目绩效目标数量指标实现程度与预期目标的偏离情况的情况，项目按计划实施，其各项效益指标、满意度指标均达到绩效目标预期效果。</w:t>
      </w:r>
    </w:p>
    <w:p w14:paraId="378D0094">
      <w:pPr>
        <w:widowControl/>
        <w:adjustRightInd w:val="0"/>
        <w:snapToGrid w:val="0"/>
        <w:spacing w:line="598" w:lineRule="exact"/>
        <w:ind w:firstLine="643" w:firstLineChars="200"/>
        <w:contextualSpacing/>
        <w:rPr>
          <w:rFonts w:eastAsia="楷体_GB2312"/>
          <w:b/>
          <w:bCs/>
          <w:color w:val="000000"/>
          <w:kern w:val="0"/>
          <w:szCs w:val="32"/>
          <w:shd w:val="clear" w:color="auto" w:fill="FFFFFF"/>
          <w:lang w:val="zh-CN"/>
        </w:rPr>
      </w:pPr>
      <w:r>
        <w:rPr>
          <w:rFonts w:eastAsia="楷体_GB2312"/>
          <w:b/>
          <w:bCs/>
          <w:color w:val="000000"/>
          <w:kern w:val="0"/>
          <w:szCs w:val="32"/>
          <w:shd w:val="clear" w:color="auto" w:fill="FFFFFF"/>
          <w:lang w:val="zh-CN"/>
        </w:rPr>
        <w:t>（</w:t>
      </w:r>
      <w:r>
        <w:rPr>
          <w:rFonts w:hint="eastAsia" w:eastAsia="楷体_GB2312"/>
          <w:b/>
          <w:bCs/>
          <w:color w:val="000000"/>
          <w:kern w:val="0"/>
          <w:szCs w:val="32"/>
          <w:shd w:val="clear" w:color="auto" w:fill="FFFFFF"/>
          <w:lang w:val="zh-CN"/>
        </w:rPr>
        <w:t>三</w:t>
      </w:r>
      <w:r>
        <w:rPr>
          <w:rFonts w:eastAsia="楷体_GB2312"/>
          <w:b/>
          <w:bCs/>
          <w:color w:val="000000"/>
          <w:kern w:val="0"/>
          <w:szCs w:val="32"/>
          <w:shd w:val="clear" w:color="auto" w:fill="FFFFFF"/>
          <w:lang w:val="zh-CN"/>
        </w:rPr>
        <w:t>）重点领域绩效分析</w:t>
      </w:r>
    </w:p>
    <w:p w14:paraId="375BEF8E">
      <w:pPr>
        <w:widowControl/>
        <w:adjustRightInd w:val="0"/>
        <w:snapToGrid w:val="0"/>
        <w:spacing w:line="598" w:lineRule="exact"/>
        <w:ind w:firstLine="640" w:firstLineChars="200"/>
        <w:contextualSpacing/>
        <w:rPr>
          <w:color w:val="000000"/>
          <w:kern w:val="0"/>
          <w:szCs w:val="32"/>
          <w:shd w:val="clear" w:color="auto" w:fill="FFFFFF"/>
        </w:rPr>
      </w:pPr>
      <w:r>
        <w:rPr>
          <w:rFonts w:hint="eastAsia"/>
          <w:szCs w:val="32"/>
          <w:lang w:val="en-US" w:eastAsia="zh-CN"/>
        </w:rPr>
        <w:t>县政府</w:t>
      </w:r>
      <w:r>
        <w:rPr>
          <w:rFonts w:hint="eastAsia"/>
          <w:szCs w:val="32"/>
        </w:rPr>
        <w:t>办公室202</w:t>
      </w:r>
      <w:r>
        <w:rPr>
          <w:rFonts w:hint="eastAsia"/>
          <w:szCs w:val="32"/>
          <w:lang w:val="en-US" w:eastAsia="zh-CN"/>
        </w:rPr>
        <w:t>4</w:t>
      </w:r>
      <w:r>
        <w:rPr>
          <w:rFonts w:hint="eastAsia"/>
          <w:szCs w:val="32"/>
        </w:rPr>
        <w:t>年度不涉及国有资本、债券资金、政府采购和政府购买服务等重点领域。</w:t>
      </w:r>
      <w:r>
        <w:rPr>
          <w:rFonts w:hint="eastAsia"/>
          <w:szCs w:val="32"/>
          <w:lang w:val="en-US" w:eastAsia="zh-CN"/>
        </w:rPr>
        <w:t>政府</w:t>
      </w:r>
      <w:r>
        <w:rPr>
          <w:rFonts w:hint="eastAsia"/>
          <w:szCs w:val="32"/>
        </w:rPr>
        <w:t>办公室行政事业性国有资产管理未开展绩效评价。</w:t>
      </w:r>
    </w:p>
    <w:p w14:paraId="5D01E07E">
      <w:pPr>
        <w:snapToGrid w:val="0"/>
        <w:spacing w:line="598" w:lineRule="exact"/>
        <w:ind w:firstLine="643" w:firstLineChars="200"/>
        <w:rPr>
          <w:rFonts w:eastAsia="楷体_GB2312"/>
          <w:b/>
          <w:bCs/>
          <w:szCs w:val="32"/>
          <w:lang w:val="zh-CN"/>
        </w:rPr>
      </w:pPr>
      <w:r>
        <w:rPr>
          <w:rFonts w:eastAsia="楷体_GB2312"/>
          <w:b/>
          <w:bCs/>
          <w:szCs w:val="32"/>
          <w:lang w:val="zh-CN"/>
        </w:rPr>
        <w:t>（四）绩效结果应用情况</w:t>
      </w:r>
      <w:r>
        <w:rPr>
          <w:rFonts w:hint="eastAsia" w:eastAsia="楷体_GB2312"/>
          <w:b/>
          <w:bCs/>
          <w:szCs w:val="32"/>
          <w:lang w:val="zh-CN"/>
        </w:rPr>
        <w:t>。</w:t>
      </w:r>
    </w:p>
    <w:p w14:paraId="2C0E2DAC">
      <w:pPr>
        <w:snapToGrid w:val="0"/>
        <w:spacing w:line="598" w:lineRule="exact"/>
        <w:ind w:firstLine="640" w:firstLineChars="200"/>
        <w:rPr>
          <w:color w:val="000000"/>
          <w:kern w:val="0"/>
          <w:szCs w:val="32"/>
          <w:shd w:val="clear" w:color="auto" w:fill="FFFFFF"/>
          <w:lang w:val="zh-CN"/>
        </w:rPr>
      </w:pPr>
      <w:r>
        <w:rPr>
          <w:rFonts w:hint="eastAsia"/>
          <w:color w:val="000000"/>
          <w:kern w:val="0"/>
          <w:szCs w:val="32"/>
          <w:shd w:val="clear" w:color="auto" w:fill="FFFFFF"/>
          <w:lang w:val="zh-CN"/>
        </w:rPr>
        <w:t>1.内部应用情况</w:t>
      </w:r>
    </w:p>
    <w:p w14:paraId="36FAE88A">
      <w:pPr>
        <w:snapToGrid w:val="0"/>
        <w:spacing w:line="598" w:lineRule="exact"/>
        <w:ind w:firstLine="640" w:firstLineChars="200"/>
        <w:rPr>
          <w:color w:val="000000"/>
          <w:kern w:val="0"/>
          <w:szCs w:val="32"/>
          <w:shd w:val="clear" w:color="auto" w:fill="FFFFFF"/>
          <w:lang w:val="zh-CN"/>
        </w:rPr>
      </w:pPr>
      <w:r>
        <w:rPr>
          <w:rFonts w:hint="eastAsia"/>
          <w:color w:val="000000"/>
          <w:kern w:val="0"/>
          <w:szCs w:val="32"/>
          <w:shd w:val="clear" w:color="auto" w:fill="FFFFFF"/>
          <w:lang w:val="en-US" w:eastAsia="zh-CN"/>
        </w:rPr>
        <w:t>县政府</w:t>
      </w:r>
      <w:r>
        <w:rPr>
          <w:rFonts w:hint="eastAsia"/>
          <w:color w:val="000000"/>
          <w:kern w:val="0"/>
          <w:szCs w:val="32"/>
          <w:shd w:val="clear" w:color="auto" w:fill="FFFFFF"/>
          <w:lang w:val="zh-CN"/>
        </w:rPr>
        <w:t>办公室将绩效自评纳入考核体系，建立了预算与绩效挂钩机制。</w:t>
      </w:r>
    </w:p>
    <w:p w14:paraId="52B7D3CB">
      <w:pPr>
        <w:snapToGrid w:val="0"/>
        <w:spacing w:line="598" w:lineRule="exact"/>
        <w:ind w:firstLine="640" w:firstLineChars="200"/>
        <w:rPr>
          <w:color w:val="000000"/>
          <w:kern w:val="0"/>
          <w:szCs w:val="32"/>
          <w:shd w:val="clear" w:color="auto" w:fill="FFFFFF"/>
          <w:lang w:val="zh-CN"/>
        </w:rPr>
      </w:pPr>
      <w:r>
        <w:rPr>
          <w:rFonts w:hint="eastAsia"/>
          <w:color w:val="000000"/>
          <w:kern w:val="0"/>
          <w:szCs w:val="32"/>
          <w:shd w:val="clear" w:color="auto" w:fill="FFFFFF"/>
          <w:lang w:val="zh-CN"/>
        </w:rPr>
        <w:t>2.信息公开情况</w:t>
      </w:r>
    </w:p>
    <w:p w14:paraId="7144EE88">
      <w:pPr>
        <w:snapToGrid w:val="0"/>
        <w:spacing w:line="598" w:lineRule="exact"/>
        <w:ind w:firstLine="640" w:firstLineChars="200"/>
        <w:rPr>
          <w:color w:val="000000"/>
          <w:kern w:val="0"/>
          <w:szCs w:val="32"/>
          <w:shd w:val="clear" w:color="auto" w:fill="FFFFFF"/>
          <w:lang w:val="zh-CN"/>
        </w:rPr>
      </w:pPr>
      <w:r>
        <w:rPr>
          <w:rFonts w:hint="eastAsia"/>
          <w:color w:val="000000"/>
          <w:kern w:val="0"/>
          <w:szCs w:val="32"/>
          <w:shd w:val="clear" w:color="auto" w:fill="FFFFFF"/>
          <w:lang w:val="zh-CN"/>
        </w:rPr>
        <w:t>按照县财政局相关要求，在渠县人民政府门户网站上将部门整体支出绩效目标、部门预算项目绩效目标和自评情况等绩效信息随同预决算向社会公开。</w:t>
      </w:r>
    </w:p>
    <w:p w14:paraId="7C7FC4CC">
      <w:pPr>
        <w:snapToGrid w:val="0"/>
        <w:spacing w:line="598" w:lineRule="exact"/>
        <w:ind w:firstLine="640" w:firstLineChars="200"/>
        <w:rPr>
          <w:color w:val="000000"/>
          <w:kern w:val="0"/>
          <w:szCs w:val="32"/>
          <w:shd w:val="clear" w:color="auto" w:fill="FFFFFF"/>
          <w:lang w:val="zh-CN"/>
        </w:rPr>
      </w:pPr>
      <w:r>
        <w:rPr>
          <w:rFonts w:hint="eastAsia"/>
          <w:color w:val="000000"/>
          <w:kern w:val="0"/>
          <w:szCs w:val="32"/>
          <w:shd w:val="clear" w:color="auto" w:fill="FFFFFF"/>
          <w:lang w:val="zh-CN"/>
        </w:rPr>
        <w:t>3.整改反馈情况</w:t>
      </w:r>
    </w:p>
    <w:p w14:paraId="4CADCDCE">
      <w:pPr>
        <w:snapToGrid w:val="0"/>
        <w:spacing w:line="598" w:lineRule="exact"/>
        <w:ind w:firstLine="640" w:firstLineChars="200"/>
        <w:rPr>
          <w:rFonts w:hint="eastAsia"/>
          <w:color w:val="000000"/>
          <w:kern w:val="0"/>
          <w:szCs w:val="32"/>
          <w:shd w:val="clear" w:color="auto" w:fill="FFFFFF"/>
          <w:lang w:val="zh-CN"/>
        </w:rPr>
      </w:pPr>
      <w:r>
        <w:rPr>
          <w:rFonts w:hint="eastAsia"/>
          <w:color w:val="000000"/>
          <w:kern w:val="0"/>
          <w:szCs w:val="32"/>
          <w:shd w:val="clear" w:color="auto" w:fill="FFFFFF"/>
          <w:lang w:val="zh-CN"/>
        </w:rPr>
        <w:t>202</w:t>
      </w:r>
      <w:r>
        <w:rPr>
          <w:rFonts w:hint="eastAsia"/>
          <w:color w:val="000000"/>
          <w:kern w:val="0"/>
          <w:szCs w:val="32"/>
          <w:shd w:val="clear" w:color="auto" w:fill="FFFFFF"/>
          <w:lang w:val="en-US" w:eastAsia="zh-CN"/>
        </w:rPr>
        <w:t>4</w:t>
      </w:r>
      <w:r>
        <w:rPr>
          <w:rFonts w:hint="eastAsia"/>
          <w:color w:val="000000"/>
          <w:kern w:val="0"/>
          <w:szCs w:val="32"/>
          <w:shd w:val="clear" w:color="auto" w:fill="FFFFFF"/>
          <w:lang w:val="zh-CN"/>
        </w:rPr>
        <w:t>年度未收到人大监督、巡视巡察、审计监督、财会监督等反馈的有关预算绩效存在的问题。</w:t>
      </w:r>
    </w:p>
    <w:p w14:paraId="42BD2FE0">
      <w:pPr>
        <w:snapToGrid w:val="0"/>
        <w:spacing w:line="598" w:lineRule="exact"/>
        <w:ind w:firstLine="640" w:firstLineChars="200"/>
        <w:rPr>
          <w:rFonts w:ascii="仿宋_GB2312" w:hAnsi="仿宋_GB2312" w:cs="仿宋_GB2312"/>
          <w:b/>
          <w:szCs w:val="32"/>
        </w:rPr>
      </w:pPr>
      <w:r>
        <w:rPr>
          <w:rFonts w:hint="eastAsia"/>
          <w:color w:val="000000"/>
          <w:kern w:val="0"/>
          <w:szCs w:val="32"/>
          <w:shd w:val="clear" w:color="auto" w:fill="FFFFFF"/>
          <w:lang w:val="en-US" w:eastAsia="zh-CN"/>
        </w:rPr>
        <w:t>政府</w:t>
      </w:r>
      <w:r>
        <w:rPr>
          <w:rFonts w:hint="eastAsia"/>
          <w:color w:val="000000"/>
          <w:kern w:val="0"/>
          <w:szCs w:val="32"/>
          <w:shd w:val="clear" w:color="auto" w:fill="FFFFFF"/>
          <w:lang w:val="zh-CN"/>
        </w:rPr>
        <w:t>办公室根据职责分工，开展部门整体支出和部门预算项目支出绩效自评，对预算执行率不高、绩效目标未完成的项目，认真分析原因，进行绩效评价结果应用，将评价结果作为以后年度预算编制的重要依据。</w:t>
      </w:r>
    </w:p>
    <w:p w14:paraId="6EE28E9F">
      <w:pPr>
        <w:widowControl/>
        <w:adjustRightInd w:val="0"/>
        <w:snapToGrid w:val="0"/>
        <w:spacing w:line="598" w:lineRule="exact"/>
        <w:ind w:firstLine="640" w:firstLineChars="200"/>
        <w:contextualSpacing/>
        <w:rPr>
          <w:rFonts w:eastAsia="黑体"/>
          <w:color w:val="000000"/>
          <w:kern w:val="0"/>
          <w:szCs w:val="32"/>
          <w:shd w:val="clear" w:color="auto" w:fill="FFFFFF"/>
        </w:rPr>
      </w:pPr>
      <w:r>
        <w:rPr>
          <w:rFonts w:eastAsia="黑体"/>
          <w:color w:val="000000"/>
          <w:kern w:val="0"/>
          <w:szCs w:val="32"/>
          <w:shd w:val="clear" w:color="auto" w:fill="FFFFFF"/>
        </w:rPr>
        <w:t>四、评价结论及建议</w:t>
      </w:r>
    </w:p>
    <w:p w14:paraId="04865955">
      <w:pPr>
        <w:widowControl/>
        <w:adjustRightInd w:val="0"/>
        <w:snapToGrid w:val="0"/>
        <w:spacing w:line="598" w:lineRule="exact"/>
        <w:ind w:firstLine="643" w:firstLineChars="200"/>
        <w:contextualSpacing/>
        <w:rPr>
          <w:rFonts w:eastAsia="楷体_GB2312"/>
          <w:b/>
          <w:bCs/>
          <w:color w:val="000000"/>
          <w:kern w:val="0"/>
          <w:szCs w:val="32"/>
          <w:shd w:val="clear" w:color="auto" w:fill="FFFFFF"/>
          <w:lang w:val="zh-CN"/>
        </w:rPr>
      </w:pPr>
      <w:r>
        <w:rPr>
          <w:rFonts w:eastAsia="楷体_GB2312"/>
          <w:b/>
          <w:bCs/>
          <w:color w:val="000000"/>
          <w:kern w:val="0"/>
          <w:szCs w:val="32"/>
          <w:shd w:val="clear" w:color="auto" w:fill="FFFFFF"/>
          <w:lang w:val="zh-CN"/>
        </w:rPr>
        <w:t>（一）评价结论</w:t>
      </w:r>
    </w:p>
    <w:p w14:paraId="7307548A">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firstLine="640" w:firstLineChars="200"/>
        <w:textAlignment w:val="auto"/>
        <w:rPr>
          <w:rFonts w:hint="default" w:ascii="仿宋_GB2312" w:hAnsi="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我办202</w:t>
      </w:r>
      <w:r>
        <w:rPr>
          <w:rFonts w:hint="eastAsia" w:ascii="仿宋_GB2312" w:hAnsi="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年度全面推行绩效目标管理工作，以绩效目标实现为导向，努力提升绩效自评管理成效，进</w:t>
      </w:r>
      <w:r>
        <w:rPr>
          <w:rFonts w:hint="eastAsia" w:ascii="仿宋_GB2312" w:hAnsi="仿宋_GB2312" w:cs="仿宋_GB2312"/>
          <w:color w:val="auto"/>
          <w:sz w:val="32"/>
          <w:szCs w:val="32"/>
          <w:highlight w:val="none"/>
          <w:lang w:val="en-US" w:eastAsia="zh-CN"/>
        </w:rPr>
        <w:t>一</w:t>
      </w:r>
      <w:r>
        <w:rPr>
          <w:rFonts w:hint="eastAsia" w:ascii="仿宋_GB2312" w:hAnsi="仿宋_GB2312" w:eastAsia="仿宋_GB2312" w:cs="仿宋_GB2312"/>
          <w:color w:val="auto"/>
          <w:sz w:val="32"/>
          <w:szCs w:val="32"/>
          <w:highlight w:val="none"/>
        </w:rPr>
        <w:t>步加强制度建设，提升自评质量。</w:t>
      </w:r>
      <w:r>
        <w:rPr>
          <w:rFonts w:hint="eastAsia" w:ascii="仿宋_GB2312" w:hAnsi="仿宋_GB2312" w:cs="仿宋_GB2312"/>
          <w:kern w:val="0"/>
          <w:szCs w:val="32"/>
        </w:rPr>
        <w:t>按照《渠县财政局关于开展202</w:t>
      </w:r>
      <w:r>
        <w:rPr>
          <w:rFonts w:hint="eastAsia" w:ascii="仿宋_GB2312" w:hAnsi="仿宋_GB2312" w:cs="仿宋_GB2312"/>
          <w:kern w:val="0"/>
          <w:szCs w:val="32"/>
          <w:lang w:val="en-US" w:eastAsia="zh-CN"/>
        </w:rPr>
        <w:t>5</w:t>
      </w:r>
      <w:r>
        <w:rPr>
          <w:rFonts w:hint="eastAsia" w:ascii="仿宋_GB2312" w:hAnsi="仿宋_GB2312" w:cs="仿宋_GB2312"/>
          <w:kern w:val="0"/>
          <w:szCs w:val="32"/>
        </w:rPr>
        <w:t>年县级部门绩效自评工作的通知》（渠财绩〔202</w:t>
      </w:r>
      <w:r>
        <w:rPr>
          <w:rFonts w:hint="eastAsia" w:ascii="仿宋_GB2312" w:hAnsi="仿宋_GB2312" w:cs="仿宋_GB2312"/>
          <w:kern w:val="0"/>
          <w:szCs w:val="32"/>
          <w:lang w:val="en-US" w:eastAsia="zh-CN"/>
        </w:rPr>
        <w:t>5</w:t>
      </w:r>
      <w:r>
        <w:rPr>
          <w:rFonts w:hint="eastAsia" w:ascii="仿宋_GB2312" w:hAnsi="仿宋_GB2312" w:cs="仿宋_GB2312"/>
          <w:kern w:val="0"/>
          <w:szCs w:val="32"/>
        </w:rPr>
        <w:t>〕</w:t>
      </w:r>
      <w:r>
        <w:rPr>
          <w:rFonts w:hint="eastAsia" w:ascii="仿宋_GB2312" w:hAnsi="仿宋_GB2312" w:cs="仿宋_GB2312"/>
          <w:kern w:val="0"/>
          <w:szCs w:val="32"/>
          <w:lang w:val="en-US" w:eastAsia="zh-CN"/>
        </w:rPr>
        <w:t>5</w:t>
      </w:r>
      <w:r>
        <w:rPr>
          <w:rFonts w:hint="eastAsia" w:ascii="仿宋_GB2312" w:hAnsi="仿宋_GB2312" w:cs="仿宋_GB2312"/>
          <w:kern w:val="0"/>
          <w:szCs w:val="32"/>
        </w:rPr>
        <w:t>号）文件要求，从履职效能、预算管理、财务管理、资产管理、采购管理、项目决策、项目执行、目标实现等方面进行自评，总体上看，本单位履职效果明显、预算管理较完善、项目绩效目标按计划完成，根据《部门预算绩效评价指标体系》进行评价，自评得</w:t>
      </w:r>
      <w:r>
        <w:rPr>
          <w:rFonts w:hint="eastAsia" w:ascii="仿宋_GB2312" w:hAnsi="仿宋_GB2312" w:cs="仿宋_GB2312"/>
          <w:kern w:val="0"/>
          <w:szCs w:val="32"/>
          <w:lang w:val="en-US" w:eastAsia="zh-CN"/>
        </w:rPr>
        <w:t>分97.5</w:t>
      </w:r>
      <w:r>
        <w:rPr>
          <w:rFonts w:hint="eastAsia" w:ascii="仿宋_GB2312" w:hAnsi="仿宋_GB2312" w:cs="仿宋_GB2312"/>
          <w:kern w:val="0"/>
          <w:szCs w:val="32"/>
        </w:rPr>
        <w:t>分。</w:t>
      </w:r>
    </w:p>
    <w:p w14:paraId="53E77928">
      <w:pPr>
        <w:spacing w:line="598" w:lineRule="exact"/>
        <w:ind w:firstLine="643" w:firstLineChars="200"/>
        <w:rPr>
          <w:lang w:val="en"/>
        </w:rPr>
      </w:pPr>
      <w:r>
        <w:rPr>
          <w:rFonts w:hint="default" w:ascii="Times New Roman" w:hAnsi="Times New Roman" w:eastAsia="楷体_GB2312" w:cs="Times New Roman"/>
          <w:b/>
          <w:bCs/>
          <w:color w:val="000000"/>
          <w:kern w:val="0"/>
          <w:szCs w:val="32"/>
          <w:highlight w:val="none"/>
          <w:shd w:val="clear" w:color="auto" w:fill="FFFFFF"/>
          <w:lang w:val="zh-CN"/>
        </w:rPr>
        <w:t>（</w:t>
      </w:r>
      <w:r>
        <w:rPr>
          <w:rFonts w:hint="eastAsia" w:eastAsia="楷体_GB2312" w:cs="Times New Roman"/>
          <w:b/>
          <w:bCs/>
          <w:color w:val="000000"/>
          <w:kern w:val="0"/>
          <w:szCs w:val="32"/>
          <w:highlight w:val="none"/>
          <w:shd w:val="clear" w:color="auto" w:fill="FFFFFF"/>
          <w:lang w:val="zh-CN"/>
        </w:rPr>
        <w:t>二</w:t>
      </w:r>
      <w:r>
        <w:rPr>
          <w:rFonts w:hint="default" w:ascii="Times New Roman" w:hAnsi="Times New Roman" w:eastAsia="楷体_GB2312" w:cs="Times New Roman"/>
          <w:b/>
          <w:bCs/>
          <w:color w:val="000000"/>
          <w:kern w:val="0"/>
          <w:szCs w:val="32"/>
          <w:highlight w:val="none"/>
          <w:shd w:val="clear" w:color="auto" w:fill="FFFFFF"/>
          <w:lang w:val="zh-CN"/>
        </w:rPr>
        <w:t>）存在问题。</w:t>
      </w:r>
      <w:bookmarkStart w:id="2" w:name="_Hlk110546638"/>
      <w:r>
        <w:rPr>
          <w:rFonts w:hint="eastAsia"/>
          <w:lang w:val="en-US" w:eastAsia="zh-CN"/>
        </w:rPr>
        <w:t>财政拨款执行不均衡，存在上半年执行缓慢，年末集中执行的现象。</w:t>
      </w:r>
    </w:p>
    <w:p w14:paraId="18DB479D">
      <w:pPr>
        <w:spacing w:line="598" w:lineRule="exact"/>
        <w:ind w:firstLine="643" w:firstLineChars="200"/>
        <w:rPr>
          <w:rFonts w:eastAsia="楷体_GB2312"/>
          <w:b/>
          <w:bCs/>
          <w:color w:val="000000"/>
          <w:kern w:val="0"/>
          <w:szCs w:val="32"/>
          <w:shd w:val="clear" w:color="auto" w:fill="FFFFFF"/>
          <w:lang w:val="zh-CN"/>
        </w:rPr>
      </w:pPr>
      <w:r>
        <w:rPr>
          <w:rFonts w:eastAsia="楷体_GB2312"/>
          <w:b/>
          <w:bCs/>
          <w:color w:val="000000"/>
          <w:kern w:val="0"/>
          <w:szCs w:val="32"/>
          <w:shd w:val="clear" w:color="auto" w:fill="FFFFFF"/>
          <w:lang w:val="zh-CN"/>
        </w:rPr>
        <w:t>（三</w:t>
      </w:r>
      <w:r>
        <w:rPr>
          <w:rFonts w:hint="eastAsia" w:eastAsia="楷体_GB2312"/>
          <w:b/>
          <w:bCs/>
          <w:color w:val="000000"/>
          <w:kern w:val="0"/>
          <w:szCs w:val="32"/>
          <w:shd w:val="clear" w:color="auto" w:fill="FFFFFF"/>
          <w:lang w:val="zh-CN"/>
        </w:rPr>
        <w:t>）</w:t>
      </w:r>
      <w:r>
        <w:rPr>
          <w:rFonts w:eastAsia="楷体_GB2312"/>
          <w:b/>
          <w:bCs/>
          <w:color w:val="000000"/>
          <w:kern w:val="0"/>
          <w:szCs w:val="32"/>
          <w:shd w:val="clear" w:color="auto" w:fill="FFFFFF"/>
          <w:lang w:val="zh-CN"/>
        </w:rPr>
        <w:t>改进建议</w:t>
      </w:r>
    </w:p>
    <w:p w14:paraId="2AEE39D2">
      <w:pPr>
        <w:spacing w:line="598" w:lineRule="exact"/>
        <w:ind w:firstLine="640" w:firstLineChars="200"/>
        <w:rPr>
          <w:rFonts w:hint="default" w:eastAsia="仿宋_GB2312"/>
          <w:lang w:val="en-US" w:eastAsia="zh-CN"/>
        </w:rPr>
      </w:pPr>
      <w:r>
        <w:rPr>
          <w:rFonts w:hint="eastAsia"/>
          <w:lang w:val="en"/>
        </w:rPr>
        <w:t>提高预算</w:t>
      </w:r>
      <w:r>
        <w:rPr>
          <w:rFonts w:hint="eastAsia"/>
          <w:lang w:val="en-US" w:eastAsia="zh-CN"/>
        </w:rPr>
        <w:t>执行质量</w:t>
      </w:r>
      <w:r>
        <w:rPr>
          <w:rFonts w:hint="eastAsia"/>
          <w:lang w:val="en"/>
        </w:rPr>
        <w:t>。</w:t>
      </w:r>
      <w:r>
        <w:rPr>
          <w:rFonts w:hint="eastAsia"/>
          <w:lang w:val="en-US" w:eastAsia="zh-CN"/>
        </w:rPr>
        <w:t>政府</w:t>
      </w:r>
      <w:r>
        <w:rPr>
          <w:rFonts w:hint="eastAsia"/>
          <w:lang w:val="en"/>
        </w:rPr>
        <w:t>办公室将继续加强项目预算管理，根据年度工作任务，合理</w:t>
      </w:r>
      <w:r>
        <w:rPr>
          <w:rFonts w:hint="eastAsia"/>
          <w:lang w:val="en-US" w:eastAsia="zh-CN"/>
        </w:rPr>
        <w:t>制定资金执行计划，按时间进度、工作进度匀速执行资金拨付。</w:t>
      </w:r>
    </w:p>
    <w:bookmarkEnd w:id="2"/>
    <w:p w14:paraId="759F9EE1">
      <w:pPr>
        <w:keepNext w:val="0"/>
        <w:keepLines w:val="0"/>
        <w:pageBreakBefore w:val="0"/>
        <w:kinsoku/>
        <w:wordWrap/>
        <w:overflowPunct/>
        <w:topLinePunct w:val="0"/>
        <w:autoSpaceDE/>
        <w:autoSpaceDN/>
        <w:bidi w:val="0"/>
        <w:spacing w:line="578" w:lineRule="exact"/>
        <w:ind w:firstLine="640" w:firstLineChars="200"/>
        <w:rPr>
          <w:rFonts w:hint="eastAsia"/>
          <w:lang w:val="en-US" w:eastAsia="zh-CN"/>
        </w:rPr>
      </w:pPr>
    </w:p>
    <w:p w14:paraId="13E7EB45">
      <w:pPr>
        <w:pStyle w:val="44"/>
        <w:rPr>
          <w:rFonts w:hint="eastAsia"/>
          <w:lang w:val="en-US" w:eastAsia="zh-CN"/>
        </w:rPr>
      </w:pPr>
    </w:p>
    <w:p w14:paraId="15DC2A52">
      <w:pPr>
        <w:rPr>
          <w:rFonts w:hint="default"/>
          <w:lang w:val="en-US" w:eastAsia="zh-CN"/>
        </w:rPr>
      </w:pPr>
      <w:r>
        <w:rPr>
          <w:rFonts w:hint="eastAsia"/>
          <w:lang w:val="en-US" w:eastAsia="zh-CN"/>
        </w:rPr>
        <w:t xml:space="preserve">                               </w:t>
      </w:r>
    </w:p>
    <w:p w14:paraId="5CAD5263">
      <w:pPr>
        <w:pStyle w:val="44"/>
        <w:rPr>
          <w:rFonts w:hint="eastAsia" w:ascii="黑体" w:hAnsi="黑体" w:eastAsia="黑体" w:cs="黑体"/>
          <w:b w:val="0"/>
          <w:bCs/>
          <w:sz w:val="32"/>
          <w:szCs w:val="32"/>
          <w:lang w:val="en-US" w:eastAsia="zh-CN"/>
        </w:rPr>
      </w:pPr>
    </w:p>
    <w:p w14:paraId="6F214F27">
      <w:pPr>
        <w:rPr>
          <w:rFonts w:hint="eastAsia"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br w:type="page"/>
      </w:r>
    </w:p>
    <w:p w14:paraId="1AB422A0">
      <w:pPr>
        <w:jc w:val="center"/>
        <w:rPr>
          <w:rFonts w:hint="eastAsia" w:ascii="方正仿宋_GBK" w:hAnsi="方正仿宋_GBK" w:eastAsia="方正仿宋_GBK" w:cs="方正仿宋_GBK"/>
          <w:i w:val="0"/>
          <w:color w:val="000000"/>
          <w:kern w:val="0"/>
          <w:sz w:val="44"/>
          <w:szCs w:val="44"/>
          <w:u w:val="none"/>
          <w:lang w:val="en-US" w:eastAsia="zh-CN" w:bidi="ar"/>
        </w:rPr>
      </w:pPr>
      <w:r>
        <w:rPr>
          <w:rFonts w:hint="eastAsia" w:ascii="方正仿宋_GBK" w:hAnsi="方正仿宋_GBK" w:eastAsia="方正仿宋_GBK" w:cs="方正仿宋_GBK"/>
          <w:i w:val="0"/>
          <w:color w:val="000000"/>
          <w:kern w:val="0"/>
          <w:sz w:val="44"/>
          <w:szCs w:val="44"/>
          <w:u w:val="none"/>
          <w:lang w:val="en-US" w:eastAsia="zh-CN" w:bidi="ar"/>
        </w:rPr>
        <w:t>部门整体支出绩效目标完成情况自评表</w:t>
      </w:r>
    </w:p>
    <w:p w14:paraId="5E503C57">
      <w:pPr>
        <w:pStyle w:val="2"/>
        <w:jc w:val="center"/>
        <w:rPr>
          <w:rFonts w:hint="default" w:ascii="Times New Roman" w:hAnsi="Times New Roman" w:eastAsia="宋体" w:cs="Times New Roman"/>
          <w:i w:val="0"/>
          <w:color w:val="000000"/>
          <w:kern w:val="0"/>
          <w:sz w:val="28"/>
          <w:szCs w:val="28"/>
          <w:u w:val="none"/>
          <w:lang w:val="en-US" w:eastAsia="zh-CN" w:bidi="ar"/>
        </w:rPr>
      </w:pPr>
      <w:r>
        <w:rPr>
          <w:rFonts w:hint="default" w:ascii="Times New Roman" w:hAnsi="Times New Roman" w:eastAsia="宋体" w:cs="Times New Roman"/>
          <w:i w:val="0"/>
          <w:color w:val="000000"/>
          <w:kern w:val="0"/>
          <w:sz w:val="28"/>
          <w:szCs w:val="28"/>
          <w:u w:val="none"/>
          <w:lang w:val="en-US" w:eastAsia="zh-CN" w:bidi="ar"/>
        </w:rPr>
        <w:t>（202</w:t>
      </w:r>
      <w:r>
        <w:rPr>
          <w:rFonts w:hint="eastAsia" w:eastAsia="宋体" w:cs="Times New Roman"/>
          <w:i w:val="0"/>
          <w:color w:val="000000"/>
          <w:kern w:val="0"/>
          <w:sz w:val="28"/>
          <w:szCs w:val="28"/>
          <w:u w:val="none"/>
          <w:lang w:val="en-US" w:eastAsia="zh-CN" w:bidi="ar"/>
        </w:rPr>
        <w:t>4</w:t>
      </w:r>
      <w:r>
        <w:rPr>
          <w:rFonts w:hint="default" w:ascii="Times New Roman" w:hAnsi="Times New Roman" w:eastAsia="宋体" w:cs="Times New Roman"/>
          <w:i w:val="0"/>
          <w:color w:val="000000"/>
          <w:kern w:val="0"/>
          <w:sz w:val="28"/>
          <w:szCs w:val="28"/>
          <w:u w:val="none"/>
          <w:lang w:val="en-US" w:eastAsia="zh-CN" w:bidi="ar"/>
        </w:rPr>
        <w:t>年度）</w:t>
      </w:r>
    </w:p>
    <w:p w14:paraId="1818AC1C">
      <w:pPr>
        <w:pStyle w:val="3"/>
        <w:jc w:val="right"/>
        <w:rPr>
          <w:rFonts w:hint="eastAsia"/>
          <w:lang w:val="en-US" w:eastAsia="zh-CN"/>
        </w:rPr>
      </w:pPr>
      <w:r>
        <w:rPr>
          <w:rFonts w:hint="default" w:ascii="Times New Roman" w:hAnsi="Times New Roman" w:eastAsia="宋体" w:cs="Times New Roman"/>
          <w:i w:val="0"/>
          <w:color w:val="000000"/>
          <w:kern w:val="0"/>
          <w:sz w:val="21"/>
          <w:szCs w:val="21"/>
          <w:u w:val="none"/>
          <w:lang w:val="en-US" w:eastAsia="zh-CN" w:bidi="ar"/>
        </w:rPr>
        <w:t>单位：万元</w:t>
      </w:r>
    </w:p>
    <w:tbl>
      <w:tblPr>
        <w:tblStyle w:val="22"/>
        <w:tblW w:w="975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642"/>
        <w:gridCol w:w="1062"/>
        <w:gridCol w:w="1107"/>
        <w:gridCol w:w="1613"/>
        <w:gridCol w:w="636"/>
        <w:gridCol w:w="877"/>
        <w:gridCol w:w="853"/>
        <w:gridCol w:w="939"/>
        <w:gridCol w:w="1030"/>
      </w:tblGrid>
      <w:tr w14:paraId="6C4344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91" w:hRule="atLeast"/>
          <w:jc w:val="center"/>
        </w:trPr>
        <w:tc>
          <w:tcPr>
            <w:tcW w:w="381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4BC4960">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部门名称</w:t>
            </w:r>
          </w:p>
        </w:tc>
        <w:tc>
          <w:tcPr>
            <w:tcW w:w="594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1C2B313">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eastAsia" w:eastAsia="宋体" w:cs="Times New Roman"/>
                <w:i w:val="0"/>
                <w:color w:val="000000"/>
                <w:kern w:val="0"/>
                <w:sz w:val="24"/>
                <w:szCs w:val="24"/>
                <w:u w:val="none"/>
                <w:lang w:val="en-US" w:eastAsia="zh-CN" w:bidi="ar"/>
              </w:rPr>
              <w:t>渠县人民政府办公室</w:t>
            </w:r>
          </w:p>
        </w:tc>
      </w:tr>
      <w:tr w14:paraId="6DC146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1" w:hRule="atLeast"/>
          <w:jc w:val="center"/>
        </w:trPr>
        <w:tc>
          <w:tcPr>
            <w:tcW w:w="164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223B85">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年度部门整体支出预算</w:t>
            </w:r>
          </w:p>
        </w:tc>
        <w:tc>
          <w:tcPr>
            <w:tcW w:w="21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28FD6B">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资金总额</w:t>
            </w:r>
          </w:p>
        </w:tc>
        <w:tc>
          <w:tcPr>
            <w:tcW w:w="224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D96524">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财政拨款</w:t>
            </w:r>
          </w:p>
        </w:tc>
        <w:tc>
          <w:tcPr>
            <w:tcW w:w="369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5E60E3B">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其他资金</w:t>
            </w:r>
          </w:p>
        </w:tc>
      </w:tr>
      <w:tr w14:paraId="6165EA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1" w:hRule="atLeast"/>
          <w:jc w:val="center"/>
        </w:trPr>
        <w:tc>
          <w:tcPr>
            <w:tcW w:w="16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E2D216">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sz w:val="24"/>
                <w:szCs w:val="24"/>
                <w:u w:val="none"/>
              </w:rPr>
            </w:pPr>
          </w:p>
        </w:tc>
        <w:tc>
          <w:tcPr>
            <w:tcW w:w="21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DB61BB">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lang w:val="en-US"/>
              </w:rPr>
            </w:pPr>
            <w:r>
              <w:rPr>
                <w:rFonts w:hint="eastAsia" w:eastAsia="宋体" w:cs="Times New Roman"/>
                <w:i w:val="0"/>
                <w:color w:val="000000"/>
                <w:kern w:val="0"/>
                <w:sz w:val="24"/>
                <w:szCs w:val="24"/>
                <w:u w:val="none"/>
                <w:lang w:val="en-US" w:eastAsia="zh-CN" w:bidi="ar"/>
              </w:rPr>
              <w:t>2289.41</w:t>
            </w:r>
          </w:p>
        </w:tc>
        <w:tc>
          <w:tcPr>
            <w:tcW w:w="224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169800">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lang w:val="en-US"/>
              </w:rPr>
            </w:pPr>
            <w:r>
              <w:rPr>
                <w:rFonts w:hint="eastAsia" w:eastAsia="宋体" w:cs="Times New Roman"/>
                <w:i w:val="0"/>
                <w:color w:val="000000"/>
                <w:kern w:val="0"/>
                <w:sz w:val="24"/>
                <w:szCs w:val="24"/>
                <w:u w:val="none"/>
                <w:lang w:val="en-US" w:eastAsia="zh-CN" w:bidi="ar"/>
              </w:rPr>
              <w:t>2289.41</w:t>
            </w:r>
          </w:p>
        </w:tc>
        <w:tc>
          <w:tcPr>
            <w:tcW w:w="369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F28D23C">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eastAsia" w:eastAsia="宋体" w:cs="Times New Roman"/>
                <w:i w:val="0"/>
                <w:color w:val="000000"/>
                <w:kern w:val="0"/>
                <w:sz w:val="24"/>
                <w:szCs w:val="24"/>
                <w:u w:val="none"/>
                <w:lang w:val="en-US" w:eastAsia="zh-CN" w:bidi="ar"/>
              </w:rPr>
              <w:t>0</w:t>
            </w:r>
          </w:p>
        </w:tc>
      </w:tr>
      <w:tr w14:paraId="666B7E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99" w:hRule="atLeast"/>
          <w:jc w:val="center"/>
        </w:trPr>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8581E">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年度总</w:t>
            </w:r>
            <w:r>
              <w:rPr>
                <w:rFonts w:hint="eastAsia" w:eastAsia="宋体" w:cs="Times New Roman"/>
                <w:i w:val="0"/>
                <w:color w:val="000000"/>
                <w:kern w:val="0"/>
                <w:sz w:val="24"/>
                <w:szCs w:val="24"/>
                <w:u w:val="none"/>
                <w:lang w:val="en-US" w:eastAsia="zh-CN" w:bidi="ar"/>
              </w:rPr>
              <w:t>体</w:t>
            </w:r>
            <w:r>
              <w:rPr>
                <w:rFonts w:hint="default" w:ascii="Times New Roman" w:hAnsi="Times New Roman" w:eastAsia="宋体" w:cs="Times New Roman"/>
                <w:i w:val="0"/>
                <w:color w:val="000000"/>
                <w:kern w:val="0"/>
                <w:sz w:val="24"/>
                <w:szCs w:val="24"/>
                <w:u w:val="none"/>
                <w:lang w:val="en-US" w:eastAsia="zh-CN" w:bidi="ar"/>
              </w:rPr>
              <w:t>目标</w:t>
            </w:r>
          </w:p>
        </w:tc>
        <w:tc>
          <w:tcPr>
            <w:tcW w:w="8117"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FCF8125">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通过实施政府办公室整体支出，保障县政府办公室各项工作正常运行。</w:t>
            </w:r>
          </w:p>
        </w:tc>
      </w:tr>
      <w:tr w14:paraId="3BC650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1" w:hRule="atLeast"/>
          <w:jc w:val="center"/>
        </w:trPr>
        <w:tc>
          <w:tcPr>
            <w:tcW w:w="164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2C4715">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年度主要</w:t>
            </w:r>
          </w:p>
          <w:p w14:paraId="6583EA30">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任务</w:t>
            </w:r>
          </w:p>
        </w:tc>
        <w:tc>
          <w:tcPr>
            <w:tcW w:w="21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3244A7">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任务名称</w:t>
            </w:r>
          </w:p>
        </w:tc>
        <w:tc>
          <w:tcPr>
            <w:tcW w:w="594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433D845">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主要内容</w:t>
            </w:r>
          </w:p>
        </w:tc>
      </w:tr>
      <w:tr w14:paraId="1AC826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463" w:hRule="atLeast"/>
          <w:jc w:val="center"/>
        </w:trPr>
        <w:tc>
          <w:tcPr>
            <w:tcW w:w="16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E1A590">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sz w:val="24"/>
                <w:szCs w:val="24"/>
                <w:u w:val="none"/>
              </w:rPr>
            </w:pPr>
          </w:p>
        </w:tc>
        <w:tc>
          <w:tcPr>
            <w:tcW w:w="21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4F35A1">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县政府办公室</w:t>
            </w:r>
          </w:p>
          <w:p w14:paraId="51D2AFF6">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202</w:t>
            </w:r>
            <w:r>
              <w:rPr>
                <w:rFonts w:hint="eastAsia" w:eastAsia="宋体" w:cs="Times New Roman"/>
                <w:i w:val="0"/>
                <w:color w:val="000000"/>
                <w:kern w:val="0"/>
                <w:sz w:val="24"/>
                <w:szCs w:val="24"/>
                <w:u w:val="none"/>
                <w:lang w:val="en-US" w:eastAsia="zh-CN" w:bidi="ar"/>
              </w:rPr>
              <w:t>4</w:t>
            </w:r>
            <w:r>
              <w:rPr>
                <w:rFonts w:hint="default" w:ascii="Times New Roman" w:hAnsi="Times New Roman" w:eastAsia="宋体" w:cs="Times New Roman"/>
                <w:i w:val="0"/>
                <w:color w:val="000000"/>
                <w:kern w:val="0"/>
                <w:sz w:val="24"/>
                <w:szCs w:val="24"/>
                <w:u w:val="none"/>
                <w:lang w:val="en-US" w:eastAsia="zh-CN" w:bidi="ar"/>
              </w:rPr>
              <w:t>年工作</w:t>
            </w:r>
          </w:p>
        </w:tc>
        <w:tc>
          <w:tcPr>
            <w:tcW w:w="594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0367854">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outlineLvl w:val="9"/>
              <w:rPr>
                <w:rFonts w:hint="default" w:ascii="Times New Roman" w:hAnsi="Times New Roman" w:eastAsia="宋体" w:cs="Times New Roman"/>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妥善处理突发或紧急事件;办好各类会议；制发各类文件；围绕县政府中心工作开展督查，办理人大代表建议及政协提案；保障办公室日常工作正常运转;确保政府信息依法公开，建设政府信息公开网站;到渠县、成都等地进行区域合作的对接和招商引资项目考察。围绕乡村振兴、智能制造和农产品精深加工等开展意向企业考察调研和重点项目投资促进洽谈活动。</w:t>
            </w:r>
          </w:p>
        </w:tc>
      </w:tr>
      <w:tr w14:paraId="6D89A0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6" w:hRule="exact"/>
          <w:jc w:val="center"/>
        </w:trPr>
        <w:tc>
          <w:tcPr>
            <w:tcW w:w="164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F10EAE">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年度绩效</w:t>
            </w:r>
          </w:p>
          <w:p w14:paraId="4FF12818">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指标</w:t>
            </w: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3CD72">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一级指标</w:t>
            </w:r>
          </w:p>
        </w:tc>
        <w:tc>
          <w:tcPr>
            <w:tcW w:w="1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E4F0A">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二级指标</w:t>
            </w:r>
          </w:p>
        </w:tc>
        <w:tc>
          <w:tcPr>
            <w:tcW w:w="1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D7D58">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三级指标</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DC4C2">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绩效指标</w:t>
            </w:r>
          </w:p>
          <w:p w14:paraId="6A41EE4B">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性质</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3AC26">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绩效指标值</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E6EA4">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绩效度量单位</w:t>
            </w:r>
          </w:p>
        </w:tc>
        <w:tc>
          <w:tcPr>
            <w:tcW w:w="939" w:type="dxa"/>
            <w:tcBorders>
              <w:top w:val="single" w:color="000000" w:sz="4" w:space="0"/>
              <w:left w:val="single" w:color="000000" w:sz="4" w:space="0"/>
              <w:bottom w:val="single" w:color="000000" w:sz="4" w:space="0"/>
            </w:tcBorders>
            <w:shd w:val="clear" w:color="auto" w:fill="auto"/>
            <w:vAlign w:val="center"/>
          </w:tcPr>
          <w:p w14:paraId="0B69362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权重</w:t>
            </w:r>
          </w:p>
        </w:tc>
        <w:tc>
          <w:tcPr>
            <w:tcW w:w="1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0E9C7">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实际完成</w:t>
            </w:r>
          </w:p>
          <w:p w14:paraId="339D8256">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指标值</w:t>
            </w:r>
          </w:p>
        </w:tc>
      </w:tr>
      <w:tr w14:paraId="2ED831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1082" w:hRule="atLeast"/>
          <w:jc w:val="center"/>
        </w:trPr>
        <w:tc>
          <w:tcPr>
            <w:tcW w:w="16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541A97">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sz w:val="24"/>
                <w:szCs w:val="24"/>
                <w:u w:val="none"/>
              </w:rPr>
            </w:pPr>
          </w:p>
        </w:tc>
        <w:tc>
          <w:tcPr>
            <w:tcW w:w="10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277A2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产出指标</w:t>
            </w:r>
          </w:p>
        </w:tc>
        <w:tc>
          <w:tcPr>
            <w:tcW w:w="1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CE789">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数量指标</w:t>
            </w:r>
          </w:p>
        </w:tc>
        <w:tc>
          <w:tcPr>
            <w:tcW w:w="1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DC0DE">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outlineLvl w:val="9"/>
              <w:rPr>
                <w:rFonts w:hint="default" w:ascii="Times New Roman" w:hAnsi="Times New Roman" w:eastAsia="宋体" w:cs="Times New Roman"/>
                <w:i w:val="0"/>
                <w:color w:val="000000"/>
                <w:sz w:val="24"/>
                <w:szCs w:val="24"/>
                <w:u w:val="none"/>
                <w:lang w:val="en-US" w:eastAsia="zh-CN"/>
              </w:rPr>
            </w:pPr>
            <w:r>
              <w:rPr>
                <w:rFonts w:hint="eastAsia" w:eastAsia="宋体" w:cs="Times New Roman"/>
                <w:i w:val="0"/>
                <w:color w:val="000000"/>
                <w:sz w:val="24"/>
                <w:szCs w:val="24"/>
                <w:u w:val="none"/>
                <w:lang w:val="en-US" w:eastAsia="zh-CN"/>
              </w:rPr>
              <w:t>完成上级交办的各项目标任务</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3092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eastAsia" w:ascii="Times New Roman" w:hAnsi="Times New Roman" w:eastAsia="宋体" w:cs="Times New Roman"/>
                <w:i w:val="0"/>
                <w:color w:val="000000"/>
                <w:sz w:val="24"/>
                <w:szCs w:val="24"/>
                <w:u w:val="none"/>
                <w:lang w:val="en-US" w:eastAsia="zh-CN"/>
              </w:rPr>
            </w:pPr>
            <w:r>
              <w:rPr>
                <w:rFonts w:hint="eastAsia" w:eastAsia="宋体" w:cs="Times New Roman"/>
                <w:i w:val="0"/>
                <w:color w:val="000000"/>
                <w:sz w:val="24"/>
                <w:szCs w:val="24"/>
                <w:u w:val="none"/>
                <w:lang w:val="en-US" w:eastAsia="zh-CN"/>
              </w:rPr>
              <w:t>=</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0263F">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outlineLvl w:val="9"/>
              <w:rPr>
                <w:rFonts w:hint="default" w:ascii="Times New Roman" w:hAnsi="Times New Roman" w:eastAsia="宋体" w:cs="Times New Roman"/>
                <w:i w:val="0"/>
                <w:color w:val="000000"/>
                <w:sz w:val="24"/>
                <w:szCs w:val="24"/>
                <w:u w:val="none"/>
                <w:lang w:val="en-US"/>
              </w:rPr>
            </w:pPr>
            <w:r>
              <w:rPr>
                <w:rFonts w:hint="eastAsia" w:eastAsia="宋体" w:cs="Times New Roman"/>
                <w:i w:val="0"/>
                <w:color w:val="000000"/>
                <w:kern w:val="0"/>
                <w:sz w:val="24"/>
                <w:szCs w:val="24"/>
                <w:u w:val="none"/>
                <w:lang w:val="en-US" w:eastAsia="zh-CN" w:bidi="ar"/>
              </w:rPr>
              <w:t>100</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31984">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outlineLvl w:val="9"/>
              <w:rPr>
                <w:rFonts w:hint="default" w:ascii="Times New Roman" w:hAnsi="Times New Roman" w:eastAsia="宋体" w:cs="Times New Roman"/>
                <w:i w:val="0"/>
                <w:color w:val="000000"/>
                <w:sz w:val="24"/>
                <w:szCs w:val="24"/>
                <w:u w:val="none"/>
              </w:rPr>
            </w:pPr>
            <w:r>
              <w:rPr>
                <w:rFonts w:hint="eastAsia" w:eastAsia="宋体" w:cs="Times New Roman"/>
                <w:i w:val="0"/>
                <w:color w:val="000000"/>
                <w:kern w:val="0"/>
                <w:sz w:val="24"/>
                <w:szCs w:val="24"/>
                <w:u w:val="none"/>
                <w:lang w:val="en-US" w:eastAsia="zh-CN" w:bidi="ar"/>
              </w:rPr>
              <w:t>%</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B7E81">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outlineLvl w:val="9"/>
              <w:rPr>
                <w:rFonts w:hint="default" w:ascii="Times New Roman" w:hAnsi="Times New Roman" w:eastAsia="宋体" w:cs="Times New Roman"/>
                <w:i w:val="0"/>
                <w:color w:val="000000"/>
                <w:sz w:val="24"/>
                <w:szCs w:val="24"/>
                <w:u w:val="none"/>
                <w:lang w:val="en-US"/>
              </w:rPr>
            </w:pPr>
            <w:r>
              <w:rPr>
                <w:rFonts w:hint="eastAsia" w:eastAsia="宋体" w:cs="Times New Roman"/>
                <w:i w:val="0"/>
                <w:color w:val="000000"/>
                <w:kern w:val="0"/>
                <w:sz w:val="24"/>
                <w:szCs w:val="24"/>
                <w:u w:val="none"/>
                <w:lang w:val="en-US" w:eastAsia="zh-CN" w:bidi="ar"/>
              </w:rPr>
              <w:t>20</w:t>
            </w:r>
          </w:p>
        </w:tc>
        <w:tc>
          <w:tcPr>
            <w:tcW w:w="1030" w:type="dxa"/>
            <w:tcBorders>
              <w:left w:val="single" w:color="000000" w:sz="4" w:space="0"/>
              <w:bottom w:val="single" w:color="000000" w:sz="4" w:space="0"/>
              <w:right w:val="single" w:color="000000" w:sz="4" w:space="0"/>
            </w:tcBorders>
            <w:shd w:val="clear" w:color="auto" w:fill="auto"/>
            <w:vAlign w:val="center"/>
          </w:tcPr>
          <w:p w14:paraId="04060CF0">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outlineLvl w:val="9"/>
              <w:rPr>
                <w:rFonts w:hint="default" w:ascii="Times New Roman" w:hAnsi="Times New Roman" w:eastAsia="宋体" w:cs="Times New Roman"/>
                <w:i w:val="0"/>
                <w:color w:val="000000"/>
                <w:sz w:val="24"/>
                <w:szCs w:val="24"/>
                <w:u w:val="none"/>
                <w:lang w:val="en-US"/>
              </w:rPr>
            </w:pPr>
            <w:r>
              <w:rPr>
                <w:rFonts w:hint="eastAsia" w:eastAsia="宋体" w:cs="Times New Roman"/>
                <w:i w:val="0"/>
                <w:color w:val="000000"/>
                <w:kern w:val="0"/>
                <w:sz w:val="24"/>
                <w:szCs w:val="24"/>
                <w:u w:val="none"/>
                <w:lang w:val="en-US" w:eastAsia="zh-CN" w:bidi="ar"/>
              </w:rPr>
              <w:t>100</w:t>
            </w:r>
          </w:p>
        </w:tc>
      </w:tr>
      <w:tr w14:paraId="2FD50F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36" w:hRule="atLeast"/>
          <w:jc w:val="center"/>
        </w:trPr>
        <w:tc>
          <w:tcPr>
            <w:tcW w:w="16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F3DD80">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sz w:val="24"/>
                <w:szCs w:val="24"/>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F7B571">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sz w:val="24"/>
                <w:szCs w:val="24"/>
                <w:u w:val="none"/>
              </w:rPr>
            </w:pPr>
          </w:p>
        </w:tc>
        <w:tc>
          <w:tcPr>
            <w:tcW w:w="1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7A56C">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质量指标</w:t>
            </w:r>
          </w:p>
        </w:tc>
        <w:tc>
          <w:tcPr>
            <w:tcW w:w="1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333D4">
            <w:pPr>
              <w:keepNext w:val="0"/>
              <w:keepLines w:val="0"/>
              <w:pageBreakBefore w:val="0"/>
              <w:widowControl/>
              <w:kinsoku/>
              <w:wordWrap/>
              <w:overflowPunct/>
              <w:topLinePunct w:val="0"/>
              <w:autoSpaceDE/>
              <w:autoSpaceDN/>
              <w:bidi w:val="0"/>
              <w:adjustRightInd/>
              <w:snapToGrid/>
              <w:spacing w:line="300" w:lineRule="exact"/>
              <w:jc w:val="left"/>
              <w:outlineLvl w:val="9"/>
              <w:rPr>
                <w:rFonts w:hint="default" w:ascii="Times New Roman" w:hAnsi="Times New Roman" w:eastAsia="宋体" w:cs="Times New Roman"/>
                <w:i w:val="0"/>
                <w:color w:val="000000"/>
                <w:sz w:val="24"/>
                <w:szCs w:val="24"/>
                <w:u w:val="none"/>
                <w:lang w:val="en-US" w:eastAsia="zh-CN"/>
              </w:rPr>
            </w:pPr>
            <w:r>
              <w:rPr>
                <w:rFonts w:hint="eastAsia" w:eastAsia="宋体" w:cs="Times New Roman"/>
                <w:i w:val="0"/>
                <w:color w:val="000000"/>
                <w:sz w:val="24"/>
                <w:szCs w:val="24"/>
                <w:u w:val="none"/>
                <w:lang w:val="en-US" w:eastAsia="zh-CN"/>
              </w:rPr>
              <w:t>高标准完成工作任务</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2A350">
            <w:pPr>
              <w:keepNext w:val="0"/>
              <w:keepLines w:val="0"/>
              <w:pageBreakBefore w:val="0"/>
              <w:widowControl/>
              <w:kinsoku/>
              <w:wordWrap/>
              <w:overflowPunct/>
              <w:topLinePunct w:val="0"/>
              <w:autoSpaceDE/>
              <w:autoSpaceDN/>
              <w:bidi w:val="0"/>
              <w:adjustRightInd/>
              <w:snapToGrid/>
              <w:spacing w:line="300" w:lineRule="exact"/>
              <w:jc w:val="left"/>
              <w:outlineLvl w:val="9"/>
              <w:rPr>
                <w:rFonts w:hint="eastAsia" w:ascii="Times New Roman" w:hAnsi="Times New Roman" w:eastAsia="宋体" w:cs="Times New Roman"/>
                <w:i w:val="0"/>
                <w:color w:val="000000"/>
                <w:sz w:val="24"/>
                <w:szCs w:val="24"/>
                <w:u w:val="none"/>
                <w:lang w:val="en-US" w:eastAsia="zh-CN"/>
              </w:rPr>
            </w:pPr>
            <w:r>
              <w:rPr>
                <w:rFonts w:hint="eastAsia" w:eastAsia="宋体" w:cs="Times New Roman"/>
                <w:i w:val="0"/>
                <w:color w:val="000000"/>
                <w:sz w:val="24"/>
                <w:szCs w:val="24"/>
                <w:u w:val="none"/>
                <w:lang w:val="en-US" w:eastAsia="zh-CN"/>
              </w:rPr>
              <w:t>定性</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E4844">
            <w:pPr>
              <w:keepNext w:val="0"/>
              <w:keepLines w:val="0"/>
              <w:pageBreakBefore w:val="0"/>
              <w:widowControl/>
              <w:kinsoku/>
              <w:wordWrap/>
              <w:overflowPunct/>
              <w:topLinePunct w:val="0"/>
              <w:autoSpaceDE/>
              <w:autoSpaceDN/>
              <w:bidi w:val="0"/>
              <w:adjustRightInd/>
              <w:snapToGrid/>
              <w:spacing w:line="300" w:lineRule="exact"/>
              <w:jc w:val="left"/>
              <w:outlineLvl w:val="9"/>
              <w:rPr>
                <w:rFonts w:hint="eastAsia" w:ascii="Times New Roman" w:hAnsi="Times New Roman" w:eastAsia="宋体" w:cs="Times New Roman"/>
                <w:i w:val="0"/>
                <w:color w:val="000000"/>
                <w:sz w:val="24"/>
                <w:szCs w:val="24"/>
                <w:u w:val="none"/>
                <w:lang w:val="en-US" w:eastAsia="zh-CN"/>
              </w:rPr>
            </w:pPr>
            <w:r>
              <w:rPr>
                <w:rFonts w:hint="eastAsia" w:eastAsia="宋体" w:cs="Times New Roman"/>
                <w:i w:val="0"/>
                <w:color w:val="000000"/>
                <w:sz w:val="24"/>
                <w:szCs w:val="24"/>
                <w:u w:val="none"/>
                <w:lang w:val="en-US" w:eastAsia="zh-CN"/>
              </w:rPr>
              <w:t>高</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37352">
            <w:pPr>
              <w:keepNext w:val="0"/>
              <w:keepLines w:val="0"/>
              <w:pageBreakBefore w:val="0"/>
              <w:widowControl/>
              <w:kinsoku/>
              <w:wordWrap/>
              <w:overflowPunct/>
              <w:topLinePunct w:val="0"/>
              <w:autoSpaceDE/>
              <w:autoSpaceDN/>
              <w:bidi w:val="0"/>
              <w:adjustRightInd/>
              <w:snapToGrid/>
              <w:spacing w:line="300" w:lineRule="exact"/>
              <w:jc w:val="left"/>
              <w:outlineLvl w:val="9"/>
              <w:rPr>
                <w:rFonts w:hint="default" w:ascii="Times New Roman" w:hAnsi="Times New Roman" w:eastAsia="宋体" w:cs="Times New Roman"/>
                <w:i w:val="0"/>
                <w:color w:val="000000"/>
                <w:sz w:val="24"/>
                <w:szCs w:val="24"/>
                <w:u w:val="none"/>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A9294">
            <w:pPr>
              <w:keepNext w:val="0"/>
              <w:keepLines w:val="0"/>
              <w:pageBreakBefore w:val="0"/>
              <w:widowControl/>
              <w:kinsoku/>
              <w:wordWrap/>
              <w:overflowPunct/>
              <w:topLinePunct w:val="0"/>
              <w:autoSpaceDE/>
              <w:autoSpaceDN/>
              <w:bidi w:val="0"/>
              <w:adjustRightInd/>
              <w:snapToGrid/>
              <w:spacing w:line="300" w:lineRule="exact"/>
              <w:jc w:val="left"/>
              <w:outlineLvl w:val="9"/>
              <w:rPr>
                <w:rFonts w:hint="default" w:ascii="Times New Roman" w:hAnsi="Times New Roman" w:eastAsia="宋体" w:cs="Times New Roman"/>
                <w:i w:val="0"/>
                <w:color w:val="000000"/>
                <w:sz w:val="24"/>
                <w:szCs w:val="24"/>
                <w:u w:val="none"/>
                <w:lang w:val="en-US" w:eastAsia="zh-CN"/>
              </w:rPr>
            </w:pPr>
            <w:r>
              <w:rPr>
                <w:rFonts w:hint="eastAsia" w:eastAsia="宋体" w:cs="Times New Roman"/>
                <w:i w:val="0"/>
                <w:color w:val="000000"/>
                <w:sz w:val="24"/>
                <w:szCs w:val="24"/>
                <w:u w:val="none"/>
                <w:lang w:val="en-US" w:eastAsia="zh-CN"/>
              </w:rPr>
              <w:t>20</w:t>
            </w:r>
          </w:p>
        </w:tc>
        <w:tc>
          <w:tcPr>
            <w:tcW w:w="1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EACC6">
            <w:pPr>
              <w:keepNext w:val="0"/>
              <w:keepLines w:val="0"/>
              <w:pageBreakBefore w:val="0"/>
              <w:widowControl/>
              <w:kinsoku/>
              <w:wordWrap/>
              <w:overflowPunct/>
              <w:topLinePunct w:val="0"/>
              <w:autoSpaceDE/>
              <w:autoSpaceDN/>
              <w:bidi w:val="0"/>
              <w:adjustRightInd/>
              <w:snapToGrid/>
              <w:spacing w:line="300" w:lineRule="exact"/>
              <w:jc w:val="left"/>
              <w:outlineLvl w:val="9"/>
              <w:rPr>
                <w:rFonts w:hint="eastAsia" w:ascii="Times New Roman" w:hAnsi="Times New Roman" w:eastAsia="宋体" w:cs="Times New Roman"/>
                <w:i w:val="0"/>
                <w:color w:val="000000"/>
                <w:sz w:val="24"/>
                <w:szCs w:val="24"/>
                <w:u w:val="none"/>
                <w:lang w:val="en-US" w:eastAsia="zh-CN"/>
              </w:rPr>
            </w:pPr>
            <w:r>
              <w:rPr>
                <w:rFonts w:hint="eastAsia" w:eastAsia="宋体" w:cs="Times New Roman"/>
                <w:i w:val="0"/>
                <w:color w:val="000000"/>
                <w:sz w:val="24"/>
                <w:szCs w:val="24"/>
                <w:u w:val="none"/>
                <w:lang w:val="en-US" w:eastAsia="zh-CN"/>
              </w:rPr>
              <w:t>高</w:t>
            </w:r>
          </w:p>
        </w:tc>
      </w:tr>
      <w:tr w14:paraId="357CF8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91" w:hRule="atLeast"/>
          <w:jc w:val="center"/>
        </w:trPr>
        <w:tc>
          <w:tcPr>
            <w:tcW w:w="16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377E7B">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sz w:val="24"/>
                <w:szCs w:val="24"/>
                <w:u w:val="none"/>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8B4DF1">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sz w:val="24"/>
                <w:szCs w:val="24"/>
                <w:u w:val="none"/>
              </w:rPr>
            </w:pPr>
          </w:p>
        </w:tc>
        <w:tc>
          <w:tcPr>
            <w:tcW w:w="1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49680">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时效指标</w:t>
            </w:r>
          </w:p>
        </w:tc>
        <w:tc>
          <w:tcPr>
            <w:tcW w:w="1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029CC">
            <w:pPr>
              <w:keepNext w:val="0"/>
              <w:keepLines w:val="0"/>
              <w:pageBreakBefore w:val="0"/>
              <w:widowControl/>
              <w:kinsoku/>
              <w:wordWrap/>
              <w:overflowPunct/>
              <w:topLinePunct w:val="0"/>
              <w:autoSpaceDE/>
              <w:autoSpaceDN/>
              <w:bidi w:val="0"/>
              <w:adjustRightInd/>
              <w:snapToGrid/>
              <w:spacing w:line="300" w:lineRule="exact"/>
              <w:jc w:val="left"/>
              <w:outlineLvl w:val="9"/>
              <w:rPr>
                <w:rFonts w:hint="eastAsia" w:ascii="Times New Roman" w:hAnsi="Times New Roman" w:eastAsia="宋体" w:cs="Times New Roman"/>
                <w:i w:val="0"/>
                <w:color w:val="000000"/>
                <w:sz w:val="24"/>
                <w:szCs w:val="24"/>
                <w:u w:val="none"/>
                <w:lang w:val="en-US" w:eastAsia="zh-CN"/>
              </w:rPr>
            </w:pPr>
            <w:r>
              <w:rPr>
                <w:rFonts w:hint="eastAsia" w:eastAsia="宋体" w:cs="Times New Roman"/>
                <w:i w:val="0"/>
                <w:color w:val="000000"/>
                <w:sz w:val="24"/>
                <w:szCs w:val="24"/>
                <w:u w:val="none"/>
                <w:lang w:val="en-US" w:eastAsia="zh-CN"/>
              </w:rPr>
              <w:t>规定时限内</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A367F">
            <w:pPr>
              <w:keepNext w:val="0"/>
              <w:keepLines w:val="0"/>
              <w:pageBreakBefore w:val="0"/>
              <w:widowControl/>
              <w:kinsoku/>
              <w:wordWrap/>
              <w:overflowPunct/>
              <w:topLinePunct w:val="0"/>
              <w:autoSpaceDE/>
              <w:autoSpaceDN/>
              <w:bidi w:val="0"/>
              <w:adjustRightInd/>
              <w:snapToGrid/>
              <w:spacing w:line="300" w:lineRule="exact"/>
              <w:jc w:val="left"/>
              <w:outlineLvl w:val="9"/>
              <w:rPr>
                <w:rFonts w:hint="default" w:ascii="Times New Roman" w:hAnsi="Times New Roman" w:eastAsia="宋体" w:cs="Times New Roman"/>
                <w:i w:val="0"/>
                <w:color w:val="000000"/>
                <w:sz w:val="24"/>
                <w:szCs w:val="24"/>
                <w:u w:val="none"/>
                <w:lang w:val="en-US" w:eastAsia="zh-CN"/>
              </w:rPr>
            </w:pPr>
            <w:r>
              <w:rPr>
                <w:rFonts w:hint="eastAsia" w:eastAsia="宋体" w:cs="Times New Roman"/>
                <w:i w:val="0"/>
                <w:color w:val="000000"/>
                <w:sz w:val="24"/>
                <w:szCs w:val="24"/>
                <w:u w:val="none"/>
                <w:lang w:val="en-US" w:eastAsia="zh-CN"/>
              </w:rPr>
              <w:t>=</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53FB4">
            <w:pPr>
              <w:keepNext w:val="0"/>
              <w:keepLines w:val="0"/>
              <w:pageBreakBefore w:val="0"/>
              <w:widowControl/>
              <w:kinsoku/>
              <w:wordWrap/>
              <w:overflowPunct/>
              <w:topLinePunct w:val="0"/>
              <w:autoSpaceDE/>
              <w:autoSpaceDN/>
              <w:bidi w:val="0"/>
              <w:adjustRightInd/>
              <w:snapToGrid/>
              <w:spacing w:line="300" w:lineRule="exact"/>
              <w:jc w:val="left"/>
              <w:outlineLvl w:val="9"/>
              <w:rPr>
                <w:rFonts w:hint="eastAsia" w:ascii="Times New Roman" w:hAnsi="Times New Roman" w:eastAsia="宋体" w:cs="Times New Roman"/>
                <w:i w:val="0"/>
                <w:color w:val="000000"/>
                <w:sz w:val="24"/>
                <w:szCs w:val="24"/>
                <w:u w:val="none"/>
                <w:lang w:val="en-US" w:eastAsia="zh-CN"/>
              </w:rPr>
            </w:pPr>
            <w:r>
              <w:rPr>
                <w:rFonts w:hint="eastAsia" w:eastAsia="宋体" w:cs="Times New Roman"/>
                <w:i w:val="0"/>
                <w:color w:val="000000"/>
                <w:sz w:val="24"/>
                <w:szCs w:val="24"/>
                <w:u w:val="none"/>
                <w:lang w:val="en-US" w:eastAsia="zh-CN"/>
              </w:rPr>
              <w:t>1</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53458">
            <w:pPr>
              <w:keepNext w:val="0"/>
              <w:keepLines w:val="0"/>
              <w:pageBreakBefore w:val="0"/>
              <w:widowControl/>
              <w:kinsoku/>
              <w:wordWrap/>
              <w:overflowPunct/>
              <w:topLinePunct w:val="0"/>
              <w:autoSpaceDE/>
              <w:autoSpaceDN/>
              <w:bidi w:val="0"/>
              <w:adjustRightInd/>
              <w:snapToGrid/>
              <w:spacing w:line="300" w:lineRule="exact"/>
              <w:jc w:val="left"/>
              <w:outlineLvl w:val="9"/>
              <w:rPr>
                <w:rFonts w:hint="eastAsia" w:ascii="Times New Roman" w:hAnsi="Times New Roman" w:eastAsia="宋体" w:cs="Times New Roman"/>
                <w:i w:val="0"/>
                <w:color w:val="000000"/>
                <w:sz w:val="24"/>
                <w:szCs w:val="24"/>
                <w:u w:val="none"/>
                <w:lang w:val="en-US" w:eastAsia="zh-CN"/>
              </w:rPr>
            </w:pPr>
            <w:r>
              <w:rPr>
                <w:rFonts w:hint="eastAsia" w:eastAsia="宋体" w:cs="Times New Roman"/>
                <w:i w:val="0"/>
                <w:color w:val="000000"/>
                <w:sz w:val="24"/>
                <w:szCs w:val="24"/>
                <w:u w:val="none"/>
                <w:lang w:val="en-US" w:eastAsia="zh-CN"/>
              </w:rPr>
              <w:t>年</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56478">
            <w:pPr>
              <w:keepNext w:val="0"/>
              <w:keepLines w:val="0"/>
              <w:pageBreakBefore w:val="0"/>
              <w:widowControl/>
              <w:kinsoku/>
              <w:wordWrap/>
              <w:overflowPunct/>
              <w:topLinePunct w:val="0"/>
              <w:autoSpaceDE/>
              <w:autoSpaceDN/>
              <w:bidi w:val="0"/>
              <w:adjustRightInd/>
              <w:snapToGrid/>
              <w:spacing w:line="300" w:lineRule="exact"/>
              <w:jc w:val="left"/>
              <w:outlineLvl w:val="9"/>
              <w:rPr>
                <w:rFonts w:hint="default" w:ascii="Times New Roman" w:hAnsi="Times New Roman" w:eastAsia="宋体" w:cs="Times New Roman"/>
                <w:i w:val="0"/>
                <w:color w:val="000000"/>
                <w:sz w:val="24"/>
                <w:szCs w:val="24"/>
                <w:u w:val="none"/>
                <w:lang w:val="en-US" w:eastAsia="zh-CN"/>
              </w:rPr>
            </w:pPr>
            <w:r>
              <w:rPr>
                <w:rFonts w:hint="eastAsia" w:eastAsia="宋体" w:cs="Times New Roman"/>
                <w:i w:val="0"/>
                <w:color w:val="000000"/>
                <w:sz w:val="24"/>
                <w:szCs w:val="24"/>
                <w:u w:val="none"/>
                <w:lang w:val="en-US" w:eastAsia="zh-CN"/>
              </w:rPr>
              <w:t>15</w:t>
            </w:r>
          </w:p>
        </w:tc>
        <w:tc>
          <w:tcPr>
            <w:tcW w:w="1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16B83">
            <w:pPr>
              <w:keepNext w:val="0"/>
              <w:keepLines w:val="0"/>
              <w:pageBreakBefore w:val="0"/>
              <w:widowControl/>
              <w:kinsoku/>
              <w:wordWrap/>
              <w:overflowPunct/>
              <w:topLinePunct w:val="0"/>
              <w:autoSpaceDE/>
              <w:autoSpaceDN/>
              <w:bidi w:val="0"/>
              <w:adjustRightInd/>
              <w:snapToGrid/>
              <w:spacing w:line="300" w:lineRule="exact"/>
              <w:jc w:val="left"/>
              <w:outlineLvl w:val="9"/>
              <w:rPr>
                <w:rFonts w:hint="eastAsia" w:ascii="Times New Roman" w:hAnsi="Times New Roman" w:eastAsia="宋体" w:cs="Times New Roman"/>
                <w:i w:val="0"/>
                <w:color w:val="000000"/>
                <w:sz w:val="24"/>
                <w:szCs w:val="24"/>
                <w:u w:val="none"/>
                <w:lang w:val="en-US" w:eastAsia="zh-CN"/>
              </w:rPr>
            </w:pPr>
            <w:r>
              <w:rPr>
                <w:rFonts w:hint="eastAsia" w:eastAsia="宋体" w:cs="Times New Roman"/>
                <w:i w:val="0"/>
                <w:color w:val="000000"/>
                <w:sz w:val="24"/>
                <w:szCs w:val="24"/>
                <w:u w:val="none"/>
                <w:lang w:val="en-US" w:eastAsia="zh-CN"/>
              </w:rPr>
              <w:t>1</w:t>
            </w:r>
          </w:p>
        </w:tc>
      </w:tr>
      <w:tr w14:paraId="26FAD8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36" w:hRule="atLeast"/>
          <w:jc w:val="center"/>
        </w:trPr>
        <w:tc>
          <w:tcPr>
            <w:tcW w:w="16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8E79C8">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sz w:val="24"/>
                <w:szCs w:val="24"/>
                <w:u w:val="none"/>
              </w:rPr>
            </w:pP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904F8">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效益指标</w:t>
            </w:r>
          </w:p>
        </w:tc>
        <w:tc>
          <w:tcPr>
            <w:tcW w:w="1107" w:type="dxa"/>
            <w:tcBorders>
              <w:top w:val="single" w:color="000000" w:sz="4" w:space="0"/>
              <w:left w:val="single" w:color="000000" w:sz="4" w:space="0"/>
              <w:right w:val="single" w:color="000000" w:sz="4" w:space="0"/>
            </w:tcBorders>
            <w:shd w:val="clear" w:color="auto" w:fill="auto"/>
            <w:vAlign w:val="center"/>
          </w:tcPr>
          <w:p w14:paraId="3F867D51">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社会效益</w:t>
            </w:r>
          </w:p>
          <w:p w14:paraId="4E5B4A99">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指标</w:t>
            </w:r>
          </w:p>
        </w:tc>
        <w:tc>
          <w:tcPr>
            <w:tcW w:w="1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C2B2D">
            <w:pPr>
              <w:keepNext w:val="0"/>
              <w:keepLines w:val="0"/>
              <w:pageBreakBefore w:val="0"/>
              <w:widowControl/>
              <w:kinsoku/>
              <w:wordWrap/>
              <w:overflowPunct/>
              <w:topLinePunct w:val="0"/>
              <w:autoSpaceDE/>
              <w:autoSpaceDN/>
              <w:bidi w:val="0"/>
              <w:adjustRightInd/>
              <w:snapToGrid/>
              <w:spacing w:line="300" w:lineRule="exact"/>
              <w:jc w:val="left"/>
              <w:outlineLvl w:val="9"/>
              <w:rPr>
                <w:rFonts w:hint="default" w:ascii="Times New Roman" w:hAnsi="Times New Roman" w:eastAsia="宋体" w:cs="Times New Roman"/>
                <w:i w:val="0"/>
                <w:color w:val="000000"/>
                <w:sz w:val="24"/>
                <w:szCs w:val="24"/>
                <w:u w:val="none"/>
                <w:lang w:val="en-US" w:eastAsia="zh-CN"/>
              </w:rPr>
            </w:pPr>
            <w:r>
              <w:rPr>
                <w:rFonts w:hint="eastAsia" w:eastAsia="宋体" w:cs="Times New Roman"/>
                <w:i w:val="0"/>
                <w:color w:val="000000"/>
                <w:sz w:val="24"/>
                <w:szCs w:val="24"/>
                <w:u w:val="none"/>
                <w:lang w:val="en-US" w:eastAsia="zh-CN"/>
              </w:rPr>
              <w:t>提升服务能力</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6CEA4">
            <w:pPr>
              <w:keepNext w:val="0"/>
              <w:keepLines w:val="0"/>
              <w:pageBreakBefore w:val="0"/>
              <w:widowControl/>
              <w:kinsoku/>
              <w:wordWrap/>
              <w:overflowPunct/>
              <w:topLinePunct w:val="0"/>
              <w:autoSpaceDE/>
              <w:autoSpaceDN/>
              <w:bidi w:val="0"/>
              <w:adjustRightInd/>
              <w:snapToGrid/>
              <w:spacing w:line="300" w:lineRule="exact"/>
              <w:jc w:val="left"/>
              <w:outlineLvl w:val="9"/>
              <w:rPr>
                <w:rFonts w:hint="eastAsia" w:ascii="Times New Roman" w:hAnsi="Times New Roman" w:eastAsia="宋体" w:cs="Times New Roman"/>
                <w:i w:val="0"/>
                <w:color w:val="000000"/>
                <w:sz w:val="24"/>
                <w:szCs w:val="24"/>
                <w:u w:val="none"/>
                <w:lang w:val="en-US" w:eastAsia="zh-CN"/>
              </w:rPr>
            </w:pPr>
            <w:r>
              <w:rPr>
                <w:rFonts w:hint="eastAsia" w:eastAsia="宋体" w:cs="Times New Roman"/>
                <w:i w:val="0"/>
                <w:color w:val="000000"/>
                <w:sz w:val="24"/>
                <w:szCs w:val="24"/>
                <w:u w:val="none"/>
                <w:lang w:val="en-US" w:eastAsia="zh-CN"/>
              </w:rPr>
              <w:t>定性</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7D6D2">
            <w:pPr>
              <w:keepNext w:val="0"/>
              <w:keepLines w:val="0"/>
              <w:pageBreakBefore w:val="0"/>
              <w:widowControl/>
              <w:kinsoku/>
              <w:wordWrap/>
              <w:overflowPunct/>
              <w:topLinePunct w:val="0"/>
              <w:autoSpaceDE/>
              <w:autoSpaceDN/>
              <w:bidi w:val="0"/>
              <w:adjustRightInd/>
              <w:snapToGrid/>
              <w:spacing w:line="300" w:lineRule="exact"/>
              <w:jc w:val="left"/>
              <w:outlineLvl w:val="9"/>
              <w:rPr>
                <w:rFonts w:hint="eastAsia" w:ascii="Times New Roman" w:hAnsi="Times New Roman" w:eastAsia="宋体" w:cs="Times New Roman"/>
                <w:i w:val="0"/>
                <w:color w:val="000000"/>
                <w:sz w:val="24"/>
                <w:szCs w:val="24"/>
                <w:u w:val="none"/>
                <w:lang w:val="en-US" w:eastAsia="zh-CN"/>
              </w:rPr>
            </w:pPr>
            <w:r>
              <w:rPr>
                <w:rFonts w:hint="eastAsia" w:eastAsia="宋体" w:cs="Times New Roman"/>
                <w:i w:val="0"/>
                <w:color w:val="000000"/>
                <w:sz w:val="24"/>
                <w:szCs w:val="24"/>
                <w:u w:val="none"/>
                <w:lang w:val="en-US" w:eastAsia="zh-CN"/>
              </w:rPr>
              <w:t>强</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77941">
            <w:pPr>
              <w:keepNext w:val="0"/>
              <w:keepLines w:val="0"/>
              <w:pageBreakBefore w:val="0"/>
              <w:widowControl/>
              <w:kinsoku/>
              <w:wordWrap/>
              <w:overflowPunct/>
              <w:topLinePunct w:val="0"/>
              <w:autoSpaceDE/>
              <w:autoSpaceDN/>
              <w:bidi w:val="0"/>
              <w:adjustRightInd/>
              <w:snapToGrid/>
              <w:spacing w:line="300" w:lineRule="exact"/>
              <w:jc w:val="left"/>
              <w:outlineLvl w:val="9"/>
              <w:rPr>
                <w:rFonts w:hint="default" w:ascii="Times New Roman" w:hAnsi="Times New Roman" w:eastAsia="宋体" w:cs="Times New Roman"/>
                <w:i w:val="0"/>
                <w:color w:val="000000"/>
                <w:sz w:val="24"/>
                <w:szCs w:val="24"/>
                <w:u w:val="none"/>
              </w:rPr>
            </w:pP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43C5A">
            <w:pPr>
              <w:keepNext w:val="0"/>
              <w:keepLines w:val="0"/>
              <w:pageBreakBefore w:val="0"/>
              <w:widowControl/>
              <w:kinsoku/>
              <w:wordWrap/>
              <w:overflowPunct/>
              <w:topLinePunct w:val="0"/>
              <w:autoSpaceDE/>
              <w:autoSpaceDN/>
              <w:bidi w:val="0"/>
              <w:adjustRightInd/>
              <w:snapToGrid/>
              <w:spacing w:line="300" w:lineRule="exact"/>
              <w:jc w:val="left"/>
              <w:outlineLvl w:val="9"/>
              <w:rPr>
                <w:rFonts w:hint="default" w:ascii="Times New Roman" w:hAnsi="Times New Roman" w:eastAsia="宋体" w:cs="Times New Roman"/>
                <w:i w:val="0"/>
                <w:color w:val="000000"/>
                <w:sz w:val="24"/>
                <w:szCs w:val="24"/>
                <w:u w:val="none"/>
                <w:lang w:val="en-US" w:eastAsia="zh-CN"/>
              </w:rPr>
            </w:pPr>
            <w:r>
              <w:rPr>
                <w:rFonts w:hint="eastAsia" w:eastAsia="宋体" w:cs="Times New Roman"/>
                <w:i w:val="0"/>
                <w:color w:val="000000"/>
                <w:sz w:val="24"/>
                <w:szCs w:val="24"/>
                <w:u w:val="none"/>
                <w:lang w:val="en-US" w:eastAsia="zh-CN"/>
              </w:rPr>
              <w:t>15</w:t>
            </w:r>
          </w:p>
        </w:tc>
        <w:tc>
          <w:tcPr>
            <w:tcW w:w="1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84BCB">
            <w:pPr>
              <w:keepNext w:val="0"/>
              <w:keepLines w:val="0"/>
              <w:pageBreakBefore w:val="0"/>
              <w:widowControl/>
              <w:kinsoku/>
              <w:wordWrap/>
              <w:overflowPunct/>
              <w:topLinePunct w:val="0"/>
              <w:autoSpaceDE/>
              <w:autoSpaceDN/>
              <w:bidi w:val="0"/>
              <w:adjustRightInd/>
              <w:snapToGrid/>
              <w:spacing w:line="300" w:lineRule="exact"/>
              <w:jc w:val="left"/>
              <w:outlineLvl w:val="9"/>
              <w:rPr>
                <w:rFonts w:hint="eastAsia" w:ascii="Times New Roman" w:hAnsi="Times New Roman" w:eastAsia="宋体" w:cs="Times New Roman"/>
                <w:i w:val="0"/>
                <w:color w:val="000000"/>
                <w:sz w:val="24"/>
                <w:szCs w:val="24"/>
                <w:u w:val="none"/>
                <w:lang w:val="en-US" w:eastAsia="zh-CN"/>
              </w:rPr>
            </w:pPr>
            <w:r>
              <w:rPr>
                <w:rFonts w:hint="eastAsia" w:eastAsia="宋体" w:cs="Times New Roman"/>
                <w:i w:val="0"/>
                <w:color w:val="000000"/>
                <w:sz w:val="24"/>
                <w:szCs w:val="24"/>
                <w:u w:val="none"/>
                <w:lang w:val="en-US" w:eastAsia="zh-CN"/>
              </w:rPr>
              <w:t>强</w:t>
            </w:r>
          </w:p>
        </w:tc>
      </w:tr>
      <w:tr w14:paraId="100309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36" w:hRule="atLeast"/>
          <w:jc w:val="center"/>
        </w:trPr>
        <w:tc>
          <w:tcPr>
            <w:tcW w:w="16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011E16">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sz w:val="24"/>
                <w:szCs w:val="24"/>
                <w:u w:val="none"/>
              </w:rPr>
            </w:pP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EAD76">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满意度指标</w:t>
            </w:r>
          </w:p>
        </w:tc>
        <w:tc>
          <w:tcPr>
            <w:tcW w:w="1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59FB1">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满意度指标</w:t>
            </w:r>
          </w:p>
        </w:tc>
        <w:tc>
          <w:tcPr>
            <w:tcW w:w="1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1A4C2">
            <w:pPr>
              <w:keepNext w:val="0"/>
              <w:keepLines w:val="0"/>
              <w:pageBreakBefore w:val="0"/>
              <w:widowControl/>
              <w:kinsoku/>
              <w:wordWrap/>
              <w:overflowPunct/>
              <w:topLinePunct w:val="0"/>
              <w:autoSpaceDE/>
              <w:autoSpaceDN/>
              <w:bidi w:val="0"/>
              <w:adjustRightInd/>
              <w:snapToGrid/>
              <w:spacing w:line="300" w:lineRule="exact"/>
              <w:jc w:val="left"/>
              <w:outlineLvl w:val="9"/>
              <w:rPr>
                <w:rFonts w:hint="eastAsia" w:ascii="Times New Roman" w:hAnsi="Times New Roman" w:eastAsia="宋体" w:cs="Times New Roman"/>
                <w:i w:val="0"/>
                <w:color w:val="000000"/>
                <w:sz w:val="24"/>
                <w:szCs w:val="24"/>
                <w:u w:val="none"/>
                <w:lang w:val="en-US" w:eastAsia="zh-CN"/>
              </w:rPr>
            </w:pPr>
            <w:r>
              <w:rPr>
                <w:rFonts w:hint="eastAsia" w:eastAsia="宋体" w:cs="Times New Roman"/>
                <w:i w:val="0"/>
                <w:color w:val="000000"/>
                <w:sz w:val="24"/>
                <w:szCs w:val="24"/>
                <w:u w:val="none"/>
                <w:lang w:val="en-US" w:eastAsia="zh-CN"/>
              </w:rPr>
              <w:t>提高群众满意度</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C9C8C">
            <w:pPr>
              <w:keepNext w:val="0"/>
              <w:keepLines w:val="0"/>
              <w:pageBreakBefore w:val="0"/>
              <w:widowControl/>
              <w:kinsoku/>
              <w:wordWrap/>
              <w:overflowPunct/>
              <w:topLinePunct w:val="0"/>
              <w:autoSpaceDE/>
              <w:autoSpaceDN/>
              <w:bidi w:val="0"/>
              <w:adjustRightInd/>
              <w:snapToGrid/>
              <w:spacing w:line="300" w:lineRule="exact"/>
              <w:jc w:val="left"/>
              <w:outlineLvl w:val="9"/>
              <w:rPr>
                <w:rFonts w:hint="default" w:ascii="宋体" w:hAnsi="宋体" w:eastAsia="宋体" w:cs="宋体"/>
                <w:i w:val="0"/>
                <w:color w:val="000000"/>
                <w:sz w:val="24"/>
                <w:szCs w:val="24"/>
                <w:u w:val="none"/>
                <w:lang w:val="en-US" w:eastAsia="zh-CN"/>
              </w:rPr>
            </w:pPr>
            <w:r>
              <w:rPr>
                <w:rFonts w:hint="default" w:ascii="Arial" w:hAnsi="Arial" w:eastAsia="宋体" w:cs="Arial"/>
                <w:i w:val="0"/>
                <w:color w:val="000000"/>
                <w:sz w:val="24"/>
                <w:szCs w:val="24"/>
                <w:u w:val="none"/>
              </w:rPr>
              <w:t>≥</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8DBCF">
            <w:pPr>
              <w:keepNext w:val="0"/>
              <w:keepLines w:val="0"/>
              <w:pageBreakBefore w:val="0"/>
              <w:widowControl/>
              <w:kinsoku/>
              <w:wordWrap/>
              <w:overflowPunct/>
              <w:topLinePunct w:val="0"/>
              <w:autoSpaceDE/>
              <w:autoSpaceDN/>
              <w:bidi w:val="0"/>
              <w:adjustRightInd/>
              <w:snapToGrid/>
              <w:spacing w:line="300" w:lineRule="exact"/>
              <w:jc w:val="left"/>
              <w:outlineLvl w:val="9"/>
              <w:rPr>
                <w:rFonts w:hint="default" w:ascii="Times New Roman" w:hAnsi="Times New Roman" w:eastAsia="宋体" w:cs="Times New Roman"/>
                <w:i w:val="0"/>
                <w:color w:val="000000"/>
                <w:sz w:val="24"/>
                <w:szCs w:val="24"/>
                <w:u w:val="none"/>
                <w:lang w:val="en-US" w:eastAsia="zh-CN"/>
              </w:rPr>
            </w:pPr>
            <w:r>
              <w:rPr>
                <w:rFonts w:hint="eastAsia" w:eastAsia="宋体" w:cs="Times New Roman"/>
                <w:i w:val="0"/>
                <w:color w:val="000000"/>
                <w:sz w:val="24"/>
                <w:szCs w:val="24"/>
                <w:u w:val="none"/>
                <w:lang w:val="en-US" w:eastAsia="zh-CN"/>
              </w:rPr>
              <w:t>95</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E9C0E">
            <w:pPr>
              <w:keepNext w:val="0"/>
              <w:keepLines w:val="0"/>
              <w:pageBreakBefore w:val="0"/>
              <w:widowControl/>
              <w:kinsoku/>
              <w:wordWrap/>
              <w:overflowPunct/>
              <w:topLinePunct w:val="0"/>
              <w:autoSpaceDE/>
              <w:autoSpaceDN/>
              <w:bidi w:val="0"/>
              <w:adjustRightInd/>
              <w:snapToGrid/>
              <w:spacing w:line="300" w:lineRule="exact"/>
              <w:jc w:val="left"/>
              <w:outlineLvl w:val="9"/>
              <w:rPr>
                <w:rFonts w:hint="eastAsia" w:ascii="Times New Roman" w:hAnsi="Times New Roman" w:eastAsia="宋体" w:cs="Times New Roman"/>
                <w:i w:val="0"/>
                <w:color w:val="000000"/>
                <w:sz w:val="24"/>
                <w:szCs w:val="24"/>
                <w:u w:val="none"/>
                <w:lang w:val="en-US" w:eastAsia="zh-CN"/>
              </w:rPr>
            </w:pPr>
            <w:r>
              <w:rPr>
                <w:rFonts w:hint="eastAsia" w:eastAsia="宋体" w:cs="Times New Roman"/>
                <w:i w:val="0"/>
                <w:color w:val="000000"/>
                <w:sz w:val="24"/>
                <w:szCs w:val="24"/>
                <w:u w:val="none"/>
                <w:lang w:val="en-US" w:eastAsia="zh-CN"/>
              </w:rPr>
              <w:t>%</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1F6F7">
            <w:pPr>
              <w:keepNext w:val="0"/>
              <w:keepLines w:val="0"/>
              <w:pageBreakBefore w:val="0"/>
              <w:widowControl/>
              <w:kinsoku/>
              <w:wordWrap/>
              <w:overflowPunct/>
              <w:topLinePunct w:val="0"/>
              <w:autoSpaceDE/>
              <w:autoSpaceDN/>
              <w:bidi w:val="0"/>
              <w:adjustRightInd/>
              <w:snapToGrid/>
              <w:spacing w:line="300" w:lineRule="exact"/>
              <w:jc w:val="left"/>
              <w:outlineLvl w:val="9"/>
              <w:rPr>
                <w:rFonts w:hint="default" w:ascii="Times New Roman" w:hAnsi="Times New Roman" w:eastAsia="宋体" w:cs="Times New Roman"/>
                <w:i w:val="0"/>
                <w:color w:val="000000"/>
                <w:sz w:val="24"/>
                <w:szCs w:val="24"/>
                <w:u w:val="none"/>
                <w:lang w:val="en-US" w:eastAsia="zh-CN"/>
              </w:rPr>
            </w:pPr>
            <w:r>
              <w:rPr>
                <w:rFonts w:hint="eastAsia" w:eastAsia="宋体" w:cs="Times New Roman"/>
                <w:i w:val="0"/>
                <w:color w:val="000000"/>
                <w:sz w:val="24"/>
                <w:szCs w:val="24"/>
                <w:u w:val="none"/>
                <w:lang w:val="en-US" w:eastAsia="zh-CN"/>
              </w:rPr>
              <w:t>10</w:t>
            </w:r>
          </w:p>
        </w:tc>
        <w:tc>
          <w:tcPr>
            <w:tcW w:w="1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B5CDD">
            <w:pPr>
              <w:keepNext w:val="0"/>
              <w:keepLines w:val="0"/>
              <w:pageBreakBefore w:val="0"/>
              <w:widowControl/>
              <w:kinsoku/>
              <w:wordWrap/>
              <w:overflowPunct/>
              <w:topLinePunct w:val="0"/>
              <w:autoSpaceDE/>
              <w:autoSpaceDN/>
              <w:bidi w:val="0"/>
              <w:adjustRightInd/>
              <w:snapToGrid/>
              <w:spacing w:line="300" w:lineRule="exact"/>
              <w:jc w:val="left"/>
              <w:outlineLvl w:val="9"/>
              <w:rPr>
                <w:rFonts w:hint="default" w:ascii="Times New Roman" w:hAnsi="Times New Roman" w:eastAsia="宋体" w:cs="Times New Roman"/>
                <w:i w:val="0"/>
                <w:color w:val="000000"/>
                <w:sz w:val="24"/>
                <w:szCs w:val="24"/>
                <w:u w:val="none"/>
                <w:lang w:val="en-US" w:eastAsia="zh-CN"/>
              </w:rPr>
            </w:pPr>
            <w:r>
              <w:rPr>
                <w:rFonts w:hint="eastAsia" w:eastAsia="宋体" w:cs="Times New Roman"/>
                <w:i w:val="0"/>
                <w:color w:val="000000"/>
                <w:sz w:val="24"/>
                <w:szCs w:val="24"/>
                <w:u w:val="none"/>
                <w:lang w:val="en-US" w:eastAsia="zh-CN"/>
              </w:rPr>
              <w:t>96</w:t>
            </w:r>
          </w:p>
        </w:tc>
      </w:tr>
      <w:tr w14:paraId="4D1F09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48" w:hRule="atLeast"/>
          <w:jc w:val="center"/>
        </w:trPr>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6325B">
            <w:pPr>
              <w:keepNext w:val="0"/>
              <w:keepLines w:val="0"/>
              <w:pageBreakBefore w:val="0"/>
              <w:widowControl/>
              <w:kinsoku/>
              <w:wordWrap/>
              <w:overflowPunct/>
              <w:topLinePunct w:val="0"/>
              <w:autoSpaceDE/>
              <w:autoSpaceDN/>
              <w:bidi w:val="0"/>
              <w:adjustRightInd/>
              <w:snapToGrid/>
              <w:spacing w:line="300" w:lineRule="exact"/>
              <w:jc w:val="center"/>
              <w:outlineLvl w:val="9"/>
              <w:rPr>
                <w:rFonts w:hint="default" w:ascii="Times New Roman" w:hAnsi="Times New Roman" w:eastAsia="宋体" w:cs="Times New Roman"/>
                <w:i w:val="0"/>
                <w:color w:val="000000"/>
                <w:sz w:val="24"/>
                <w:szCs w:val="24"/>
                <w:u w:val="none"/>
              </w:rPr>
            </w:pP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F404C">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eastAsia" w:eastAsia="宋体" w:cs="Times New Roman"/>
                <w:i w:val="0"/>
                <w:color w:val="000000"/>
                <w:kern w:val="0"/>
                <w:sz w:val="24"/>
                <w:szCs w:val="24"/>
                <w:u w:val="none"/>
                <w:lang w:val="en-US" w:eastAsia="zh-CN" w:bidi="ar"/>
              </w:rPr>
              <w:t>成本指标</w:t>
            </w:r>
          </w:p>
        </w:tc>
        <w:tc>
          <w:tcPr>
            <w:tcW w:w="11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4A1BC">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outlineLvl w:val="9"/>
              <w:rPr>
                <w:rFonts w:hint="default" w:ascii="Times New Roman" w:hAnsi="Times New Roman" w:eastAsia="宋体" w:cs="Times New Roman"/>
                <w:i w:val="0"/>
                <w:color w:val="000000"/>
                <w:kern w:val="0"/>
                <w:sz w:val="24"/>
                <w:szCs w:val="24"/>
                <w:u w:val="none"/>
                <w:lang w:val="en-US" w:eastAsia="zh-CN" w:bidi="ar"/>
              </w:rPr>
            </w:pPr>
            <w:r>
              <w:rPr>
                <w:rFonts w:hint="eastAsia" w:eastAsia="宋体" w:cs="Times New Roman"/>
                <w:i w:val="0"/>
                <w:color w:val="000000"/>
                <w:kern w:val="0"/>
                <w:sz w:val="24"/>
                <w:szCs w:val="24"/>
                <w:u w:val="none"/>
                <w:lang w:val="en-US" w:eastAsia="zh-CN" w:bidi="ar"/>
              </w:rPr>
              <w:t>经济成本指标</w:t>
            </w:r>
          </w:p>
        </w:tc>
        <w:tc>
          <w:tcPr>
            <w:tcW w:w="1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F9CE9">
            <w:pPr>
              <w:keepNext w:val="0"/>
              <w:keepLines w:val="0"/>
              <w:pageBreakBefore w:val="0"/>
              <w:widowControl/>
              <w:kinsoku/>
              <w:wordWrap/>
              <w:overflowPunct/>
              <w:topLinePunct w:val="0"/>
              <w:autoSpaceDE/>
              <w:autoSpaceDN/>
              <w:bidi w:val="0"/>
              <w:adjustRightInd/>
              <w:snapToGrid/>
              <w:spacing w:line="300" w:lineRule="exact"/>
              <w:jc w:val="left"/>
              <w:outlineLvl w:val="9"/>
              <w:rPr>
                <w:rFonts w:hint="default" w:eastAsia="宋体" w:cs="Times New Roman"/>
                <w:i w:val="0"/>
                <w:color w:val="000000"/>
                <w:sz w:val="24"/>
                <w:szCs w:val="24"/>
                <w:u w:val="none"/>
                <w:lang w:val="en-US" w:eastAsia="zh-CN"/>
              </w:rPr>
            </w:pPr>
            <w:r>
              <w:rPr>
                <w:rFonts w:hint="eastAsia" w:eastAsia="宋体" w:cs="Times New Roman"/>
                <w:i w:val="0"/>
                <w:color w:val="000000"/>
                <w:sz w:val="24"/>
                <w:szCs w:val="24"/>
                <w:u w:val="none"/>
                <w:lang w:val="en-US" w:eastAsia="zh-CN"/>
              </w:rPr>
              <w:t>严格控制单位支出</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E2F53">
            <w:pPr>
              <w:keepNext w:val="0"/>
              <w:keepLines w:val="0"/>
              <w:pageBreakBefore w:val="0"/>
              <w:widowControl/>
              <w:kinsoku/>
              <w:wordWrap/>
              <w:overflowPunct/>
              <w:topLinePunct w:val="0"/>
              <w:autoSpaceDE/>
              <w:autoSpaceDN/>
              <w:bidi w:val="0"/>
              <w:adjustRightInd/>
              <w:snapToGrid/>
              <w:spacing w:line="300" w:lineRule="exact"/>
              <w:jc w:val="left"/>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5AB1A">
            <w:pPr>
              <w:keepNext w:val="0"/>
              <w:keepLines w:val="0"/>
              <w:pageBreakBefore w:val="0"/>
              <w:widowControl/>
              <w:kinsoku/>
              <w:wordWrap/>
              <w:overflowPunct/>
              <w:topLinePunct w:val="0"/>
              <w:autoSpaceDE/>
              <w:autoSpaceDN/>
              <w:bidi w:val="0"/>
              <w:adjustRightInd/>
              <w:snapToGrid/>
              <w:spacing w:line="300" w:lineRule="exact"/>
              <w:jc w:val="left"/>
              <w:outlineLvl w:val="9"/>
              <w:rPr>
                <w:rFonts w:hint="default" w:eastAsia="宋体" w:cs="Times New Roman"/>
                <w:i w:val="0"/>
                <w:color w:val="000000"/>
                <w:sz w:val="24"/>
                <w:szCs w:val="24"/>
                <w:u w:val="none"/>
                <w:lang w:val="en-US" w:eastAsia="zh-CN"/>
              </w:rPr>
            </w:pPr>
            <w:r>
              <w:rPr>
                <w:rFonts w:hint="eastAsia" w:eastAsia="宋体" w:cs="Times New Roman"/>
                <w:i w:val="0"/>
                <w:color w:val="000000"/>
                <w:sz w:val="24"/>
                <w:szCs w:val="24"/>
                <w:u w:val="none"/>
                <w:lang w:val="en-US" w:eastAsia="zh-CN"/>
              </w:rPr>
              <w:t>2289.41</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E46A3">
            <w:pPr>
              <w:keepNext w:val="0"/>
              <w:keepLines w:val="0"/>
              <w:pageBreakBefore w:val="0"/>
              <w:widowControl/>
              <w:kinsoku/>
              <w:wordWrap/>
              <w:overflowPunct/>
              <w:topLinePunct w:val="0"/>
              <w:autoSpaceDE/>
              <w:autoSpaceDN/>
              <w:bidi w:val="0"/>
              <w:adjustRightInd/>
              <w:snapToGrid/>
              <w:spacing w:line="300" w:lineRule="exact"/>
              <w:jc w:val="left"/>
              <w:outlineLvl w:val="9"/>
              <w:rPr>
                <w:rFonts w:hint="default" w:eastAsia="宋体" w:cs="Times New Roman"/>
                <w:i w:val="0"/>
                <w:color w:val="000000"/>
                <w:sz w:val="24"/>
                <w:szCs w:val="24"/>
                <w:u w:val="none"/>
                <w:lang w:val="en-US" w:eastAsia="zh-CN"/>
              </w:rPr>
            </w:pPr>
            <w:r>
              <w:rPr>
                <w:rFonts w:hint="eastAsia" w:eastAsia="宋体" w:cs="Times New Roman"/>
                <w:i w:val="0"/>
                <w:color w:val="000000"/>
                <w:sz w:val="24"/>
                <w:szCs w:val="24"/>
                <w:u w:val="none"/>
                <w:lang w:val="en-US" w:eastAsia="zh-CN"/>
              </w:rPr>
              <w:t>万元</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E048F">
            <w:pPr>
              <w:keepNext w:val="0"/>
              <w:keepLines w:val="0"/>
              <w:pageBreakBefore w:val="0"/>
              <w:widowControl/>
              <w:kinsoku/>
              <w:wordWrap/>
              <w:overflowPunct/>
              <w:topLinePunct w:val="0"/>
              <w:autoSpaceDE/>
              <w:autoSpaceDN/>
              <w:bidi w:val="0"/>
              <w:adjustRightInd/>
              <w:snapToGrid/>
              <w:spacing w:line="300" w:lineRule="exact"/>
              <w:jc w:val="left"/>
              <w:outlineLvl w:val="9"/>
              <w:rPr>
                <w:rFonts w:hint="default" w:eastAsia="宋体" w:cs="Times New Roman"/>
                <w:i w:val="0"/>
                <w:color w:val="000000"/>
                <w:sz w:val="24"/>
                <w:szCs w:val="24"/>
                <w:u w:val="none"/>
                <w:lang w:val="en-US" w:eastAsia="zh-CN"/>
              </w:rPr>
            </w:pPr>
            <w:r>
              <w:rPr>
                <w:rFonts w:hint="eastAsia" w:eastAsia="宋体" w:cs="Times New Roman"/>
                <w:i w:val="0"/>
                <w:color w:val="000000"/>
                <w:sz w:val="24"/>
                <w:szCs w:val="24"/>
                <w:u w:val="none"/>
                <w:lang w:val="en-US" w:eastAsia="zh-CN"/>
              </w:rPr>
              <w:t>10</w:t>
            </w:r>
          </w:p>
        </w:tc>
        <w:tc>
          <w:tcPr>
            <w:tcW w:w="10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BF11A">
            <w:pPr>
              <w:keepNext w:val="0"/>
              <w:keepLines w:val="0"/>
              <w:pageBreakBefore w:val="0"/>
              <w:widowControl/>
              <w:kinsoku/>
              <w:wordWrap/>
              <w:overflowPunct/>
              <w:topLinePunct w:val="0"/>
              <w:autoSpaceDE/>
              <w:autoSpaceDN/>
              <w:bidi w:val="0"/>
              <w:adjustRightInd/>
              <w:snapToGrid/>
              <w:spacing w:line="300" w:lineRule="exact"/>
              <w:jc w:val="left"/>
              <w:outlineLvl w:val="9"/>
              <w:rPr>
                <w:rFonts w:hint="default" w:eastAsia="宋体" w:cs="Times New Roman"/>
                <w:i w:val="0"/>
                <w:color w:val="000000"/>
                <w:sz w:val="24"/>
                <w:szCs w:val="24"/>
                <w:u w:val="none"/>
                <w:lang w:val="en-US" w:eastAsia="zh-CN"/>
              </w:rPr>
            </w:pPr>
            <w:r>
              <w:rPr>
                <w:rFonts w:hint="eastAsia" w:eastAsia="宋体" w:cs="Times New Roman"/>
                <w:i w:val="0"/>
                <w:color w:val="000000"/>
                <w:sz w:val="24"/>
                <w:szCs w:val="24"/>
                <w:u w:val="none"/>
                <w:lang w:val="en-US" w:eastAsia="zh-CN"/>
              </w:rPr>
              <w:t>2289.41</w:t>
            </w:r>
          </w:p>
        </w:tc>
      </w:tr>
    </w:tbl>
    <w:p w14:paraId="006AA4E1">
      <w:pPr>
        <w:rPr>
          <w:rFonts w:hint="eastAsia" w:ascii="黑体" w:hAnsi="黑体" w:eastAsia="黑体" w:cs="黑体"/>
          <w:color w:val="auto"/>
          <w:kern w:val="2"/>
          <w:sz w:val="32"/>
          <w:szCs w:val="32"/>
          <w:highlight w:val="none"/>
          <w:lang w:val="en-US" w:eastAsia="zh-CN"/>
        </w:rPr>
      </w:pPr>
      <w:r>
        <w:rPr>
          <w:rFonts w:hint="eastAsia" w:ascii="方正小标宋_GBK" w:hAnsi="方正小标宋_GBK" w:eastAsia="方正小标宋_GBK" w:cs="方正小标宋_GBK"/>
          <w:sz w:val="44"/>
          <w:szCs w:val="44"/>
          <w:lang w:val="en-US" w:eastAsia="zh-CN"/>
        </w:rPr>
        <w:br w:type="page"/>
      </w:r>
    </w:p>
    <w:p w14:paraId="66CEA28B">
      <w:pPr>
        <w:pStyle w:val="25"/>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方正小标宋_GBK" w:hAnsi="方正小标宋_GBK" w:eastAsia="方正小标宋_GBK" w:cs="方正小标宋_GBK"/>
          <w:b w:val="0"/>
          <w:bCs w:val="0"/>
          <w:color w:val="auto"/>
          <w:kern w:val="2"/>
          <w:sz w:val="44"/>
          <w:szCs w:val="44"/>
          <w:highlight w:val="none"/>
          <w:lang w:val="en-US" w:eastAsia="zh-CN"/>
        </w:rPr>
      </w:pPr>
    </w:p>
    <w:p w14:paraId="30B2A4C0">
      <w:pPr>
        <w:pStyle w:val="25"/>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方正小标宋_GBK" w:hAnsi="方正小标宋_GBK" w:eastAsia="方正小标宋_GBK" w:cs="方正小标宋_GBK"/>
          <w:b w:val="0"/>
          <w:bCs w:val="0"/>
          <w:color w:val="auto"/>
          <w:kern w:val="2"/>
          <w:sz w:val="44"/>
          <w:szCs w:val="44"/>
          <w:highlight w:val="none"/>
          <w:lang w:val="en-US" w:eastAsia="zh-CN"/>
        </w:rPr>
      </w:pPr>
      <w:r>
        <w:rPr>
          <w:rFonts w:hint="eastAsia" w:ascii="方正小标宋_GBK" w:hAnsi="方正小标宋_GBK" w:eastAsia="方正小标宋_GBK" w:cs="方正小标宋_GBK"/>
          <w:b w:val="0"/>
          <w:bCs w:val="0"/>
          <w:color w:val="auto"/>
          <w:kern w:val="2"/>
          <w:sz w:val="44"/>
          <w:szCs w:val="44"/>
          <w:highlight w:val="none"/>
          <w:lang w:val="en-US" w:eastAsia="zh-CN"/>
        </w:rPr>
        <w:t>县政府综合保障经费绩效运行评价报告</w:t>
      </w:r>
    </w:p>
    <w:p w14:paraId="4637B1F0">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rPr>
          <w:rFonts w:hint="eastAsia" w:ascii="黑体" w:hAnsi="宋体" w:eastAsia="黑体"/>
          <w:highlight w:val="none"/>
        </w:rPr>
      </w:pPr>
    </w:p>
    <w:p w14:paraId="7CE41611">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rPr>
          <w:rFonts w:ascii="黑体" w:hAnsi="宋体" w:eastAsia="黑体"/>
          <w:highlight w:val="none"/>
          <w:lang w:val="zh-CN"/>
        </w:rPr>
      </w:pPr>
      <w:r>
        <w:rPr>
          <w:rFonts w:hint="eastAsia" w:ascii="黑体" w:hAnsi="宋体" w:eastAsia="黑体"/>
          <w:highlight w:val="none"/>
        </w:rPr>
        <w:t>一、</w:t>
      </w:r>
      <w:r>
        <w:rPr>
          <w:rFonts w:hint="eastAsia" w:ascii="黑体" w:hAnsi="宋体" w:eastAsia="黑体"/>
          <w:highlight w:val="none"/>
          <w:lang w:val="zh-CN"/>
        </w:rPr>
        <w:t>项目概况</w:t>
      </w:r>
    </w:p>
    <w:p w14:paraId="637EF8E3">
      <w:pPr>
        <w:keepNext w:val="0"/>
        <w:keepLines w:val="0"/>
        <w:pageBreakBefore w:val="0"/>
        <w:widowControl w:val="0"/>
        <w:kinsoku/>
        <w:wordWrap/>
        <w:overflowPunct/>
        <w:topLinePunct w:val="0"/>
        <w:autoSpaceDE/>
        <w:autoSpaceDN/>
        <w:bidi w:val="0"/>
        <w:adjustRightInd w:val="0"/>
        <w:snapToGrid w:val="0"/>
        <w:spacing w:line="578" w:lineRule="exact"/>
        <w:ind w:firstLine="643" w:firstLineChars="200"/>
        <w:textAlignment w:val="auto"/>
        <w:rPr>
          <w:rFonts w:hint="eastAsia" w:ascii="仿宋_GB2312" w:hAnsi="仿宋_GB2312" w:eastAsia="仿宋_GB2312" w:cs="仿宋_GB2312"/>
          <w:sz w:val="32"/>
          <w:szCs w:val="32"/>
          <w:lang w:val="en-US" w:eastAsia="zh-CN"/>
        </w:rPr>
      </w:pPr>
      <w:r>
        <w:rPr>
          <w:rFonts w:hint="eastAsia" w:ascii="楷体_GB2312" w:hAnsi="宋体" w:eastAsia="楷体_GB2312"/>
          <w:b/>
          <w:color w:val="auto"/>
          <w:sz w:val="32"/>
          <w:szCs w:val="32"/>
          <w:highlight w:val="none"/>
          <w:u w:val="none"/>
          <w:lang w:val="zh-CN"/>
        </w:rPr>
        <w:t>（一）设立背景及基本情况。</w:t>
      </w:r>
      <w:r>
        <w:rPr>
          <w:rFonts w:hint="eastAsia" w:ascii="仿宋_GB2312" w:hAnsi="仿宋_GB2312" w:cs="仿宋_GB2312"/>
          <w:kern w:val="0"/>
          <w:shd w:val="clear" w:color="auto" w:fill="FFFFFF"/>
          <w:lang w:val="zh-CN"/>
        </w:rPr>
        <w:t>根据202</w:t>
      </w:r>
      <w:r>
        <w:rPr>
          <w:rFonts w:hint="eastAsia" w:ascii="仿宋_GB2312" w:hAnsi="仿宋_GB2312" w:cs="仿宋_GB2312"/>
          <w:kern w:val="0"/>
          <w:shd w:val="clear" w:color="auto" w:fill="FFFFFF"/>
          <w:lang w:val="en-US" w:eastAsia="zh-CN"/>
        </w:rPr>
        <w:t>4</w:t>
      </w:r>
      <w:r>
        <w:rPr>
          <w:rFonts w:hint="eastAsia" w:ascii="仿宋_GB2312" w:hAnsi="仿宋_GB2312" w:cs="仿宋_GB2312"/>
          <w:kern w:val="0"/>
          <w:shd w:val="clear" w:color="auto" w:fill="FFFFFF"/>
          <w:lang w:val="zh-CN"/>
        </w:rPr>
        <w:t>年</w:t>
      </w:r>
      <w:r>
        <w:rPr>
          <w:rFonts w:hint="eastAsia" w:ascii="仿宋_GB2312" w:hAnsi="仿宋_GB2312" w:cs="仿宋_GB2312"/>
          <w:kern w:val="0"/>
          <w:shd w:val="clear" w:color="auto" w:fill="FFFFFF"/>
          <w:lang w:val="en-US" w:eastAsia="zh-CN"/>
        </w:rPr>
        <w:t>县委</w:t>
      </w:r>
      <w:r>
        <w:rPr>
          <w:rFonts w:hint="eastAsia" w:ascii="仿宋_GB2312" w:hAnsi="仿宋_GB2312" w:cs="仿宋_GB2312"/>
          <w:kern w:val="0"/>
          <w:shd w:val="clear" w:color="auto" w:fill="FFFFFF"/>
          <w:lang w:val="zh-CN"/>
        </w:rPr>
        <w:t>工作部署，县</w:t>
      </w:r>
      <w:r>
        <w:rPr>
          <w:rFonts w:hint="eastAsia" w:ascii="仿宋_GB2312" w:hAnsi="仿宋_GB2312" w:cs="仿宋_GB2312"/>
          <w:kern w:val="0"/>
          <w:shd w:val="clear" w:color="auto" w:fill="FFFFFF"/>
          <w:lang w:val="en-US" w:eastAsia="zh-CN"/>
        </w:rPr>
        <w:t>政府</w:t>
      </w:r>
      <w:r>
        <w:rPr>
          <w:rFonts w:hint="eastAsia" w:ascii="仿宋_GB2312" w:hAnsi="仿宋_GB2312" w:cs="仿宋_GB2312"/>
          <w:kern w:val="0"/>
          <w:shd w:val="clear" w:color="auto" w:fill="FFFFFF"/>
          <w:lang w:val="zh-CN"/>
        </w:rPr>
        <w:t>办负责对全县经济建设、社会发展、</w:t>
      </w:r>
      <w:r>
        <w:rPr>
          <w:rFonts w:hint="eastAsia" w:ascii="仿宋_GB2312" w:hAnsi="仿宋_GB2312" w:cs="仿宋_GB2312"/>
          <w:kern w:val="0"/>
          <w:shd w:val="clear" w:color="auto" w:fill="FFFFFF"/>
          <w:lang w:val="en-US" w:eastAsia="zh-CN"/>
        </w:rPr>
        <w:t>政府</w:t>
      </w:r>
      <w:r>
        <w:rPr>
          <w:rFonts w:hint="eastAsia" w:ascii="仿宋_GB2312" w:hAnsi="仿宋_GB2312" w:cs="仿宋_GB2312"/>
          <w:kern w:val="0"/>
          <w:shd w:val="clear" w:color="auto" w:fill="FFFFFF"/>
          <w:lang w:val="zh-CN"/>
        </w:rPr>
        <w:t>自身建设等重大问题进行调查研究，为县</w:t>
      </w:r>
      <w:r>
        <w:rPr>
          <w:rFonts w:hint="eastAsia" w:ascii="仿宋_GB2312" w:hAnsi="仿宋_GB2312" w:cs="仿宋_GB2312"/>
          <w:kern w:val="0"/>
          <w:shd w:val="clear" w:color="auto" w:fill="FFFFFF"/>
          <w:lang w:val="en-US" w:eastAsia="zh-CN"/>
        </w:rPr>
        <w:t>政府</w:t>
      </w:r>
      <w:r>
        <w:rPr>
          <w:rFonts w:hint="eastAsia" w:ascii="仿宋_GB2312" w:hAnsi="仿宋_GB2312" w:cs="仿宋_GB2312"/>
          <w:kern w:val="0"/>
          <w:shd w:val="clear" w:color="auto" w:fill="FFFFFF"/>
          <w:lang w:val="zh-CN"/>
        </w:rPr>
        <w:t>科学决策提出建议、预案；全面落实县</w:t>
      </w:r>
      <w:r>
        <w:rPr>
          <w:rFonts w:hint="eastAsia" w:ascii="仿宋_GB2312" w:hAnsi="仿宋_GB2312" w:cs="仿宋_GB2312"/>
          <w:kern w:val="0"/>
          <w:shd w:val="clear" w:color="auto" w:fill="FFFFFF"/>
          <w:lang w:val="en-US" w:eastAsia="zh-CN"/>
        </w:rPr>
        <w:t>政府</w:t>
      </w:r>
      <w:r>
        <w:rPr>
          <w:rFonts w:hint="eastAsia" w:ascii="仿宋_GB2312" w:hAnsi="仿宋_GB2312" w:cs="仿宋_GB2312"/>
          <w:kern w:val="0"/>
          <w:shd w:val="clear" w:color="auto" w:fill="FFFFFF"/>
          <w:lang w:val="zh-CN"/>
        </w:rPr>
        <w:t>有关会议的筹备和组织协调，202</w:t>
      </w:r>
      <w:r>
        <w:rPr>
          <w:rFonts w:hint="eastAsia" w:ascii="仿宋_GB2312" w:hAnsi="仿宋_GB2312" w:cs="仿宋_GB2312"/>
          <w:kern w:val="0"/>
          <w:shd w:val="clear" w:color="auto" w:fill="FFFFFF"/>
          <w:lang w:val="en-US" w:eastAsia="zh-CN"/>
        </w:rPr>
        <w:t>4</w:t>
      </w:r>
      <w:r>
        <w:rPr>
          <w:rFonts w:hint="eastAsia" w:ascii="仿宋_GB2312" w:hAnsi="仿宋_GB2312" w:cs="仿宋_GB2312"/>
          <w:kern w:val="0"/>
          <w:shd w:val="clear" w:color="auto" w:fill="FFFFFF"/>
          <w:lang w:val="zh-CN"/>
        </w:rPr>
        <w:t>年县财政安排县</w:t>
      </w:r>
      <w:r>
        <w:rPr>
          <w:rFonts w:hint="eastAsia" w:ascii="仿宋_GB2312" w:hAnsi="仿宋_GB2312" w:cs="仿宋_GB2312"/>
          <w:kern w:val="0"/>
          <w:shd w:val="clear" w:color="auto" w:fill="FFFFFF"/>
          <w:lang w:val="en-US" w:eastAsia="zh-CN"/>
        </w:rPr>
        <w:t>政府综合保障</w:t>
      </w:r>
      <w:r>
        <w:rPr>
          <w:rFonts w:hint="eastAsia" w:ascii="仿宋_GB2312" w:hAnsi="仿宋_GB2312" w:cs="仿宋_GB2312"/>
          <w:kern w:val="0"/>
          <w:shd w:val="clear" w:color="auto" w:fill="FFFFFF"/>
          <w:lang w:val="zh-CN"/>
        </w:rPr>
        <w:t>经费。</w:t>
      </w:r>
    </w:p>
    <w:p w14:paraId="5FA0F5F5">
      <w:pPr>
        <w:adjustRightInd w:val="0"/>
        <w:snapToGrid w:val="0"/>
        <w:spacing w:line="578" w:lineRule="exact"/>
        <w:ind w:firstLine="643" w:firstLineChars="200"/>
        <w:rPr>
          <w:rFonts w:ascii="仿宋_GB2312" w:hAnsi="宋体"/>
          <w:bCs/>
          <w:lang w:val="zh-CN"/>
        </w:rPr>
      </w:pPr>
      <w:r>
        <w:rPr>
          <w:rFonts w:hint="eastAsia" w:ascii="楷体_GB2312" w:hAnsi="宋体" w:eastAsia="楷体_GB2312"/>
          <w:b/>
          <w:color w:val="auto"/>
          <w:sz w:val="32"/>
          <w:szCs w:val="32"/>
          <w:highlight w:val="none"/>
          <w:u w:val="none"/>
          <w:lang w:val="zh-CN"/>
        </w:rPr>
        <w:t>（</w:t>
      </w:r>
      <w:r>
        <w:rPr>
          <w:rFonts w:hint="eastAsia" w:ascii="楷体_GB2312" w:hAnsi="宋体" w:eastAsia="楷体_GB2312" w:cs="Times New Roman"/>
          <w:b/>
          <w:color w:val="auto"/>
          <w:sz w:val="32"/>
          <w:szCs w:val="32"/>
          <w:highlight w:val="none"/>
          <w:u w:val="none"/>
          <w:lang w:val="zh-CN"/>
        </w:rPr>
        <w:t>二）</w:t>
      </w:r>
      <w:r>
        <w:rPr>
          <w:rFonts w:hint="default" w:ascii="楷体_GB2312" w:hAnsi="宋体" w:eastAsia="楷体_GB2312" w:cs="Times New Roman"/>
          <w:b/>
          <w:color w:val="auto"/>
          <w:sz w:val="32"/>
          <w:szCs w:val="32"/>
          <w:highlight w:val="none"/>
          <w:u w:val="none"/>
          <w:lang w:val="en-US" w:eastAsia="zh-CN"/>
        </w:rPr>
        <w:t>实施目的及支持方向</w:t>
      </w:r>
      <w:r>
        <w:rPr>
          <w:rFonts w:hint="eastAsia" w:ascii="楷体_GB2312" w:hAnsi="宋体" w:eastAsia="楷体_GB2312" w:cs="Times New Roman"/>
          <w:b/>
          <w:color w:val="auto"/>
          <w:sz w:val="32"/>
          <w:szCs w:val="32"/>
          <w:highlight w:val="none"/>
          <w:u w:val="none"/>
          <w:lang w:val="en-US" w:eastAsia="zh-CN"/>
        </w:rPr>
        <w:t>。</w:t>
      </w:r>
      <w:r>
        <w:rPr>
          <w:rFonts w:hint="eastAsia" w:ascii="仿宋_GB2312" w:hAnsi="宋体"/>
          <w:bCs/>
          <w:lang w:val="zh-CN"/>
        </w:rPr>
        <w:t>本项目主要工作任务是保障县</w:t>
      </w:r>
      <w:r>
        <w:rPr>
          <w:rFonts w:hint="eastAsia" w:ascii="仿宋_GB2312" w:hAnsi="宋体"/>
          <w:bCs/>
          <w:lang w:val="en-US" w:eastAsia="zh-CN"/>
        </w:rPr>
        <w:t>政府</w:t>
      </w:r>
      <w:r>
        <w:rPr>
          <w:rFonts w:hint="eastAsia" w:ascii="仿宋_GB2312" w:hAnsi="宋体"/>
          <w:bCs/>
          <w:lang w:val="zh-CN"/>
        </w:rPr>
        <w:t>全年工作正常运转；完成县</w:t>
      </w:r>
      <w:r>
        <w:rPr>
          <w:rFonts w:hint="eastAsia" w:ascii="仿宋_GB2312" w:hAnsi="宋体"/>
          <w:bCs/>
          <w:lang w:val="en-US" w:eastAsia="zh-CN"/>
        </w:rPr>
        <w:t>政府</w:t>
      </w:r>
      <w:r>
        <w:rPr>
          <w:rFonts w:hint="eastAsia" w:ascii="仿宋_GB2312" w:hAnsi="宋体"/>
          <w:bCs/>
          <w:lang w:val="zh-CN"/>
        </w:rPr>
        <w:t>全年工作计划；确保全县经济、文化、城镇建设全面发展提供经济保障。</w:t>
      </w:r>
    </w:p>
    <w:p w14:paraId="37F1FC08">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firstLine="321" w:firstLineChars="100"/>
        <w:contextualSpacing/>
        <w:jc w:val="left"/>
        <w:textAlignment w:val="auto"/>
        <w:rPr>
          <w:rFonts w:hint="eastAsia" w:ascii="仿宋_GB2312" w:hAnsi="仿宋_GB2312" w:cs="仿宋_GB2312"/>
          <w:color w:val="auto"/>
          <w:kern w:val="0"/>
          <w:sz w:val="32"/>
          <w:szCs w:val="32"/>
          <w:highlight w:val="none"/>
          <w:u w:val="none"/>
          <w:shd w:val="clear" w:color="auto" w:fill="FFFFFF"/>
          <w:lang w:val="zh-CN"/>
        </w:rPr>
      </w:pPr>
      <w:r>
        <w:rPr>
          <w:rFonts w:hint="eastAsia" w:ascii="楷体_GB2312" w:hAnsi="宋体" w:eastAsia="楷体_GB2312" w:cs="Times New Roman"/>
          <w:b/>
          <w:color w:val="auto"/>
          <w:sz w:val="32"/>
          <w:szCs w:val="32"/>
          <w:highlight w:val="none"/>
          <w:u w:val="none"/>
          <w:lang w:val="zh-CN" w:eastAsia="zh-CN"/>
        </w:rPr>
        <w:t>（三）</w:t>
      </w:r>
      <w:r>
        <w:rPr>
          <w:rFonts w:hint="default" w:ascii="楷体_GB2312" w:hAnsi="宋体" w:eastAsia="楷体_GB2312" w:cs="Times New Roman"/>
          <w:b/>
          <w:color w:val="auto"/>
          <w:sz w:val="32"/>
          <w:szCs w:val="32"/>
          <w:highlight w:val="none"/>
          <w:u w:val="none"/>
          <w:lang w:val="en-US" w:eastAsia="zh-CN"/>
        </w:rPr>
        <w:t>预算安排及分配管理</w:t>
      </w:r>
      <w:r>
        <w:rPr>
          <w:rFonts w:hint="eastAsia" w:ascii="楷体_GB2312" w:hAnsi="宋体" w:eastAsia="楷体_GB2312" w:cs="Times New Roman"/>
          <w:b/>
          <w:color w:val="auto"/>
          <w:sz w:val="32"/>
          <w:szCs w:val="32"/>
          <w:highlight w:val="none"/>
          <w:u w:val="none"/>
          <w:lang w:val="zh-CN" w:eastAsia="zh-CN"/>
        </w:rPr>
        <w:t>。</w:t>
      </w:r>
      <w:r>
        <w:rPr>
          <w:rFonts w:hint="eastAsia" w:ascii="仿宋_GB2312" w:hAnsi="仿宋_GB2312" w:cs="仿宋_GB2312"/>
          <w:color w:val="auto"/>
          <w:kern w:val="0"/>
          <w:sz w:val="32"/>
          <w:szCs w:val="32"/>
          <w:highlight w:val="none"/>
          <w:u w:val="none"/>
          <w:shd w:val="clear" w:color="auto" w:fill="FFFFFF"/>
          <w:lang w:val="zh-CN" w:eastAsia="zh-CN"/>
        </w:rPr>
        <w:t>项目预算安排</w:t>
      </w:r>
      <w:r>
        <w:rPr>
          <w:rFonts w:hint="eastAsia" w:ascii="仿宋_GB2312" w:hAnsi="仿宋_GB2312" w:cs="仿宋_GB2312"/>
          <w:color w:val="auto"/>
          <w:kern w:val="0"/>
          <w:sz w:val="32"/>
          <w:szCs w:val="32"/>
          <w:highlight w:val="none"/>
          <w:u w:val="none"/>
          <w:shd w:val="clear" w:color="auto" w:fill="FFFFFF"/>
          <w:lang w:val="en-US" w:eastAsia="zh-CN"/>
        </w:rPr>
        <w:t>2024年综合保障经费739.76万元，由（</w:t>
      </w:r>
      <w:r>
        <w:rPr>
          <w:rFonts w:hint="eastAsia" w:ascii="仿宋_GB2312" w:hAnsi="仿宋_GB2312" w:eastAsia="仿宋_GB2312" w:cs="仿宋_GB2312"/>
          <w:i w:val="0"/>
          <w:color w:val="000000"/>
          <w:sz w:val="32"/>
          <w:szCs w:val="32"/>
          <w:u w:val="none"/>
          <w:lang w:val="en-US" w:eastAsia="zh-CN"/>
        </w:rPr>
        <w:t>渠财</w:t>
      </w:r>
      <w:r>
        <w:rPr>
          <w:rFonts w:hint="eastAsia" w:ascii="仿宋_GB2312" w:hAnsi="仿宋_GB2312" w:cs="仿宋_GB2312"/>
          <w:i w:val="0"/>
          <w:color w:val="000000"/>
          <w:sz w:val="32"/>
          <w:szCs w:val="32"/>
          <w:u w:val="none"/>
          <w:lang w:val="en-US" w:eastAsia="zh-CN"/>
        </w:rPr>
        <w:t>预</w:t>
      </w:r>
      <w:r>
        <w:rPr>
          <w:rFonts w:hint="eastAsia" w:ascii="仿宋_GB2312" w:hAnsi="仿宋_GB2312" w:eastAsia="仿宋_GB2312" w:cs="仿宋_GB2312"/>
          <w:i w:val="0"/>
          <w:color w:val="000000"/>
          <w:sz w:val="32"/>
          <w:szCs w:val="32"/>
          <w:u w:val="none"/>
          <w:lang w:val="en-US" w:eastAsia="zh-CN"/>
        </w:rPr>
        <w:t>〔</w:t>
      </w:r>
      <w:r>
        <w:rPr>
          <w:rFonts w:hint="eastAsia" w:ascii="仿宋_GB2312" w:hAnsi="仿宋_GB2312" w:cs="仿宋_GB2312"/>
          <w:i w:val="0"/>
          <w:color w:val="000000"/>
          <w:sz w:val="32"/>
          <w:szCs w:val="32"/>
          <w:u w:val="none"/>
          <w:lang w:val="en-US" w:eastAsia="zh-CN"/>
        </w:rPr>
        <w:t>2024</w:t>
      </w:r>
      <w:r>
        <w:rPr>
          <w:rFonts w:hint="eastAsia" w:ascii="仿宋_GB2312" w:hAnsi="仿宋_GB2312" w:eastAsia="仿宋_GB2312" w:cs="仿宋_GB2312"/>
          <w:i w:val="0"/>
          <w:color w:val="000000"/>
          <w:sz w:val="32"/>
          <w:szCs w:val="32"/>
          <w:u w:val="none"/>
          <w:lang w:val="en-US" w:eastAsia="zh-CN"/>
        </w:rPr>
        <w:t>〕</w:t>
      </w:r>
      <w:r>
        <w:rPr>
          <w:rFonts w:hint="eastAsia" w:ascii="仿宋_GB2312" w:hAnsi="仿宋_GB2312" w:cs="仿宋_GB2312"/>
          <w:i w:val="0"/>
          <w:color w:val="000000"/>
          <w:sz w:val="32"/>
          <w:szCs w:val="32"/>
          <w:u w:val="none"/>
          <w:lang w:val="en-US" w:eastAsia="zh-CN"/>
        </w:rPr>
        <w:t>005</w:t>
      </w:r>
      <w:r>
        <w:rPr>
          <w:rFonts w:hint="eastAsia" w:ascii="仿宋_GB2312" w:hAnsi="仿宋_GB2312" w:eastAsia="仿宋_GB2312" w:cs="仿宋_GB2312"/>
          <w:i w:val="0"/>
          <w:color w:val="000000"/>
          <w:sz w:val="32"/>
          <w:szCs w:val="32"/>
          <w:u w:val="none"/>
          <w:lang w:val="en-US" w:eastAsia="zh-CN"/>
        </w:rPr>
        <w:t>号</w:t>
      </w:r>
      <w:r>
        <w:rPr>
          <w:rFonts w:hint="eastAsia" w:ascii="仿宋_GB2312" w:hAnsi="仿宋_GB2312" w:cs="仿宋_GB2312"/>
          <w:color w:val="auto"/>
          <w:kern w:val="0"/>
          <w:sz w:val="32"/>
          <w:szCs w:val="32"/>
          <w:highlight w:val="none"/>
          <w:u w:val="none"/>
          <w:shd w:val="clear" w:color="auto" w:fill="FFFFFF"/>
          <w:lang w:val="en-US" w:eastAsia="zh-CN"/>
        </w:rPr>
        <w:t>）</w:t>
      </w:r>
      <w:r>
        <w:rPr>
          <w:rFonts w:hint="eastAsia" w:ascii="仿宋_GB2312" w:hAnsi="仿宋_GB2312" w:cs="仿宋_GB2312"/>
          <w:i w:val="0"/>
          <w:color w:val="000000"/>
          <w:sz w:val="32"/>
          <w:szCs w:val="32"/>
          <w:u w:val="none"/>
          <w:lang w:val="en-US" w:eastAsia="zh-CN"/>
        </w:rPr>
        <w:t>下达资金</w:t>
      </w:r>
      <w:r>
        <w:rPr>
          <w:rFonts w:hint="eastAsia" w:ascii="仿宋_GB2312" w:hAnsi="仿宋_GB2312" w:cs="仿宋_GB2312"/>
          <w:color w:val="auto"/>
          <w:kern w:val="0"/>
          <w:sz w:val="32"/>
          <w:szCs w:val="32"/>
          <w:highlight w:val="none"/>
          <w:u w:val="none"/>
          <w:shd w:val="clear" w:color="auto" w:fill="FFFFFF"/>
          <w:lang w:val="en-US" w:eastAsia="zh-CN"/>
        </w:rPr>
        <w:t>739.76</w:t>
      </w:r>
      <w:r>
        <w:rPr>
          <w:rFonts w:hint="eastAsia" w:ascii="仿宋_GB2312" w:hAnsi="仿宋_GB2312" w:cs="仿宋_GB2312"/>
          <w:i w:val="0"/>
          <w:color w:val="000000"/>
          <w:sz w:val="32"/>
          <w:szCs w:val="32"/>
          <w:u w:val="none"/>
          <w:lang w:val="en-US" w:eastAsia="zh-CN"/>
        </w:rPr>
        <w:t>万元。</w:t>
      </w:r>
    </w:p>
    <w:p w14:paraId="4BDC4202">
      <w:pPr>
        <w:keepNext w:val="0"/>
        <w:keepLines w:val="0"/>
        <w:pageBreakBefore w:val="0"/>
        <w:widowControl w:val="0"/>
        <w:kinsoku/>
        <w:wordWrap/>
        <w:overflowPunct/>
        <w:topLinePunct w:val="0"/>
        <w:autoSpaceDE/>
        <w:autoSpaceDN/>
        <w:bidi w:val="0"/>
        <w:adjustRightInd w:val="0"/>
        <w:snapToGrid w:val="0"/>
        <w:spacing w:line="578" w:lineRule="exact"/>
        <w:ind w:firstLine="426"/>
        <w:textAlignment w:val="auto"/>
        <w:rPr>
          <w:rFonts w:hint="eastAsia" w:ascii="仿宋_GB2312" w:hAnsi="仿宋_GB2312" w:eastAsia="仿宋_GB2312" w:cs="仿宋_GB2312"/>
          <w:sz w:val="32"/>
          <w:szCs w:val="32"/>
          <w:lang w:val="en-US" w:eastAsia="zh-CN"/>
        </w:rPr>
      </w:pPr>
      <w:r>
        <w:rPr>
          <w:rFonts w:hint="eastAsia" w:ascii="楷体_GB2312" w:hAnsi="宋体" w:eastAsia="楷体_GB2312" w:cs="Times New Roman"/>
          <w:b/>
          <w:color w:val="auto"/>
          <w:sz w:val="32"/>
          <w:szCs w:val="32"/>
          <w:highlight w:val="none"/>
          <w:u w:val="none"/>
          <w:lang w:val="zh-CN" w:eastAsia="zh-CN"/>
        </w:rPr>
        <w:t>（四）项目绩效目标设置。</w:t>
      </w:r>
      <w:r>
        <w:rPr>
          <w:rFonts w:hint="eastAsia" w:ascii="仿宋_GB2312" w:hAnsi="仿宋_GB2312" w:eastAsia="仿宋_GB2312" w:cs="仿宋_GB2312"/>
          <w:sz w:val="32"/>
          <w:szCs w:val="32"/>
          <w:lang w:val="en-US" w:eastAsia="zh-CN"/>
        </w:rPr>
        <w:t>根据预算绩效管理工作要求，设立了产出指标、效益指标、满意度指标及成本指标等4个一级指标，并对所有一级指标进行了逐级细化量化，设立分值总分100分。</w:t>
      </w:r>
    </w:p>
    <w:p w14:paraId="20CF513F">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outlineLvl w:val="9"/>
        <w:rPr>
          <w:rFonts w:hint="eastAsia" w:ascii="黑体" w:hAnsi="宋体" w:eastAsia="黑体"/>
          <w:highlight w:val="none"/>
          <w:lang w:eastAsia="zh-CN"/>
        </w:rPr>
      </w:pPr>
      <w:r>
        <w:rPr>
          <w:rFonts w:hint="eastAsia" w:ascii="黑体" w:hAnsi="宋体" w:eastAsia="黑体"/>
          <w:highlight w:val="none"/>
        </w:rPr>
        <w:t>二、</w:t>
      </w:r>
      <w:r>
        <w:rPr>
          <w:rFonts w:hint="eastAsia" w:ascii="黑体" w:hAnsi="宋体" w:eastAsia="黑体"/>
          <w:highlight w:val="none"/>
          <w:lang w:eastAsia="zh-CN"/>
        </w:rPr>
        <w:t>评价实施</w:t>
      </w:r>
    </w:p>
    <w:p w14:paraId="2842D47C">
      <w:pPr>
        <w:keepNext w:val="0"/>
        <w:keepLines w:val="0"/>
        <w:pageBreakBefore w:val="0"/>
        <w:widowControl w:val="0"/>
        <w:numPr>
          <w:ilvl w:val="0"/>
          <w:numId w:val="0"/>
        </w:numPr>
        <w:kinsoku/>
        <w:wordWrap/>
        <w:overflowPunct/>
        <w:topLinePunct w:val="0"/>
        <w:autoSpaceDE/>
        <w:autoSpaceDN/>
        <w:bidi w:val="0"/>
        <w:spacing w:line="578" w:lineRule="exact"/>
        <w:ind w:firstLine="643" w:firstLineChars="200"/>
        <w:textAlignment w:val="auto"/>
        <w:rPr>
          <w:rFonts w:hint="eastAsia" w:ascii="仿宋_GB2312" w:hAnsi="仿宋_GB2312" w:eastAsia="仿宋_GB2312" w:cs="仿宋_GB2312"/>
          <w:sz w:val="32"/>
          <w:szCs w:val="32"/>
          <w:lang w:val="en-US" w:eastAsia="zh-CN"/>
        </w:rPr>
      </w:pPr>
      <w:r>
        <w:rPr>
          <w:rFonts w:hint="eastAsia" w:ascii="楷体_GB2312" w:hAnsi="宋体" w:eastAsia="楷体_GB2312"/>
          <w:b/>
          <w:color w:val="auto"/>
          <w:sz w:val="32"/>
          <w:szCs w:val="32"/>
          <w:highlight w:val="none"/>
          <w:u w:val="none"/>
          <w:lang w:val="zh-CN"/>
        </w:rPr>
        <w:t>（一）评价目的。</w:t>
      </w:r>
      <w:r>
        <w:rPr>
          <w:rFonts w:hint="eastAsia" w:ascii="仿宋_GB2312" w:hAnsi="仿宋_GB2312" w:eastAsia="仿宋_GB2312" w:cs="仿宋_GB2312"/>
          <w:sz w:val="32"/>
          <w:szCs w:val="32"/>
          <w:lang w:val="en-US" w:eastAsia="zh-CN"/>
        </w:rPr>
        <w:t>通过绩效自评，准确判断</w:t>
      </w:r>
      <w:r>
        <w:rPr>
          <w:rFonts w:hint="eastAsia" w:ascii="仿宋_GB2312" w:hAnsi="仿宋_GB2312" w:cs="仿宋_GB2312"/>
          <w:sz w:val="32"/>
          <w:szCs w:val="32"/>
          <w:lang w:val="en-US" w:eastAsia="zh-CN"/>
        </w:rPr>
        <w:t>县政府综合保障经费</w:t>
      </w:r>
      <w:r>
        <w:rPr>
          <w:rFonts w:hint="eastAsia" w:ascii="仿宋_GB2312" w:hAnsi="仿宋_GB2312" w:eastAsia="仿宋_GB2312" w:cs="仿宋_GB2312"/>
          <w:sz w:val="32"/>
          <w:szCs w:val="32"/>
          <w:lang w:val="en-US" w:eastAsia="zh-CN"/>
        </w:rPr>
        <w:t>项目实施的科学性、必要性，</w:t>
      </w:r>
      <w:r>
        <w:rPr>
          <w:rFonts w:hint="eastAsia" w:ascii="仿宋_GB2312" w:hAnsi="仿宋_GB2312" w:cs="仿宋_GB2312"/>
          <w:sz w:val="32"/>
          <w:szCs w:val="32"/>
          <w:lang w:val="en-US" w:eastAsia="zh-CN"/>
        </w:rPr>
        <w:t>判断</w:t>
      </w:r>
      <w:r>
        <w:rPr>
          <w:rFonts w:hint="eastAsia" w:ascii="仿宋_GB2312" w:hAnsi="仿宋_GB2312" w:eastAsia="仿宋_GB2312" w:cs="仿宋_GB2312"/>
          <w:sz w:val="32"/>
          <w:szCs w:val="32"/>
          <w:lang w:val="en-US" w:eastAsia="zh-CN"/>
        </w:rPr>
        <w:t>资金使用是否合理，开展工作是否达到预期效果。</w:t>
      </w:r>
    </w:p>
    <w:p w14:paraId="5980B681">
      <w:pPr>
        <w:adjustRightInd w:val="0"/>
        <w:snapToGrid w:val="0"/>
        <w:spacing w:line="578" w:lineRule="exact"/>
        <w:ind w:firstLine="643" w:firstLineChars="200"/>
        <w:rPr>
          <w:rFonts w:ascii="楷体_GB2312" w:hAnsi="宋体" w:eastAsia="楷体_GB2312"/>
          <w:b/>
          <w:lang w:val="zh-CN"/>
        </w:rPr>
      </w:pPr>
      <w:r>
        <w:rPr>
          <w:rFonts w:hint="eastAsia" w:ascii="楷体_GB2312" w:hAnsi="宋体" w:eastAsia="楷体_GB2312"/>
          <w:b/>
          <w:lang w:val="zh-CN"/>
        </w:rPr>
        <w:t>（二）预设问题及评价重点</w:t>
      </w:r>
    </w:p>
    <w:p w14:paraId="146FDE5F">
      <w:pPr>
        <w:adjustRightInd w:val="0"/>
        <w:snapToGrid w:val="0"/>
        <w:spacing w:line="578" w:lineRule="exact"/>
        <w:ind w:firstLine="640" w:firstLineChars="200"/>
      </w:pPr>
      <w:r>
        <w:rPr>
          <w:rFonts w:hint="eastAsia"/>
        </w:rPr>
        <w:t>202</w:t>
      </w:r>
      <w:r>
        <w:rPr>
          <w:rFonts w:hint="eastAsia"/>
          <w:lang w:val="en-US" w:eastAsia="zh-CN"/>
        </w:rPr>
        <w:t>4</w:t>
      </w:r>
      <w:r>
        <w:rPr>
          <w:rFonts w:hint="eastAsia"/>
        </w:rPr>
        <w:t>县</w:t>
      </w:r>
      <w:r>
        <w:rPr>
          <w:rFonts w:hint="eastAsia"/>
          <w:lang w:val="en-US" w:eastAsia="zh-CN"/>
        </w:rPr>
        <w:t>政府</w:t>
      </w:r>
      <w:r>
        <w:rPr>
          <w:rFonts w:hint="eastAsia"/>
        </w:rPr>
        <w:t>综合保障经费项目资金到位及时，足额拨付，项目资金使用符合国家财经法规和相关财务管理制度，不存在超范围、超标准、超进度使用专项资金和资金损失浪费、长期沉淀、截留、挤占、挪用、虚列支出等情况，项目实施遵守相关法律法规，按预期目标完成，实施结果与绩效目标相匹配。</w:t>
      </w:r>
    </w:p>
    <w:p w14:paraId="5B99B998">
      <w:pPr>
        <w:adjustRightInd w:val="0"/>
        <w:snapToGrid w:val="0"/>
        <w:spacing w:line="578" w:lineRule="exact"/>
        <w:ind w:firstLine="643" w:firstLineChars="200"/>
        <w:rPr>
          <w:lang w:val="zh-CN"/>
        </w:rPr>
      </w:pPr>
      <w:r>
        <w:rPr>
          <w:rFonts w:hint="eastAsia" w:ascii="楷体_GB2312" w:hAnsi="宋体" w:eastAsia="楷体_GB2312"/>
          <w:b/>
          <w:color w:val="auto"/>
          <w:sz w:val="32"/>
          <w:szCs w:val="32"/>
          <w:highlight w:val="none"/>
          <w:u w:val="none"/>
          <w:lang w:val="zh-CN"/>
        </w:rPr>
        <w:t>（</w:t>
      </w:r>
      <w:r>
        <w:rPr>
          <w:rFonts w:hint="eastAsia" w:ascii="楷体_GB2312" w:hAnsi="宋体" w:eastAsia="楷体_GB2312"/>
          <w:b/>
          <w:color w:val="auto"/>
          <w:sz w:val="32"/>
          <w:szCs w:val="32"/>
          <w:highlight w:val="none"/>
          <w:u w:val="none"/>
          <w:lang w:val="en-US" w:eastAsia="zh-CN"/>
        </w:rPr>
        <w:t>三</w:t>
      </w:r>
      <w:r>
        <w:rPr>
          <w:rFonts w:hint="eastAsia" w:ascii="楷体_GB2312" w:hAnsi="宋体" w:eastAsia="楷体_GB2312"/>
          <w:b/>
          <w:color w:val="auto"/>
          <w:sz w:val="32"/>
          <w:szCs w:val="32"/>
          <w:highlight w:val="none"/>
          <w:u w:val="none"/>
          <w:lang w:val="zh-CN"/>
        </w:rPr>
        <w:t>）评价方法。</w:t>
      </w:r>
      <w:r>
        <w:rPr>
          <w:rFonts w:hint="eastAsia"/>
          <w:lang w:val="zh-CN"/>
        </w:rPr>
        <w:t>本项目不涉及评价选点，此次绩效自评对本单位202</w:t>
      </w:r>
      <w:r>
        <w:rPr>
          <w:rFonts w:hint="eastAsia"/>
          <w:lang w:val="en-US" w:eastAsia="zh-CN"/>
        </w:rPr>
        <w:t>4</w:t>
      </w:r>
      <w:r>
        <w:rPr>
          <w:rFonts w:hint="eastAsia"/>
          <w:lang w:val="zh-CN"/>
        </w:rPr>
        <w:t>县</w:t>
      </w:r>
      <w:r>
        <w:rPr>
          <w:rFonts w:hint="eastAsia"/>
          <w:lang w:val="en-US" w:eastAsia="zh-CN"/>
        </w:rPr>
        <w:t>政府</w:t>
      </w:r>
      <w:r>
        <w:rPr>
          <w:rFonts w:hint="eastAsia"/>
          <w:lang w:val="zh-CN"/>
        </w:rPr>
        <w:t>综合保障经费项目实施的所有内容进行评价。</w:t>
      </w:r>
    </w:p>
    <w:p w14:paraId="753BF2E0">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eastAsia" w:eastAsia="仿宋_GB2312" w:cs="Times New Roman"/>
          <w:bCs/>
          <w:lang w:eastAsia="zh-CN"/>
        </w:rPr>
      </w:pPr>
      <w:r>
        <w:rPr>
          <w:rFonts w:hint="eastAsia" w:ascii="楷体_GB2312" w:hAnsi="宋体" w:eastAsia="楷体_GB2312"/>
          <w:b/>
          <w:color w:val="auto"/>
          <w:sz w:val="32"/>
          <w:szCs w:val="32"/>
          <w:highlight w:val="none"/>
          <w:u w:val="none"/>
          <w:lang w:val="zh-CN"/>
        </w:rPr>
        <w:t>（</w:t>
      </w:r>
      <w:r>
        <w:rPr>
          <w:rFonts w:hint="eastAsia" w:ascii="楷体_GB2312" w:hAnsi="宋体" w:eastAsia="楷体_GB2312"/>
          <w:b/>
          <w:color w:val="auto"/>
          <w:sz w:val="32"/>
          <w:szCs w:val="32"/>
          <w:highlight w:val="none"/>
          <w:u w:val="none"/>
          <w:lang w:val="en-US" w:eastAsia="zh-CN"/>
        </w:rPr>
        <w:t>四</w:t>
      </w:r>
      <w:r>
        <w:rPr>
          <w:rFonts w:hint="eastAsia" w:ascii="楷体_GB2312" w:hAnsi="宋体" w:eastAsia="楷体_GB2312"/>
          <w:b/>
          <w:color w:val="auto"/>
          <w:sz w:val="32"/>
          <w:szCs w:val="32"/>
          <w:highlight w:val="none"/>
          <w:u w:val="none"/>
          <w:lang w:val="zh-CN"/>
        </w:rPr>
        <w:t>）评价组织。</w:t>
      </w:r>
    </w:p>
    <w:p w14:paraId="321A23B6">
      <w:pPr>
        <w:spacing w:line="578" w:lineRule="exact"/>
        <w:ind w:firstLine="640"/>
        <w:rPr>
          <w:rFonts w:hint="eastAsia" w:ascii="仿宋_GB2312" w:hAnsi="仿宋_GB2312" w:eastAsia="仿宋_GB2312" w:cs="仿宋_GB2312"/>
          <w:sz w:val="32"/>
          <w:szCs w:val="32"/>
          <w:lang w:val="en-US" w:eastAsia="zh-CN"/>
        </w:rPr>
      </w:pPr>
      <w:r>
        <w:rPr>
          <w:rFonts w:hint="eastAsia"/>
        </w:rPr>
        <w:t>评价组人员由项目管理人员和财务人员组成，项目管理人员主要负责对项目决策、项目管理、项目实施、项目结果等涉及指标进行评价；财务人员主要负责对资金用途合规性、程序合规性、标准合规性等涉及指标进行评价。</w:t>
      </w:r>
    </w:p>
    <w:p w14:paraId="7913D04A">
      <w:pPr>
        <w:keepNext w:val="0"/>
        <w:keepLines w:val="0"/>
        <w:pageBreakBefore w:val="0"/>
        <w:numPr>
          <w:ilvl w:val="0"/>
          <w:numId w:val="3"/>
        </w:numPr>
        <w:kinsoku/>
        <w:wordWrap/>
        <w:overflowPunct/>
        <w:topLinePunct w:val="0"/>
        <w:autoSpaceDE/>
        <w:autoSpaceDN/>
        <w:bidi w:val="0"/>
        <w:adjustRightInd w:val="0"/>
        <w:snapToGrid w:val="0"/>
        <w:spacing w:line="578" w:lineRule="exact"/>
        <w:ind w:firstLine="640" w:firstLineChars="200"/>
        <w:textAlignment w:val="auto"/>
        <w:rPr>
          <w:rFonts w:hint="default" w:ascii="Times New Roman" w:hAnsi="Times New Roman" w:cs="Times New Roman"/>
          <w:color w:val="000000"/>
          <w:kern w:val="0"/>
          <w:szCs w:val="32"/>
          <w:highlight w:val="none"/>
          <w:shd w:val="clear" w:color="auto" w:fill="FFFFFF"/>
          <w:lang w:val="en-US" w:eastAsia="zh-CN"/>
        </w:rPr>
      </w:pPr>
      <w:r>
        <w:rPr>
          <w:rFonts w:hint="eastAsia" w:ascii="黑体" w:hAnsi="宋体" w:eastAsia="黑体"/>
          <w:color w:val="auto"/>
          <w:sz w:val="32"/>
          <w:szCs w:val="32"/>
          <w:highlight w:val="none"/>
          <w:u w:val="none"/>
          <w:lang w:eastAsia="zh-CN"/>
        </w:rPr>
        <w:t>绩效分析</w:t>
      </w:r>
    </w:p>
    <w:p w14:paraId="133D2481">
      <w:pPr>
        <w:spacing w:line="578" w:lineRule="exact"/>
        <w:ind w:firstLine="640"/>
        <w:rPr>
          <w:rFonts w:ascii="楷体_GB2312" w:hAnsi="宋体" w:eastAsia="楷体_GB2312"/>
          <w:b/>
        </w:rPr>
      </w:pPr>
      <w:r>
        <w:rPr>
          <w:rFonts w:hint="eastAsia" w:ascii="楷体_GB2312" w:hAnsi="宋体" w:eastAsia="楷体_GB2312"/>
          <w:b/>
          <w:lang w:val="zh-CN"/>
        </w:rPr>
        <w:t>（一）</w:t>
      </w:r>
      <w:r>
        <w:rPr>
          <w:rFonts w:hint="eastAsia" w:ascii="楷体_GB2312" w:hAnsi="宋体" w:eastAsia="楷体_GB2312"/>
          <w:b/>
        </w:rPr>
        <w:t>通用指标</w:t>
      </w:r>
      <w:r>
        <w:rPr>
          <w:rFonts w:eastAsia="楷体_GB2312"/>
          <w:b/>
          <w:bCs/>
          <w:color w:val="000000"/>
          <w:kern w:val="0"/>
          <w:shd w:val="clear" w:color="auto" w:fill="FFFFFF"/>
          <w:lang w:val="zh-CN"/>
        </w:rPr>
        <w:t>绩效分析</w:t>
      </w:r>
    </w:p>
    <w:p w14:paraId="0CF0A754">
      <w:pPr>
        <w:spacing w:line="578" w:lineRule="exact"/>
        <w:ind w:firstLine="640"/>
      </w:pPr>
      <w:r>
        <w:rPr>
          <w:rFonts w:hint="eastAsia" w:ascii="楷体_GB2312" w:hAnsi="楷体_GB2312" w:eastAsia="楷体_GB2312" w:cs="楷体_GB2312"/>
        </w:rPr>
        <w:t>1.项目决策。</w:t>
      </w:r>
      <w:r>
        <w:rPr>
          <w:rFonts w:hint="eastAsia"/>
        </w:rPr>
        <w:t>202</w:t>
      </w:r>
      <w:r>
        <w:rPr>
          <w:rFonts w:hint="eastAsia"/>
          <w:lang w:val="en-US" w:eastAsia="zh-CN"/>
        </w:rPr>
        <w:t>4</w:t>
      </w:r>
      <w:r>
        <w:rPr>
          <w:rFonts w:hint="eastAsia"/>
        </w:rPr>
        <w:t>县</w:t>
      </w:r>
      <w:r>
        <w:rPr>
          <w:rFonts w:hint="eastAsia"/>
          <w:lang w:val="en-US" w:eastAsia="zh-CN"/>
        </w:rPr>
        <w:t>政府</w:t>
      </w:r>
      <w:r>
        <w:rPr>
          <w:rFonts w:hint="eastAsia"/>
        </w:rPr>
        <w:t>综合保障经费项目设立符合资金管理基本规范和决策程序要求，项目决策程序严密；项目规划符合中央、省、市、县有关决策部署安排，项目绩效目标设置科学合理；项目资金与项目总体规划、相关行业事业发展相匹配。</w:t>
      </w:r>
    </w:p>
    <w:p w14:paraId="023B5FF9">
      <w:pPr>
        <w:spacing w:line="578" w:lineRule="exact"/>
        <w:ind w:firstLine="640"/>
      </w:pPr>
      <w:r>
        <w:rPr>
          <w:rFonts w:hint="eastAsia" w:ascii="楷体_GB2312" w:hAnsi="楷体_GB2312" w:eastAsia="楷体_GB2312" w:cs="楷体_GB2312"/>
        </w:rPr>
        <w:t>2.项目管理。</w:t>
      </w:r>
      <w:r>
        <w:rPr>
          <w:rFonts w:hint="eastAsia"/>
        </w:rPr>
        <w:t>项目制度办法体系健全、要素完备，保障了项目顺利实施；项目管理、审批符合管理要求，能够对项目绩效进行监管。</w:t>
      </w:r>
    </w:p>
    <w:p w14:paraId="07F43A58">
      <w:pPr>
        <w:spacing w:line="578" w:lineRule="exact"/>
        <w:ind w:firstLine="640" w:firstLineChars="200"/>
      </w:pPr>
      <w:r>
        <w:rPr>
          <w:rFonts w:hint="eastAsia" w:ascii="楷体_GB2312" w:hAnsi="楷体_GB2312" w:eastAsia="楷体_GB2312" w:cs="楷体_GB2312"/>
        </w:rPr>
        <w:t>3.项目实施。</w:t>
      </w:r>
      <w:r>
        <w:rPr>
          <w:rFonts w:hint="eastAsia"/>
        </w:rPr>
        <w:t>本项目资金预算申报</w:t>
      </w:r>
      <w:r>
        <w:rPr>
          <w:rFonts w:hint="eastAsia" w:ascii="仿宋_GB2312" w:hAnsi="仿宋_GB2312" w:cs="仿宋_GB2312"/>
          <w:color w:val="auto"/>
          <w:kern w:val="0"/>
          <w:sz w:val="32"/>
          <w:szCs w:val="32"/>
          <w:highlight w:val="none"/>
          <w:u w:val="none"/>
          <w:shd w:val="clear" w:color="auto" w:fill="FFFFFF"/>
          <w:lang w:val="en-US" w:eastAsia="zh-CN"/>
        </w:rPr>
        <w:t>739.76</w:t>
      </w:r>
      <w:r>
        <w:rPr>
          <w:rFonts w:hint="eastAsia"/>
        </w:rPr>
        <w:t>万元，实际到位</w:t>
      </w:r>
      <w:r>
        <w:rPr>
          <w:rFonts w:hint="eastAsia"/>
          <w:lang w:val="en-US" w:eastAsia="zh-CN"/>
        </w:rPr>
        <w:t>665.97</w:t>
      </w:r>
      <w:r>
        <w:rPr>
          <w:rFonts w:hint="eastAsia"/>
        </w:rPr>
        <w:t>万元，资金到位率</w:t>
      </w:r>
      <w:r>
        <w:rPr>
          <w:rFonts w:hint="eastAsia"/>
          <w:lang w:val="en-US" w:eastAsia="zh-CN"/>
        </w:rPr>
        <w:t>90.02</w:t>
      </w:r>
      <w:r>
        <w:rPr>
          <w:rFonts w:hint="eastAsia"/>
        </w:rPr>
        <w:t>%；截至202</w:t>
      </w:r>
      <w:r>
        <w:rPr>
          <w:rFonts w:hint="eastAsia"/>
          <w:lang w:val="en-US" w:eastAsia="zh-CN"/>
        </w:rPr>
        <w:t>4</w:t>
      </w:r>
      <w:r>
        <w:rPr>
          <w:rFonts w:hint="eastAsia"/>
        </w:rPr>
        <w:t>年12月31日，本项目实际支出资金</w:t>
      </w:r>
      <w:r>
        <w:rPr>
          <w:rFonts w:hint="eastAsia"/>
          <w:lang w:val="en-US" w:eastAsia="zh-CN"/>
        </w:rPr>
        <w:t>665.97</w:t>
      </w:r>
      <w:r>
        <w:rPr>
          <w:rFonts w:hint="eastAsia"/>
        </w:rPr>
        <w:t>万元，预算执行率</w:t>
      </w:r>
      <w:r>
        <w:rPr>
          <w:rFonts w:hint="eastAsia"/>
          <w:lang w:val="en-US" w:eastAsia="zh-CN"/>
        </w:rPr>
        <w:t>90.02</w:t>
      </w:r>
      <w:r>
        <w:rPr>
          <w:rFonts w:hint="eastAsia"/>
        </w:rPr>
        <w:t>%。</w:t>
      </w:r>
    </w:p>
    <w:p w14:paraId="67AB47CE">
      <w:pPr>
        <w:spacing w:line="578" w:lineRule="exact"/>
        <w:ind w:firstLine="640" w:firstLineChars="200"/>
      </w:pPr>
      <w:r>
        <w:rPr>
          <w:rFonts w:hint="eastAsia" w:ascii="楷体_GB2312" w:hAnsi="楷体_GB2312" w:eastAsia="楷体_GB2312" w:cs="楷体_GB2312"/>
        </w:rPr>
        <w:t>4.项目结果。</w:t>
      </w:r>
      <w:r>
        <w:rPr>
          <w:rFonts w:hint="eastAsia"/>
        </w:rPr>
        <w:t>本单位围绕项目绩效目标认真履职，202</w:t>
      </w:r>
      <w:r>
        <w:rPr>
          <w:rFonts w:hint="eastAsia"/>
          <w:lang w:val="en-US" w:eastAsia="zh-CN"/>
        </w:rPr>
        <w:t>4</w:t>
      </w:r>
      <w:r>
        <w:rPr>
          <w:rFonts w:hint="eastAsia"/>
        </w:rPr>
        <w:t>县</w:t>
      </w:r>
      <w:r>
        <w:rPr>
          <w:rFonts w:hint="eastAsia"/>
          <w:lang w:val="en-US" w:eastAsia="zh-CN"/>
        </w:rPr>
        <w:t>政府</w:t>
      </w:r>
      <w:r>
        <w:rPr>
          <w:rFonts w:hint="eastAsia"/>
        </w:rPr>
        <w:t>综合保障经费项目按计划实施，本年度完成</w:t>
      </w:r>
      <w:r>
        <w:rPr>
          <w:rFonts w:hint="eastAsia"/>
          <w:lang w:val="en-US" w:eastAsia="zh-CN"/>
        </w:rPr>
        <w:t>印发资料10万余册、办公区域维护维修超3000㎡、</w:t>
      </w:r>
      <w:r>
        <w:rPr>
          <w:rFonts w:hint="eastAsia"/>
        </w:rPr>
        <w:t>下沉乡镇调研次数</w:t>
      </w:r>
      <w:r>
        <w:rPr>
          <w:rFonts w:hint="eastAsia"/>
          <w:lang w:val="en-US" w:eastAsia="zh-CN"/>
        </w:rPr>
        <w:t>近80</w:t>
      </w:r>
      <w:r>
        <w:rPr>
          <w:rFonts w:hint="eastAsia"/>
        </w:rPr>
        <w:t>次，组织办会次数30</w:t>
      </w:r>
      <w:r>
        <w:rPr>
          <w:rFonts w:hint="eastAsia"/>
          <w:lang w:val="en-US" w:eastAsia="zh-CN"/>
        </w:rPr>
        <w:t>余</w:t>
      </w:r>
      <w:r>
        <w:rPr>
          <w:rFonts w:hint="eastAsia"/>
        </w:rPr>
        <w:t>次。</w:t>
      </w:r>
    </w:p>
    <w:p w14:paraId="04171D83">
      <w:pPr>
        <w:spacing w:line="578" w:lineRule="exact"/>
        <w:ind w:firstLine="643" w:firstLineChars="200"/>
        <w:rPr>
          <w:rFonts w:eastAsia="楷体_GB2312"/>
          <w:b/>
          <w:bCs/>
          <w:color w:val="000000"/>
          <w:kern w:val="0"/>
          <w:shd w:val="clear" w:color="auto" w:fill="FFFFFF"/>
          <w:lang w:val="zh-CN"/>
        </w:rPr>
      </w:pPr>
      <w:r>
        <w:rPr>
          <w:rFonts w:hint="eastAsia" w:ascii="楷体_GB2312" w:hAnsi="宋体" w:eastAsia="楷体_GB2312"/>
          <w:b/>
          <w:lang w:val="zh-CN"/>
        </w:rPr>
        <w:t>（二）</w:t>
      </w:r>
      <w:r>
        <w:rPr>
          <w:rFonts w:hint="eastAsia" w:ascii="楷体_GB2312" w:hAnsi="宋体" w:eastAsia="楷体_GB2312"/>
          <w:b/>
        </w:rPr>
        <w:t>专用指标</w:t>
      </w:r>
      <w:r>
        <w:rPr>
          <w:rFonts w:eastAsia="楷体_GB2312"/>
          <w:b/>
          <w:bCs/>
          <w:color w:val="000000"/>
          <w:kern w:val="0"/>
          <w:shd w:val="clear" w:color="auto" w:fill="FFFFFF"/>
          <w:lang w:val="zh-CN"/>
        </w:rPr>
        <w:t>绩效分析</w:t>
      </w:r>
    </w:p>
    <w:p w14:paraId="53B00755">
      <w:pPr>
        <w:spacing w:line="578" w:lineRule="exact"/>
        <w:ind w:firstLine="640" w:firstLineChars="200"/>
      </w:pPr>
      <w:r>
        <w:rPr>
          <w:rFonts w:hint="eastAsia" w:ascii="楷体_GB2312" w:hAnsi="楷体_GB2312" w:eastAsia="楷体_GB2312" w:cs="楷体_GB2312"/>
          <w:lang w:val="zh-CN"/>
        </w:rPr>
        <w:t>行政运转。</w:t>
      </w:r>
      <w:r>
        <w:rPr>
          <w:rFonts w:hint="eastAsia"/>
          <w:lang w:val="zh-CN"/>
        </w:rPr>
        <w:t>本项目资金均在规定用途、适用范围内进行资金分配，资金管理程序符合专项资金管理要求，资金分配标准符合专项资金管理要求，未发现资金管理和使用过程中不符合专项资金管理要求的情况。</w:t>
      </w:r>
    </w:p>
    <w:p w14:paraId="02838D23">
      <w:pPr>
        <w:spacing w:line="578" w:lineRule="exact"/>
        <w:ind w:firstLine="640"/>
        <w:rPr>
          <w:rFonts w:eastAsia="楷体_GB2312"/>
          <w:b/>
          <w:bCs/>
          <w:color w:val="000000"/>
          <w:kern w:val="0"/>
          <w:shd w:val="clear" w:color="auto" w:fill="FFFFFF"/>
          <w:lang w:val="zh-CN"/>
        </w:rPr>
      </w:pPr>
      <w:r>
        <w:rPr>
          <w:rFonts w:hint="eastAsia" w:ascii="楷体_GB2312" w:hAnsi="宋体" w:eastAsia="楷体_GB2312"/>
          <w:b/>
          <w:lang w:val="zh-CN"/>
        </w:rPr>
        <w:t>（三）</w:t>
      </w:r>
      <w:r>
        <w:rPr>
          <w:rFonts w:hint="eastAsia" w:ascii="楷体_GB2312" w:hAnsi="宋体" w:eastAsia="楷体_GB2312"/>
          <w:b/>
        </w:rPr>
        <w:t>个性指标</w:t>
      </w:r>
      <w:r>
        <w:rPr>
          <w:rFonts w:eastAsia="楷体_GB2312"/>
          <w:b/>
          <w:bCs/>
          <w:color w:val="000000"/>
          <w:kern w:val="0"/>
          <w:shd w:val="clear" w:color="auto" w:fill="FFFFFF"/>
          <w:lang w:val="zh-CN"/>
        </w:rPr>
        <w:t>绩效分析</w:t>
      </w:r>
    </w:p>
    <w:p w14:paraId="206335EF">
      <w:pPr>
        <w:spacing w:line="578" w:lineRule="exact"/>
        <w:ind w:firstLine="640"/>
        <w:rPr>
          <w:lang w:val="zh-CN"/>
        </w:rPr>
      </w:pPr>
      <w:r>
        <w:rPr>
          <w:rFonts w:hint="eastAsia"/>
          <w:lang w:val="zh-CN"/>
        </w:rPr>
        <w:t>1.工作完成达标率</w:t>
      </w:r>
    </w:p>
    <w:p w14:paraId="41D5D483">
      <w:pPr>
        <w:spacing w:line="578" w:lineRule="exact"/>
        <w:ind w:firstLine="640"/>
        <w:rPr>
          <w:lang w:val="zh-CN"/>
        </w:rPr>
      </w:pPr>
      <w:r>
        <w:rPr>
          <w:rFonts w:hint="eastAsia"/>
          <w:lang w:val="zh-CN"/>
        </w:rPr>
        <w:t>通过实施该项目，为全县各项工作顺利开展提供了有力的经费保障，工作完成达标率100%。</w:t>
      </w:r>
    </w:p>
    <w:p w14:paraId="55D92EFF">
      <w:pPr>
        <w:spacing w:line="578" w:lineRule="exact"/>
        <w:ind w:firstLine="640"/>
        <w:rPr>
          <w:lang w:val="zh-CN"/>
        </w:rPr>
      </w:pPr>
      <w:r>
        <w:rPr>
          <w:rFonts w:hint="eastAsia"/>
          <w:lang w:val="zh-CN"/>
        </w:rPr>
        <w:t>2.政令畅通，保运转，保民生</w:t>
      </w:r>
    </w:p>
    <w:p w14:paraId="1B3D3A44">
      <w:pPr>
        <w:spacing w:line="578" w:lineRule="exact"/>
        <w:ind w:firstLine="640"/>
        <w:rPr>
          <w:lang w:val="zh-CN"/>
        </w:rPr>
      </w:pPr>
      <w:r>
        <w:rPr>
          <w:rFonts w:hint="eastAsia"/>
          <w:lang w:val="zh-CN"/>
        </w:rPr>
        <w:t>通过实施该项目，为我县在不断适应新形势、新任务、新要求提供了政治基础，为全县经济、文化发展、城镇建设提供有力保障，确保了政令畅通。</w:t>
      </w:r>
    </w:p>
    <w:p w14:paraId="467BF097">
      <w:pPr>
        <w:spacing w:line="578" w:lineRule="exact"/>
        <w:ind w:firstLine="640"/>
        <w:rPr>
          <w:lang w:val="zh-CN"/>
        </w:rPr>
      </w:pPr>
      <w:r>
        <w:rPr>
          <w:rFonts w:hint="eastAsia"/>
          <w:lang w:val="zh-CN"/>
        </w:rPr>
        <w:t>3.部门满意度</w:t>
      </w:r>
    </w:p>
    <w:p w14:paraId="5C76EFA6">
      <w:pPr>
        <w:spacing w:line="578" w:lineRule="exact"/>
        <w:ind w:firstLine="640"/>
        <w:rPr>
          <w:lang w:val="zh-CN"/>
        </w:rPr>
      </w:pPr>
      <w:r>
        <w:rPr>
          <w:rFonts w:hint="eastAsia"/>
          <w:lang w:val="zh-CN"/>
        </w:rPr>
        <w:t>通过实施该项目，省、市、县各部门对我县领导班子的工作能力和执政理念认可度不断提升，社会公众、群众的满意度较高。</w:t>
      </w:r>
    </w:p>
    <w:p w14:paraId="14588FF8">
      <w:pPr>
        <w:pStyle w:val="12"/>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olor w:val="auto"/>
          <w:sz w:val="32"/>
          <w:szCs w:val="32"/>
          <w:highlight w:val="none"/>
          <w:u w:val="none"/>
        </w:rPr>
      </w:pPr>
      <w:r>
        <w:rPr>
          <w:rFonts w:hint="eastAsia" w:ascii="黑体" w:hAnsi="宋体" w:eastAsia="黑体"/>
          <w:color w:val="auto"/>
          <w:sz w:val="32"/>
          <w:szCs w:val="32"/>
          <w:highlight w:val="none"/>
          <w:u w:val="none"/>
          <w:lang w:eastAsia="zh-CN"/>
        </w:rPr>
        <w:t>四</w:t>
      </w:r>
      <w:r>
        <w:rPr>
          <w:rFonts w:hint="eastAsia" w:ascii="黑体" w:hAnsi="宋体" w:eastAsia="黑体"/>
          <w:color w:val="auto"/>
          <w:sz w:val="32"/>
          <w:szCs w:val="32"/>
          <w:highlight w:val="none"/>
          <w:u w:val="none"/>
        </w:rPr>
        <w:t>、评价结论</w:t>
      </w:r>
    </w:p>
    <w:p w14:paraId="2953359F">
      <w:pPr>
        <w:pStyle w:val="12"/>
        <w:tabs>
          <w:tab w:val="left" w:pos="2160"/>
        </w:tabs>
        <w:spacing w:line="600" w:lineRule="exact"/>
        <w:ind w:firstLine="640" w:firstLineChars="200"/>
        <w:rPr>
          <w:rFonts w:ascii="黑体" w:hAnsi="黑体" w:cs="黑体"/>
          <w:kern w:val="2"/>
          <w:position w:val="0"/>
          <w:sz w:val="32"/>
          <w:szCs w:val="32"/>
          <w:lang w:eastAsia="zh-CN"/>
        </w:rPr>
      </w:pPr>
      <w:r>
        <w:rPr>
          <w:rFonts w:hint="eastAsia" w:ascii="仿宋_GB2312" w:hAnsi="仿宋_GB2312" w:eastAsia="仿宋_GB2312" w:cs="仿宋_GB2312"/>
          <w:position w:val="0"/>
          <w:sz w:val="32"/>
          <w:szCs w:val="32"/>
          <w:lang w:eastAsia="zh-CN"/>
        </w:rPr>
        <w:t>202</w:t>
      </w:r>
      <w:r>
        <w:rPr>
          <w:rFonts w:hint="eastAsia" w:ascii="仿宋_GB2312" w:hAnsi="仿宋_GB2312" w:eastAsia="仿宋_GB2312" w:cs="仿宋_GB2312"/>
          <w:position w:val="0"/>
          <w:sz w:val="32"/>
          <w:szCs w:val="32"/>
          <w:lang w:val="en-US" w:eastAsia="zh-CN"/>
        </w:rPr>
        <w:t>4</w:t>
      </w:r>
      <w:r>
        <w:rPr>
          <w:rFonts w:hint="eastAsia" w:ascii="仿宋_GB2312" w:hAnsi="仿宋_GB2312" w:eastAsia="仿宋_GB2312" w:cs="仿宋_GB2312"/>
          <w:position w:val="0"/>
          <w:sz w:val="32"/>
          <w:szCs w:val="32"/>
          <w:lang w:eastAsia="zh-CN"/>
        </w:rPr>
        <w:t>县</w:t>
      </w:r>
      <w:r>
        <w:rPr>
          <w:rFonts w:hint="eastAsia" w:ascii="仿宋_GB2312" w:hAnsi="仿宋_GB2312" w:eastAsia="仿宋_GB2312" w:cs="仿宋_GB2312"/>
          <w:position w:val="0"/>
          <w:sz w:val="32"/>
          <w:szCs w:val="32"/>
          <w:lang w:val="en-US" w:eastAsia="zh-CN"/>
        </w:rPr>
        <w:t>政府</w:t>
      </w:r>
      <w:r>
        <w:rPr>
          <w:rFonts w:hint="eastAsia" w:ascii="仿宋_GB2312" w:hAnsi="仿宋_GB2312" w:eastAsia="仿宋_GB2312" w:cs="仿宋_GB2312"/>
          <w:position w:val="0"/>
          <w:sz w:val="32"/>
          <w:szCs w:val="32"/>
          <w:lang w:eastAsia="zh-CN"/>
        </w:rPr>
        <w:t>综合保障经费项目决策依据充分，目标明确；项目实施过程资金管理科学，财务控制和业务控制规范；项目绩效目标完成情况达到预期效果，绩效自评得分为</w:t>
      </w:r>
      <w:r>
        <w:rPr>
          <w:rFonts w:hint="eastAsia" w:ascii="仿宋_GB2312" w:hAnsi="仿宋_GB2312" w:eastAsia="仿宋_GB2312" w:cs="仿宋_GB2312"/>
          <w:position w:val="0"/>
          <w:sz w:val="32"/>
          <w:szCs w:val="32"/>
          <w:lang w:val="en-US" w:eastAsia="zh-CN"/>
        </w:rPr>
        <w:t>99</w:t>
      </w:r>
      <w:r>
        <w:rPr>
          <w:rFonts w:hint="eastAsia" w:ascii="仿宋_GB2312" w:hAnsi="仿宋_GB2312" w:eastAsia="仿宋_GB2312" w:cs="仿宋_GB2312"/>
          <w:position w:val="0"/>
          <w:sz w:val="32"/>
          <w:szCs w:val="32"/>
          <w:lang w:eastAsia="zh-CN"/>
        </w:rPr>
        <w:t>分</w:t>
      </w:r>
      <w:r>
        <w:rPr>
          <w:rFonts w:hint="eastAsia" w:ascii="仿宋_GB2312" w:hAnsi="仿宋_GB2312" w:eastAsia="仿宋_GB2312" w:cs="仿宋_GB2312"/>
          <w:sz w:val="32"/>
          <w:szCs w:val="32"/>
          <w:lang w:val="zh-CN" w:eastAsia="zh-CN"/>
        </w:rPr>
        <w:t>。</w:t>
      </w:r>
    </w:p>
    <w:p w14:paraId="483666DD">
      <w:pPr>
        <w:pStyle w:val="12"/>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黑体" w:eastAsia="黑体" w:cs="黑体"/>
          <w:color w:val="auto"/>
          <w:sz w:val="32"/>
          <w:szCs w:val="32"/>
          <w:highlight w:val="none"/>
          <w:u w:val="none"/>
          <w:lang w:eastAsia="zh-CN"/>
        </w:rPr>
      </w:pPr>
      <w:r>
        <w:rPr>
          <w:rFonts w:hint="eastAsia" w:ascii="黑体" w:hAnsi="黑体" w:eastAsia="黑体" w:cs="黑体"/>
          <w:color w:val="auto"/>
          <w:sz w:val="32"/>
          <w:szCs w:val="32"/>
          <w:highlight w:val="none"/>
          <w:u w:val="none"/>
          <w:lang w:eastAsia="zh-CN"/>
        </w:rPr>
        <w:t>五、存在主要问题</w:t>
      </w:r>
    </w:p>
    <w:p w14:paraId="4A75F51E">
      <w:pPr>
        <w:pStyle w:val="12"/>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无。</w:t>
      </w:r>
    </w:p>
    <w:p w14:paraId="042CA163">
      <w:pPr>
        <w:pStyle w:val="12"/>
        <w:pageBreakBefore w:val="0"/>
        <w:numPr>
          <w:ilvl w:val="0"/>
          <w:numId w:val="0"/>
        </w:numPr>
        <w:tabs>
          <w:tab w:val="left" w:pos="2160"/>
        </w:tabs>
        <w:kinsoku/>
        <w:wordWrap/>
        <w:overflowPunct/>
        <w:topLinePunct w:val="0"/>
        <w:autoSpaceDE/>
        <w:autoSpaceDN/>
        <w:bidi w:val="0"/>
        <w:adjustRightInd/>
        <w:spacing w:line="600" w:lineRule="exact"/>
        <w:ind w:firstLine="640" w:firstLineChars="200"/>
        <w:textAlignment w:val="auto"/>
        <w:rPr>
          <w:rFonts w:hint="eastAsia" w:ascii="黑体" w:hAnsi="宋体" w:eastAsia="黑体" w:cs="Times New Roman"/>
          <w:color w:val="auto"/>
          <w:kern w:val="0"/>
          <w:position w:val="3"/>
          <w:sz w:val="32"/>
          <w:szCs w:val="32"/>
          <w:highlight w:val="none"/>
          <w:u w:val="none"/>
          <w:lang w:val="zh-CN" w:eastAsia="zh-CN" w:bidi="ar-SA"/>
        </w:rPr>
      </w:pPr>
      <w:r>
        <w:rPr>
          <w:rFonts w:hint="eastAsia" w:ascii="黑体" w:hAnsi="宋体" w:eastAsia="黑体" w:cs="Times New Roman"/>
          <w:color w:val="auto"/>
          <w:kern w:val="0"/>
          <w:position w:val="3"/>
          <w:sz w:val="32"/>
          <w:szCs w:val="32"/>
          <w:highlight w:val="none"/>
          <w:u w:val="none"/>
          <w:lang w:val="zh-CN" w:eastAsia="zh-CN" w:bidi="ar-SA"/>
        </w:rPr>
        <w:t>六、改进建议</w:t>
      </w:r>
    </w:p>
    <w:p w14:paraId="210F404D">
      <w:pPr>
        <w:tabs>
          <w:tab w:val="left" w:pos="1911"/>
        </w:tabs>
        <w:jc w:val="left"/>
        <w:rPr>
          <w:rFonts w:hint="default" w:ascii="仿宋_GB2312" w:hAnsi="仿宋_GB2312" w:eastAsia="仿宋_GB2312" w:cs="仿宋_GB2312"/>
          <w:b w:val="0"/>
          <w:bCs w:val="0"/>
          <w:kern w:val="0"/>
          <w:position w:val="0"/>
          <w:sz w:val="32"/>
          <w:szCs w:val="32"/>
          <w:highlight w:val="none"/>
          <w:lang w:val="en-US" w:eastAsia="zh-CN" w:bidi="ar-SA"/>
        </w:rPr>
      </w:pPr>
      <w:r>
        <w:rPr>
          <w:rFonts w:hint="eastAsia" w:ascii="仿宋_GB2312" w:hAnsi="仿宋_GB2312" w:eastAsia="仿宋_GB2312" w:cs="仿宋_GB2312"/>
          <w:color w:val="auto"/>
          <w:kern w:val="0"/>
          <w:sz w:val="32"/>
          <w:szCs w:val="32"/>
          <w:highlight w:val="none"/>
          <w:u w:val="none"/>
          <w:shd w:val="clear" w:color="auto" w:fill="FFFFFF"/>
          <w:lang w:val="zh-CN" w:eastAsia="zh-CN"/>
        </w:rPr>
        <w:t xml:space="preserve"> </w:t>
      </w:r>
      <w:r>
        <w:rPr>
          <w:rFonts w:hint="eastAsia" w:ascii="仿宋_GB2312" w:hAnsi="仿宋_GB2312" w:cs="仿宋_GB2312"/>
          <w:b w:val="0"/>
          <w:bCs w:val="0"/>
          <w:kern w:val="0"/>
          <w:position w:val="0"/>
          <w:sz w:val="32"/>
          <w:szCs w:val="32"/>
          <w:highlight w:val="none"/>
          <w:lang w:val="en-US" w:eastAsia="zh-CN" w:bidi="ar-SA"/>
        </w:rPr>
        <w:t xml:space="preserve">   无。</w:t>
      </w:r>
    </w:p>
    <w:p w14:paraId="58303BEE">
      <w:pPr>
        <w:keepNext w:val="0"/>
        <w:keepLines w:val="0"/>
        <w:pageBreakBefore w:val="0"/>
        <w:kinsoku/>
        <w:wordWrap/>
        <w:overflowPunct/>
        <w:topLinePunct w:val="0"/>
        <w:autoSpaceDE/>
        <w:autoSpaceDN/>
        <w:bidi w:val="0"/>
        <w:adjustRightInd/>
        <w:snapToGrid w:val="0"/>
        <w:spacing w:line="578" w:lineRule="exact"/>
        <w:ind w:left="0" w:leftChars="0" w:firstLine="640" w:firstLineChars="200"/>
        <w:textAlignment w:val="auto"/>
        <w:outlineLvl w:val="9"/>
        <w:rPr>
          <w:rFonts w:hint="eastAsia" w:ascii="Times New Roman" w:hAnsi="Times New Roman" w:cs="Times New Roman"/>
          <w:color w:val="000000"/>
          <w:kern w:val="0"/>
          <w:szCs w:val="32"/>
          <w:highlight w:val="none"/>
          <w:shd w:val="clear" w:color="auto" w:fill="FFFFFF"/>
          <w:lang w:val="zh-CN" w:eastAsia="zh-CN"/>
        </w:rPr>
      </w:pPr>
    </w:p>
    <w:p w14:paraId="551EB63A">
      <w:pPr>
        <w:keepNext w:val="0"/>
        <w:keepLines w:val="0"/>
        <w:pageBreakBefore w:val="0"/>
        <w:widowControl/>
        <w:suppressLineNumbers w:val="0"/>
        <w:kinsoku/>
        <w:wordWrap/>
        <w:overflowPunct/>
        <w:topLinePunct w:val="0"/>
        <w:autoSpaceDE/>
        <w:autoSpaceDN/>
        <w:bidi w:val="0"/>
        <w:adjustRightInd/>
        <w:snapToGrid/>
        <w:spacing w:line="600" w:lineRule="exact"/>
        <w:ind w:left="0" w:leftChars="0" w:firstLine="320" w:firstLineChars="100"/>
        <w:jc w:val="left"/>
        <w:textAlignment w:val="center"/>
        <w:rPr>
          <w:rFonts w:hint="eastAsia" w:ascii="黑体" w:hAnsi="黑体" w:eastAsia="黑体" w:cs="黑体"/>
          <w:b w:val="0"/>
          <w:bCs w:val="0"/>
          <w:color w:val="auto"/>
          <w:kern w:val="0"/>
          <w:sz w:val="32"/>
          <w:szCs w:val="32"/>
          <w:highlight w:val="none"/>
          <w:u w:val="none"/>
          <w:shd w:val="clear" w:color="auto" w:fill="FFFFFF"/>
          <w:lang w:val="en-US" w:eastAsia="zh-CN"/>
        </w:rPr>
      </w:pPr>
      <w:r>
        <w:rPr>
          <w:rFonts w:hint="eastAsia" w:ascii="黑体" w:hAnsi="黑体" w:eastAsia="黑体" w:cs="黑体"/>
          <w:b w:val="0"/>
          <w:bCs w:val="0"/>
          <w:color w:val="auto"/>
          <w:kern w:val="0"/>
          <w:sz w:val="32"/>
          <w:szCs w:val="32"/>
          <w:highlight w:val="none"/>
          <w:u w:val="none"/>
          <w:shd w:val="clear" w:color="auto" w:fill="FFFFFF"/>
          <w:lang w:val="en-US" w:eastAsia="zh-CN"/>
        </w:rPr>
        <w:br w:type="page"/>
      </w:r>
    </w:p>
    <w:tbl>
      <w:tblPr>
        <w:tblStyle w:val="22"/>
        <w:tblW w:w="1023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652"/>
        <w:gridCol w:w="1081"/>
        <w:gridCol w:w="1250"/>
        <w:gridCol w:w="1312"/>
        <w:gridCol w:w="1127"/>
        <w:gridCol w:w="971"/>
        <w:gridCol w:w="1061"/>
        <w:gridCol w:w="938"/>
        <w:gridCol w:w="1841"/>
      </w:tblGrid>
      <w:tr w14:paraId="1BB26E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6" w:hRule="atLeast"/>
          <w:jc w:val="center"/>
        </w:trPr>
        <w:tc>
          <w:tcPr>
            <w:tcW w:w="10233" w:type="dxa"/>
            <w:gridSpan w:val="9"/>
            <w:shd w:val="clear" w:color="auto" w:fill="auto"/>
            <w:vAlign w:val="center"/>
          </w:tcPr>
          <w:p w14:paraId="49614707">
            <w:pPr>
              <w:keepNext w:val="0"/>
              <w:keepLines w:val="0"/>
              <w:pageBreakBefore w:val="0"/>
              <w:widowControl/>
              <w:suppressLineNumbers w:val="0"/>
              <w:kinsoku/>
              <w:wordWrap/>
              <w:overflowPunct/>
              <w:topLinePunct w:val="0"/>
              <w:autoSpaceDE/>
              <w:autoSpaceDN/>
              <w:bidi w:val="0"/>
              <w:adjustRightInd/>
              <w:snapToGrid/>
              <w:spacing w:line="600" w:lineRule="exact"/>
              <w:ind w:left="0" w:leftChars="0"/>
              <w:jc w:val="center"/>
              <w:textAlignment w:val="center"/>
              <w:rPr>
                <w:rFonts w:ascii="黑体" w:hAnsi="宋体" w:eastAsia="黑体" w:cs="黑体"/>
                <w:i w:val="0"/>
                <w:color w:val="000000"/>
                <w:sz w:val="30"/>
                <w:szCs w:val="30"/>
                <w:u w:val="none"/>
              </w:rPr>
            </w:pPr>
            <w:r>
              <w:rPr>
                <w:rFonts w:hint="eastAsia" w:ascii="方正仿宋_GB2312" w:hAnsi="方正仿宋_GB2312" w:eastAsia="方正仿宋_GB2312" w:cs="方正仿宋_GB2312"/>
                <w:i w:val="0"/>
                <w:color w:val="000000"/>
                <w:kern w:val="0"/>
                <w:sz w:val="40"/>
                <w:szCs w:val="40"/>
                <w:u w:val="none"/>
                <w:lang w:val="en-US" w:eastAsia="zh-CN" w:bidi="ar"/>
              </w:rPr>
              <w:t>专项预算项目绩效目标完成情况自评表</w:t>
            </w:r>
          </w:p>
        </w:tc>
      </w:tr>
      <w:tr w14:paraId="25EF40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429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A448B42">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项目名称</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04209FB">
            <w:pPr>
              <w:keepNext w:val="0"/>
              <w:keepLines w:val="0"/>
              <w:pageBreakBefore w:val="0"/>
              <w:kinsoku/>
              <w:wordWrap/>
              <w:overflowPunct/>
              <w:topLinePunct w:val="0"/>
              <w:autoSpaceDE/>
              <w:autoSpaceDN/>
              <w:bidi w:val="0"/>
              <w:adjustRightInd/>
              <w:snapToGrid/>
              <w:spacing w:line="300" w:lineRule="exact"/>
              <w:ind w:left="0" w:leftChars="0"/>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县政府综合保障经费</w:t>
            </w:r>
          </w:p>
        </w:tc>
      </w:tr>
      <w:tr w14:paraId="2DF0A6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429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1052909">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预算单位</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766DF9D">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渠县人民政府办公室</w:t>
            </w:r>
          </w:p>
        </w:tc>
      </w:tr>
      <w:tr w14:paraId="3D78D9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429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3ED021F">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项目类型</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E4A9701">
            <w:pPr>
              <w:keepNext w:val="0"/>
              <w:keepLines w:val="0"/>
              <w:pageBreakBefore w:val="0"/>
              <w:kinsoku/>
              <w:wordWrap/>
              <w:overflowPunct/>
              <w:topLinePunct w:val="0"/>
              <w:autoSpaceDE/>
              <w:autoSpaceDN/>
              <w:bidi w:val="0"/>
              <w:adjustRightInd/>
              <w:snapToGrid/>
              <w:spacing w:line="300" w:lineRule="exact"/>
              <w:ind w:left="0" w:leftChars="0"/>
              <w:jc w:val="left"/>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经常性项目</w:t>
            </w:r>
          </w:p>
        </w:tc>
      </w:tr>
      <w:tr w14:paraId="6147F0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28" w:hRule="atLeast"/>
          <w:jc w:val="center"/>
        </w:trPr>
        <w:tc>
          <w:tcPr>
            <w:tcW w:w="6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764535">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 概况</w:t>
            </w: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06D5276">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中长期规划（名称、文号，仅指</w:t>
            </w:r>
          </w:p>
          <w:p w14:paraId="76B62807">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常年项目）</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94C3A9E">
            <w:pPr>
              <w:keepNext w:val="0"/>
              <w:keepLines w:val="0"/>
              <w:pageBreakBefore w:val="0"/>
              <w:kinsoku/>
              <w:wordWrap/>
              <w:overflowPunct/>
              <w:topLinePunct w:val="0"/>
              <w:autoSpaceDE/>
              <w:autoSpaceDN/>
              <w:bidi w:val="0"/>
              <w:adjustRightInd/>
              <w:snapToGrid/>
              <w:spacing w:line="300" w:lineRule="exact"/>
              <w:ind w:left="0" w:leftChars="0"/>
              <w:jc w:val="left"/>
              <w:rPr>
                <w:rFonts w:hint="eastAsia" w:ascii="宋体" w:hAnsi="宋体" w:eastAsia="宋体" w:cs="宋体"/>
                <w:i w:val="0"/>
                <w:color w:val="000000"/>
                <w:sz w:val="24"/>
                <w:szCs w:val="24"/>
                <w:u w:val="none"/>
              </w:rPr>
            </w:pPr>
          </w:p>
        </w:tc>
      </w:tr>
      <w:tr w14:paraId="179AA0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FF6586">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3887B08">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资金管理办法（名称、文号）</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3BBD0EB">
            <w:pPr>
              <w:keepNext w:val="0"/>
              <w:keepLines w:val="0"/>
              <w:pageBreakBefore w:val="0"/>
              <w:kinsoku/>
              <w:wordWrap/>
              <w:overflowPunct/>
              <w:topLinePunct w:val="0"/>
              <w:autoSpaceDE/>
              <w:autoSpaceDN/>
              <w:bidi w:val="0"/>
              <w:adjustRightInd/>
              <w:snapToGrid/>
              <w:spacing w:line="300" w:lineRule="exact"/>
              <w:ind w:left="0" w:leftChars="0"/>
              <w:jc w:val="left"/>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渠财预〔2024〕005号</w:t>
            </w:r>
          </w:p>
        </w:tc>
      </w:tr>
      <w:tr w14:paraId="779456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82"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0B50FA">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1901635">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绩效分配方式</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E188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t>£</w:t>
            </w:r>
            <w:r>
              <w:rPr>
                <w:rFonts w:ascii="宋体" w:hAnsi="宋体" w:eastAsia="宋体" w:cs="宋体"/>
                <w:i w:val="0"/>
                <w:color w:val="000000"/>
                <w:kern w:val="0"/>
                <w:sz w:val="24"/>
                <w:szCs w:val="24"/>
                <w:u w:val="none"/>
                <w:lang w:val="en-US" w:eastAsia="zh-CN" w:bidi="ar"/>
              </w:rPr>
              <w:t>因素法</w:t>
            </w:r>
          </w:p>
        </w:tc>
        <w:tc>
          <w:tcPr>
            <w:tcW w:w="20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3BB3A5">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t>£项目法</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222D3">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sym w:font="Wingdings 2" w:char="0052"/>
            </w:r>
            <w:r>
              <w:rPr>
                <w:rFonts w:ascii="宋体" w:hAnsi="宋体" w:eastAsia="宋体" w:cs="宋体"/>
                <w:i w:val="0"/>
                <w:color w:val="000000"/>
                <w:kern w:val="0"/>
                <w:sz w:val="24"/>
                <w:szCs w:val="24"/>
                <w:u w:val="none"/>
                <w:lang w:val="en-US" w:eastAsia="zh-CN" w:bidi="ar"/>
              </w:rPr>
              <w:t>据实据效</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36261">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hint="default" w:ascii="Wingdings 2" w:hAnsi="Wingdings 2" w:eastAsia="Wingdings 2" w:cs="Wingdings 2"/>
                <w:i w:val="0"/>
                <w:color w:val="000000"/>
                <w:sz w:val="24"/>
                <w:szCs w:val="24"/>
                <w:u w:val="none"/>
              </w:rPr>
            </w:pPr>
            <w:r>
              <w:rPr>
                <w:rFonts w:hint="default" w:ascii="Wingdings 2" w:hAnsi="Wingdings 2" w:eastAsia="Wingdings 2" w:cs="Wingdings 2"/>
                <w:i w:val="0"/>
                <w:color w:val="000000"/>
                <w:kern w:val="0"/>
                <w:sz w:val="24"/>
                <w:szCs w:val="24"/>
                <w:u w:val="none"/>
                <w:lang w:val="en-US" w:eastAsia="zh-CN" w:bidi="ar"/>
              </w:rPr>
              <w:t>£</w:t>
            </w:r>
            <w:r>
              <w:rPr>
                <w:rFonts w:ascii="宋体" w:hAnsi="宋体" w:eastAsia="宋体" w:cs="宋体"/>
                <w:i w:val="0"/>
                <w:color w:val="000000"/>
                <w:kern w:val="0"/>
                <w:sz w:val="24"/>
                <w:szCs w:val="24"/>
                <w:u w:val="none"/>
                <w:lang w:val="en-US" w:eastAsia="zh-CN" w:bidi="ar"/>
              </w:rPr>
              <w:t>因素法与项目法相结合</w:t>
            </w:r>
          </w:p>
        </w:tc>
      </w:tr>
      <w:tr w14:paraId="007F89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DDE091">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067D20A">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立项依据</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F2629F5">
            <w:pPr>
              <w:keepNext w:val="0"/>
              <w:keepLines w:val="0"/>
              <w:pageBreakBefore w:val="0"/>
              <w:kinsoku/>
              <w:wordWrap/>
              <w:overflowPunct/>
              <w:topLinePunct w:val="0"/>
              <w:autoSpaceDE/>
              <w:autoSpaceDN/>
              <w:bidi w:val="0"/>
              <w:adjustRightInd/>
              <w:snapToGrid/>
              <w:spacing w:line="300" w:lineRule="exact"/>
              <w:ind w:left="0" w:leftChars="0"/>
              <w:jc w:val="left"/>
              <w:rPr>
                <w:rFonts w:hint="eastAsia" w:ascii="宋体" w:hAnsi="宋体" w:eastAsia="宋体" w:cs="宋体"/>
                <w:i w:val="0"/>
                <w:color w:val="000000"/>
                <w:sz w:val="24"/>
                <w:szCs w:val="24"/>
                <w:u w:val="none"/>
              </w:rPr>
            </w:pPr>
          </w:p>
        </w:tc>
      </w:tr>
      <w:tr w14:paraId="6BF3A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8CAC36">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64C69D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使用范围</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7D31A20">
            <w:pPr>
              <w:keepNext w:val="0"/>
              <w:keepLines w:val="0"/>
              <w:pageBreakBefore w:val="0"/>
              <w:kinsoku/>
              <w:wordWrap/>
              <w:overflowPunct/>
              <w:topLinePunct w:val="0"/>
              <w:autoSpaceDE/>
              <w:autoSpaceDN/>
              <w:bidi w:val="0"/>
              <w:adjustRightInd/>
              <w:snapToGrid/>
              <w:spacing w:line="300" w:lineRule="exact"/>
              <w:ind w:left="0" w:leftChars="0"/>
              <w:jc w:val="left"/>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可用于县政府办各项办公支出</w:t>
            </w:r>
          </w:p>
        </w:tc>
      </w:tr>
      <w:tr w14:paraId="2CE8D8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9A5B96">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6E2F52F">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申报（补助）条件</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2058F93">
            <w:pPr>
              <w:keepNext w:val="0"/>
              <w:keepLines w:val="0"/>
              <w:pageBreakBefore w:val="0"/>
              <w:kinsoku/>
              <w:wordWrap/>
              <w:overflowPunct/>
              <w:topLinePunct w:val="0"/>
              <w:autoSpaceDE/>
              <w:autoSpaceDN/>
              <w:bidi w:val="0"/>
              <w:adjustRightInd/>
              <w:snapToGrid/>
              <w:spacing w:line="300" w:lineRule="exact"/>
              <w:ind w:left="0" w:leftChars="0"/>
              <w:jc w:val="left"/>
              <w:rPr>
                <w:rFonts w:hint="eastAsia" w:ascii="宋体" w:hAnsi="宋体" w:eastAsia="宋体" w:cs="宋体"/>
                <w:i w:val="0"/>
                <w:color w:val="000000"/>
                <w:sz w:val="24"/>
                <w:szCs w:val="24"/>
                <w:u w:val="none"/>
              </w:rPr>
            </w:pPr>
          </w:p>
        </w:tc>
      </w:tr>
      <w:tr w14:paraId="161210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20EAD9">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B4F19C3">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项目起止年限</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DCD7CD7">
            <w:pPr>
              <w:keepNext w:val="0"/>
              <w:keepLines w:val="0"/>
              <w:pageBreakBefore w:val="0"/>
              <w:kinsoku/>
              <w:wordWrap/>
              <w:overflowPunct/>
              <w:topLinePunct w:val="0"/>
              <w:autoSpaceDE/>
              <w:autoSpaceDN/>
              <w:bidi w:val="0"/>
              <w:adjustRightInd/>
              <w:snapToGrid/>
              <w:spacing w:line="300" w:lineRule="exact"/>
              <w:ind w:left="0" w:leftChars="0"/>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2024年</w:t>
            </w:r>
          </w:p>
        </w:tc>
      </w:tr>
      <w:tr w14:paraId="2C2AA9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1733"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754598">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项目资金</w:t>
            </w:r>
          </w:p>
          <w:p w14:paraId="5A066348">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（万元）</w:t>
            </w:r>
          </w:p>
        </w:tc>
        <w:tc>
          <w:tcPr>
            <w:tcW w:w="25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A0A445">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 xml:space="preserve">  年度资金总额：</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65D0A56">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665.97</w:t>
            </w:r>
          </w:p>
        </w:tc>
      </w:tr>
      <w:tr w14:paraId="10D0ED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17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88BCC6">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25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88D325">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 xml:space="preserve">     </w:t>
            </w:r>
            <w:r>
              <w:rPr>
                <w:rFonts w:hint="eastAsia" w:ascii="宋体" w:hAnsi="宋体" w:eastAsia="宋体" w:cs="宋体"/>
                <w:i w:val="0"/>
                <w:color w:val="000000"/>
                <w:kern w:val="0"/>
                <w:sz w:val="24"/>
                <w:szCs w:val="24"/>
                <w:u w:val="none"/>
                <w:lang w:val="en-US" w:eastAsia="zh-CN" w:bidi="ar"/>
              </w:rPr>
              <w:t xml:space="preserve"> </w:t>
            </w:r>
            <w:r>
              <w:rPr>
                <w:rFonts w:ascii="宋体" w:hAnsi="宋体" w:eastAsia="宋体" w:cs="宋体"/>
                <w:i w:val="0"/>
                <w:color w:val="000000"/>
                <w:kern w:val="0"/>
                <w:sz w:val="24"/>
                <w:szCs w:val="24"/>
                <w:u w:val="none"/>
                <w:lang w:val="en-US" w:eastAsia="zh-CN" w:bidi="ar"/>
              </w:rPr>
              <w:t>其中：财政拨款</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A90699A">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665.97</w:t>
            </w:r>
          </w:p>
        </w:tc>
      </w:tr>
      <w:tr w14:paraId="51710C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17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56040B">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25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A35C74">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left"/>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 xml:space="preserve">            其他资金</w:t>
            </w:r>
          </w:p>
        </w:tc>
        <w:tc>
          <w:tcPr>
            <w:tcW w:w="5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562F5C5">
            <w:pPr>
              <w:keepNext w:val="0"/>
              <w:keepLines w:val="0"/>
              <w:pageBreakBefore w:val="0"/>
              <w:kinsoku/>
              <w:wordWrap/>
              <w:overflowPunct/>
              <w:topLinePunct w:val="0"/>
              <w:autoSpaceDE/>
              <w:autoSpaceDN/>
              <w:bidi w:val="0"/>
              <w:adjustRightInd/>
              <w:snapToGrid/>
              <w:spacing w:line="300" w:lineRule="exact"/>
              <w:ind w:left="0" w:leftChars="0"/>
              <w:jc w:val="right"/>
              <w:rPr>
                <w:rFonts w:hint="eastAsia" w:ascii="宋体" w:hAnsi="宋体" w:eastAsia="宋体" w:cs="宋体"/>
                <w:i w:val="0"/>
                <w:color w:val="000000"/>
                <w:sz w:val="24"/>
                <w:szCs w:val="24"/>
                <w:u w:val="none"/>
              </w:rPr>
            </w:pPr>
          </w:p>
        </w:tc>
      </w:tr>
      <w:tr w14:paraId="7CD782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5961EB">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总体 目标</w:t>
            </w:r>
          </w:p>
        </w:tc>
        <w:tc>
          <w:tcPr>
            <w:tcW w:w="958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3D419BF">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年度目标</w:t>
            </w:r>
          </w:p>
        </w:tc>
      </w:tr>
      <w:tr w14:paraId="32B8D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259D49">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rPr>
            </w:pPr>
          </w:p>
        </w:tc>
        <w:tc>
          <w:tcPr>
            <w:tcW w:w="958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A19D897">
            <w:pPr>
              <w:keepNext w:val="0"/>
              <w:keepLines w:val="0"/>
              <w:pageBreakBefore w:val="0"/>
              <w:kinsoku/>
              <w:wordWrap/>
              <w:overflowPunct/>
              <w:topLinePunct w:val="0"/>
              <w:autoSpaceDE/>
              <w:autoSpaceDN/>
              <w:bidi w:val="0"/>
              <w:adjustRightInd/>
              <w:snapToGrid/>
              <w:spacing w:line="300" w:lineRule="exact"/>
              <w:ind w:left="0" w:leftChars="0"/>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保障县政府办正常运行</w:t>
            </w:r>
          </w:p>
        </w:tc>
      </w:tr>
      <w:tr w14:paraId="3FEF94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652" w:type="dxa"/>
            <w:vMerge w:val="restart"/>
            <w:tcBorders>
              <w:top w:val="single" w:color="000000" w:sz="4" w:space="0"/>
              <w:left w:val="single" w:color="000000" w:sz="4" w:space="0"/>
              <w:bottom w:val="single" w:color="000000" w:sz="4" w:space="0"/>
            </w:tcBorders>
            <w:shd w:val="clear" w:color="auto" w:fill="auto"/>
            <w:vAlign w:val="center"/>
          </w:tcPr>
          <w:p w14:paraId="0F7BF31A">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绩效 指标</w:t>
            </w: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B6B7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一级指标</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B9F95">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二级指标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697BB">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三级指标</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5A0FE">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指标性质</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F2707">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指标值</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30FFC">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度量单位</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C5900">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权重</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0FD24">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实际完成指标值</w:t>
            </w:r>
          </w:p>
        </w:tc>
      </w:tr>
      <w:tr w14:paraId="25498F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76046F4B">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06C752">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产出指标</w:t>
            </w:r>
          </w:p>
        </w:tc>
        <w:tc>
          <w:tcPr>
            <w:tcW w:w="12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B03349">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数量指标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52BBB">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资料打印复印</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18303">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default" w:ascii="Arial" w:hAnsi="Arial" w:eastAsia="宋体" w:cs="Arial"/>
                <w:i w:val="0"/>
                <w:color w:val="000000"/>
                <w:sz w:val="24"/>
                <w:szCs w:val="24"/>
                <w:u w:val="none"/>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61D9B">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100000</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AEFCF">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册</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04201">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BB740">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100000</w:t>
            </w:r>
          </w:p>
        </w:tc>
      </w:tr>
      <w:tr w14:paraId="154D56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2654B5F0">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942EC0">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2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EEAB16">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72F3A">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办公区域维护维修</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715D3">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default" w:ascii="Arial" w:hAnsi="Arial" w:eastAsia="宋体" w:cs="Arial"/>
                <w:i w:val="0"/>
                <w:color w:val="000000"/>
                <w:sz w:val="24"/>
                <w:szCs w:val="24"/>
                <w:u w:val="none"/>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BD21B">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3000</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D1CB0">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864EE">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4732C">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4000</w:t>
            </w:r>
          </w:p>
        </w:tc>
      </w:tr>
      <w:tr w14:paraId="30AC62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7EE412CF">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136C5B">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C41EF">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质量指标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8FC7F">
            <w:pPr>
              <w:keepNext w:val="0"/>
              <w:keepLines w:val="0"/>
              <w:pageBreakBefore w:val="0"/>
              <w:kinsoku/>
              <w:wordWrap/>
              <w:overflowPunct/>
              <w:topLinePunct w:val="0"/>
              <w:autoSpaceDE/>
              <w:autoSpaceDN/>
              <w:bidi w:val="0"/>
              <w:adjustRightInd/>
              <w:snapToGrid/>
              <w:spacing w:line="300" w:lineRule="exact"/>
              <w:ind w:left="0" w:leftChars="0"/>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资金到位率</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1D9FA">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4D019">
            <w:pPr>
              <w:keepNext w:val="0"/>
              <w:keepLines w:val="0"/>
              <w:pageBreakBefore w:val="0"/>
              <w:kinsoku/>
              <w:wordWrap/>
              <w:overflowPunct/>
              <w:topLinePunct w:val="0"/>
              <w:autoSpaceDE/>
              <w:autoSpaceDN/>
              <w:bidi w:val="0"/>
              <w:adjustRightInd/>
              <w:snapToGrid/>
              <w:spacing w:line="300" w:lineRule="exact"/>
              <w:ind w:left="0" w:leftChars="0" w:firstLine="240" w:firstLineChars="100"/>
              <w:jc w:val="both"/>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100</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945FE">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5635B">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59AB2">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100</w:t>
            </w:r>
          </w:p>
        </w:tc>
      </w:tr>
      <w:tr w14:paraId="7A5467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2C64E934">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63372F">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C4228">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时效指标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A020F">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资金到位及时</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89E77">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CDB9E">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100</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9116F">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E5CD7">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814AC">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100</w:t>
            </w:r>
          </w:p>
        </w:tc>
      </w:tr>
      <w:tr w14:paraId="49304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6AE02E44">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DE7E1">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效益指标</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99CA2">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可持续发展指标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E566C">
            <w:pPr>
              <w:keepNext w:val="0"/>
              <w:keepLines w:val="0"/>
              <w:pageBreakBefore w:val="0"/>
              <w:kinsoku/>
              <w:wordWrap/>
              <w:overflowPunct/>
              <w:topLinePunct w:val="0"/>
              <w:autoSpaceDE/>
              <w:autoSpaceDN/>
              <w:bidi w:val="0"/>
              <w:adjustRightInd/>
              <w:snapToGrid/>
              <w:spacing w:line="300" w:lineRule="exact"/>
              <w:ind w:left="0" w:leftChars="0"/>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维持办公室正常秩序</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59BB3">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定性</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BA59A">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持续有效</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0F632">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9C51E">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20</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87C0F">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持续有效</w:t>
            </w:r>
          </w:p>
        </w:tc>
      </w:tr>
      <w:tr w14:paraId="413FD2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0F470825">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tcBorders>
              <w:top w:val="single" w:color="000000" w:sz="4" w:space="0"/>
              <w:left w:val="single" w:color="000000" w:sz="4" w:space="0"/>
              <w:right w:val="single" w:color="000000" w:sz="4" w:space="0"/>
            </w:tcBorders>
            <w:shd w:val="clear" w:color="auto" w:fill="auto"/>
            <w:vAlign w:val="center"/>
          </w:tcPr>
          <w:p w14:paraId="4E29D19F">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满意度</w:t>
            </w:r>
          </w:p>
          <w:p w14:paraId="512FECD4">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w:t>
            </w:r>
          </w:p>
        </w:tc>
        <w:tc>
          <w:tcPr>
            <w:tcW w:w="1250" w:type="dxa"/>
            <w:tcBorders>
              <w:top w:val="single" w:color="000000" w:sz="4" w:space="0"/>
              <w:left w:val="single" w:color="000000" w:sz="4" w:space="0"/>
              <w:right w:val="single" w:color="000000" w:sz="4" w:space="0"/>
            </w:tcBorders>
            <w:shd w:val="clear" w:color="auto" w:fill="auto"/>
            <w:vAlign w:val="center"/>
          </w:tcPr>
          <w:p w14:paraId="0B0B25E0">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服务对象</w:t>
            </w:r>
          </w:p>
          <w:p w14:paraId="1C7BA590">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满意度指标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6A186">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干部职工满意度</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36F44">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B8004">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95</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305BF">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EBCA8">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C5AB2">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95</w:t>
            </w:r>
          </w:p>
        </w:tc>
      </w:tr>
      <w:tr w14:paraId="6E89A5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652" w:type="dxa"/>
            <w:vMerge w:val="continue"/>
            <w:tcBorders>
              <w:top w:val="single" w:color="000000" w:sz="4" w:space="0"/>
              <w:left w:val="single" w:color="000000" w:sz="4" w:space="0"/>
              <w:bottom w:val="single" w:color="000000" w:sz="4" w:space="0"/>
            </w:tcBorders>
            <w:shd w:val="clear" w:color="auto" w:fill="auto"/>
            <w:vAlign w:val="center"/>
          </w:tcPr>
          <w:p w14:paraId="7F27C679">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F0E60">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成本指标</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67637">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kern w:val="0"/>
                <w:sz w:val="24"/>
                <w:szCs w:val="24"/>
                <w:u w:val="none"/>
                <w:lang w:val="en-US" w:eastAsia="zh-CN" w:bidi="ar"/>
              </w:rPr>
            </w:pPr>
            <w:r>
              <w:rPr>
                <w:rFonts w:ascii="宋体" w:hAnsi="宋体" w:eastAsia="宋体" w:cs="宋体"/>
                <w:i w:val="0"/>
                <w:color w:val="000000"/>
                <w:kern w:val="0"/>
                <w:sz w:val="24"/>
                <w:szCs w:val="24"/>
                <w:u w:val="none"/>
                <w:lang w:val="en-US" w:eastAsia="zh-CN" w:bidi="ar"/>
              </w:rPr>
              <w:t>经济成本</w:t>
            </w:r>
          </w:p>
          <w:p w14:paraId="034F7DD7">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jc w:val="center"/>
              <w:textAlignment w:val="center"/>
              <w:rPr>
                <w:rFonts w:ascii="宋体" w:hAnsi="宋体" w:eastAsia="宋体" w:cs="宋体"/>
                <w:i w:val="0"/>
                <w:color w:val="000000"/>
                <w:sz w:val="24"/>
                <w:szCs w:val="24"/>
                <w:u w:val="none"/>
              </w:rPr>
            </w:pPr>
            <w:r>
              <w:rPr>
                <w:rFonts w:ascii="宋体" w:hAnsi="宋体" w:eastAsia="宋体" w:cs="宋体"/>
                <w:i w:val="0"/>
                <w:color w:val="000000"/>
                <w:kern w:val="0"/>
                <w:sz w:val="24"/>
                <w:szCs w:val="24"/>
                <w:u w:val="none"/>
                <w:lang w:val="en-US" w:eastAsia="zh-CN" w:bidi="ar"/>
              </w:rPr>
              <w:t>指标</w:t>
            </w:r>
          </w:p>
        </w:tc>
        <w:tc>
          <w:tcPr>
            <w:tcW w:w="1312" w:type="dxa"/>
            <w:tcBorders>
              <w:top w:val="single" w:color="000000" w:sz="4" w:space="0"/>
              <w:bottom w:val="single" w:color="000000" w:sz="4" w:space="0"/>
              <w:right w:val="single" w:color="000000" w:sz="4" w:space="0"/>
            </w:tcBorders>
            <w:shd w:val="clear" w:color="auto" w:fill="auto"/>
            <w:vAlign w:val="center"/>
          </w:tcPr>
          <w:p w14:paraId="1B1DC37C">
            <w:pPr>
              <w:keepNext w:val="0"/>
              <w:keepLines w:val="0"/>
              <w:pageBreakBefore w:val="0"/>
              <w:kinsoku/>
              <w:wordWrap/>
              <w:overflowPunct/>
              <w:topLinePunct w:val="0"/>
              <w:autoSpaceDE/>
              <w:autoSpaceDN/>
              <w:bidi w:val="0"/>
              <w:adjustRightInd/>
              <w:snapToGrid/>
              <w:spacing w:line="300" w:lineRule="exact"/>
              <w:ind w:left="0" w:leftChars="0"/>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全年资金使用额度</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4176E">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rPr>
            </w:pPr>
            <w:r>
              <w:rPr>
                <w:rFonts w:hint="default" w:ascii="Arial" w:hAnsi="Arial" w:eastAsia="宋体" w:cs="Arial"/>
                <w:i w:val="0"/>
                <w:color w:val="000000"/>
                <w:sz w:val="24"/>
                <w:szCs w:val="24"/>
                <w:u w:val="none"/>
              </w:rPr>
              <w:t>≤</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14743">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739.76</w:t>
            </w:r>
          </w:p>
        </w:tc>
        <w:tc>
          <w:tcPr>
            <w:tcW w:w="10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68980">
            <w:pPr>
              <w:keepNext w:val="0"/>
              <w:keepLines w:val="0"/>
              <w:pageBreakBefore w:val="0"/>
              <w:kinsoku/>
              <w:wordWrap/>
              <w:overflowPunct/>
              <w:topLinePunct w:val="0"/>
              <w:autoSpaceDE/>
              <w:autoSpaceDN/>
              <w:bidi w:val="0"/>
              <w:adjustRightInd/>
              <w:snapToGrid/>
              <w:spacing w:line="300" w:lineRule="exact"/>
              <w:ind w:left="0" w:leftChars="0"/>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万元</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AC949">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10</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EEA2F">
            <w:pPr>
              <w:keepNext w:val="0"/>
              <w:keepLines w:val="0"/>
              <w:pageBreakBefore w:val="0"/>
              <w:kinsoku/>
              <w:wordWrap/>
              <w:overflowPunct/>
              <w:topLinePunct w:val="0"/>
              <w:autoSpaceDE/>
              <w:autoSpaceDN/>
              <w:bidi w:val="0"/>
              <w:adjustRightInd/>
              <w:snapToGrid/>
              <w:spacing w:line="300" w:lineRule="exact"/>
              <w:ind w:left="0" w:leftChars="0"/>
              <w:jc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665.97</w:t>
            </w:r>
          </w:p>
        </w:tc>
      </w:tr>
    </w:tbl>
    <w:p w14:paraId="091438F9">
      <w:pPr>
        <w:pStyle w:val="3"/>
        <w:keepNext w:val="0"/>
        <w:keepLines w:val="0"/>
        <w:pageBreakBefore w:val="0"/>
        <w:kinsoku/>
        <w:wordWrap/>
        <w:overflowPunct/>
        <w:topLinePunct w:val="0"/>
        <w:autoSpaceDE/>
        <w:autoSpaceDN/>
        <w:bidi w:val="0"/>
        <w:spacing w:after="0" w:line="578" w:lineRule="exact"/>
        <w:ind w:left="0" w:leftChars="0"/>
        <w:rPr>
          <w:rFonts w:hint="default" w:ascii="黑体" w:hAnsi="黑体" w:eastAsia="黑体" w:cs="黑体"/>
          <w:sz w:val="24"/>
          <w:szCs w:val="24"/>
          <w:highlight w:val="none"/>
          <w:lang w:val="en-US" w:eastAsia="zh-CN"/>
        </w:rPr>
      </w:pPr>
    </w:p>
    <w:p w14:paraId="693B3255">
      <w:pPr>
        <w:pStyle w:val="3"/>
        <w:keepNext w:val="0"/>
        <w:keepLines w:val="0"/>
        <w:pageBreakBefore w:val="0"/>
        <w:kinsoku/>
        <w:wordWrap/>
        <w:overflowPunct/>
        <w:topLinePunct w:val="0"/>
        <w:autoSpaceDE/>
        <w:autoSpaceDN/>
        <w:bidi w:val="0"/>
        <w:spacing w:after="0" w:line="578" w:lineRule="exact"/>
        <w:ind w:left="0" w:leftChars="0"/>
        <w:rPr>
          <w:rFonts w:hint="default" w:ascii="黑体" w:hAnsi="黑体" w:eastAsia="黑体" w:cs="黑体"/>
          <w:sz w:val="24"/>
          <w:szCs w:val="24"/>
          <w:highlight w:val="none"/>
          <w:lang w:val="en-US" w:eastAsia="zh-CN"/>
        </w:rPr>
      </w:pPr>
    </w:p>
    <w:p w14:paraId="1EAA7018">
      <w:pPr>
        <w:rPr>
          <w:rFonts w:hint="eastAsia" w:ascii="黑体" w:hAnsi="黑体" w:eastAsia="黑体" w:cs="黑体"/>
          <w:color w:val="auto"/>
          <w:kern w:val="2"/>
          <w:sz w:val="32"/>
          <w:szCs w:val="32"/>
          <w:highlight w:val="none"/>
          <w:lang w:val="en-US" w:eastAsia="zh-CN"/>
        </w:rPr>
      </w:pPr>
      <w:r>
        <w:rPr>
          <w:rFonts w:hint="eastAsia" w:ascii="黑体" w:hAnsi="黑体" w:eastAsia="黑体" w:cs="黑体"/>
          <w:color w:val="auto"/>
          <w:kern w:val="2"/>
          <w:sz w:val="32"/>
          <w:szCs w:val="32"/>
          <w:highlight w:val="none"/>
          <w:lang w:val="en-US" w:eastAsia="zh-CN"/>
        </w:rPr>
        <w:br w:type="page"/>
      </w:r>
    </w:p>
    <w:p w14:paraId="5C42F4F3">
      <w:pPr>
        <w:pStyle w:val="25"/>
        <w:spacing w:line="578" w:lineRule="exact"/>
        <w:ind w:firstLine="440" w:firstLineChars="100"/>
        <w:jc w:val="both"/>
        <w:rPr>
          <w:rFonts w:hint="eastAsia" w:ascii="方正小标宋_GBK" w:hAnsi="方正小标宋_GBK" w:eastAsia="方正小标宋_GBK" w:cs="方正小标宋_GBK"/>
          <w:color w:val="auto"/>
          <w:kern w:val="2"/>
          <w:sz w:val="44"/>
          <w:szCs w:val="44"/>
          <w:lang w:val="en-US"/>
        </w:rPr>
      </w:pPr>
    </w:p>
    <w:p w14:paraId="1E9C7C32">
      <w:pPr>
        <w:pStyle w:val="25"/>
        <w:spacing w:line="578" w:lineRule="exact"/>
        <w:ind w:firstLine="440" w:firstLineChars="100"/>
        <w:jc w:val="both"/>
        <w:rPr>
          <w:rFonts w:hint="eastAsia" w:ascii="方正小标宋_GBK" w:hAnsi="方正小标宋_GBK" w:eastAsia="方正小标宋_GBK" w:cs="方正小标宋_GBK"/>
          <w:color w:val="auto"/>
          <w:kern w:val="2"/>
          <w:sz w:val="44"/>
          <w:szCs w:val="44"/>
          <w:lang w:val="en-US"/>
        </w:rPr>
      </w:pPr>
      <w:r>
        <w:rPr>
          <w:rFonts w:hint="eastAsia" w:ascii="方正小标宋_GBK" w:hAnsi="方正小标宋_GBK" w:eastAsia="方正小标宋_GBK" w:cs="方正小标宋_GBK"/>
          <w:color w:val="auto"/>
          <w:kern w:val="2"/>
          <w:sz w:val="44"/>
          <w:szCs w:val="44"/>
          <w:lang w:val="en-US"/>
        </w:rPr>
        <w:t>派驻纪检组工作经费项目绩效评价报告</w:t>
      </w:r>
    </w:p>
    <w:p w14:paraId="29373985">
      <w:pPr>
        <w:pStyle w:val="25"/>
        <w:spacing w:line="578" w:lineRule="exact"/>
        <w:ind w:firstLine="640"/>
        <w:jc w:val="center"/>
        <w:rPr>
          <w:rFonts w:ascii="宋体" w:hAnsi="宋体"/>
          <w:color w:val="auto"/>
          <w:kern w:val="2"/>
          <w:sz w:val="32"/>
          <w:szCs w:val="32"/>
        </w:rPr>
      </w:pPr>
    </w:p>
    <w:p w14:paraId="389E97CB">
      <w:pPr>
        <w:adjustRightInd w:val="0"/>
        <w:snapToGrid w:val="0"/>
        <w:spacing w:line="578" w:lineRule="exact"/>
        <w:ind w:firstLine="640" w:firstLineChars="200"/>
        <w:rPr>
          <w:rFonts w:ascii="黑体" w:hAnsi="宋体" w:eastAsia="黑体"/>
          <w:lang w:val="zh-CN"/>
        </w:rPr>
      </w:pPr>
      <w:r>
        <w:rPr>
          <w:rFonts w:hint="eastAsia" w:ascii="黑体" w:hAnsi="宋体" w:eastAsia="黑体"/>
        </w:rPr>
        <w:t>一、</w:t>
      </w:r>
      <w:r>
        <w:rPr>
          <w:rFonts w:hint="eastAsia" w:ascii="黑体" w:hAnsi="宋体" w:eastAsia="黑体"/>
          <w:lang w:val="zh-CN"/>
        </w:rPr>
        <w:t>项目概况</w:t>
      </w:r>
    </w:p>
    <w:p w14:paraId="168792A0">
      <w:pPr>
        <w:widowControl/>
        <w:adjustRightInd w:val="0"/>
        <w:snapToGrid w:val="0"/>
        <w:spacing w:line="578" w:lineRule="exact"/>
        <w:ind w:firstLine="643" w:firstLineChars="200"/>
        <w:contextualSpacing/>
        <w:jc w:val="left"/>
        <w:rPr>
          <w:rFonts w:ascii="楷体_GB2312" w:hAnsi="宋体" w:eastAsia="楷体_GB2312"/>
          <w:b/>
          <w:lang w:val="zh-CN"/>
        </w:rPr>
      </w:pPr>
      <w:r>
        <w:rPr>
          <w:rFonts w:hint="eastAsia" w:ascii="楷体_GB2312" w:hAnsi="宋体" w:eastAsia="楷体_GB2312"/>
          <w:b/>
          <w:lang w:val="zh-CN"/>
        </w:rPr>
        <w:t>（一）设立背景及基本情况</w:t>
      </w:r>
    </w:p>
    <w:p w14:paraId="0DADA6F4">
      <w:pPr>
        <w:widowControl/>
        <w:adjustRightInd w:val="0"/>
        <w:snapToGrid w:val="0"/>
        <w:spacing w:line="578" w:lineRule="exact"/>
        <w:ind w:firstLine="640" w:firstLineChars="200"/>
        <w:contextualSpacing/>
        <w:jc w:val="left"/>
        <w:rPr>
          <w:rFonts w:ascii="仿宋_GB2312" w:hAnsi="仿宋_GB2312" w:cs="仿宋_GB2312"/>
          <w:kern w:val="0"/>
          <w:shd w:val="clear" w:color="auto" w:fill="FFFFFF"/>
          <w:lang w:val="zh-CN"/>
        </w:rPr>
      </w:pPr>
      <w:r>
        <w:rPr>
          <w:rFonts w:hint="eastAsia" w:ascii="仿宋_GB2312" w:hAnsi="仿宋_GB2312" w:cs="仿宋_GB2312"/>
          <w:kern w:val="0"/>
          <w:shd w:val="clear" w:color="auto" w:fill="FFFFFF"/>
          <w:lang w:val="zh-CN"/>
        </w:rPr>
        <w:t>按照相关文件规定，为更好地履行纪检监察职能，开展党风廉政建设和反腐败工作，该项经费纳入</w:t>
      </w:r>
      <w:r>
        <w:rPr>
          <w:rFonts w:hint="eastAsia" w:ascii="仿宋_GB2312" w:hAnsi="仿宋_GB2312" w:cs="仿宋_GB2312"/>
          <w:kern w:val="0"/>
          <w:shd w:val="clear" w:color="auto" w:fill="FFFFFF"/>
          <w:lang w:val="en-US" w:eastAsia="zh-CN"/>
        </w:rPr>
        <w:t>县政府</w:t>
      </w:r>
      <w:r>
        <w:rPr>
          <w:rFonts w:hint="eastAsia" w:ascii="仿宋_GB2312" w:hAnsi="仿宋_GB2312" w:cs="仿宋_GB2312"/>
          <w:kern w:val="0"/>
          <w:shd w:val="clear" w:color="auto" w:fill="FFFFFF"/>
          <w:lang w:val="zh-CN"/>
        </w:rPr>
        <w:t>办公室预算。</w:t>
      </w:r>
    </w:p>
    <w:p w14:paraId="00307AE6">
      <w:pPr>
        <w:adjustRightInd w:val="0"/>
        <w:snapToGrid w:val="0"/>
        <w:spacing w:line="578" w:lineRule="exact"/>
        <w:ind w:firstLine="643" w:firstLineChars="200"/>
        <w:rPr>
          <w:rFonts w:ascii="楷体_GB2312" w:hAnsi="宋体" w:eastAsia="楷体_GB2312"/>
          <w:b/>
        </w:rPr>
      </w:pPr>
      <w:r>
        <w:rPr>
          <w:rFonts w:hint="eastAsia" w:ascii="楷体_GB2312" w:hAnsi="宋体" w:eastAsia="楷体_GB2312"/>
          <w:b/>
          <w:lang w:val="zh-CN"/>
        </w:rPr>
        <w:t>（二）</w:t>
      </w:r>
      <w:r>
        <w:rPr>
          <w:rFonts w:ascii="楷体_GB2312" w:hAnsi="宋体" w:eastAsia="楷体_GB2312"/>
          <w:b/>
        </w:rPr>
        <w:t>实施目的及支持方向</w:t>
      </w:r>
    </w:p>
    <w:p w14:paraId="377A0201">
      <w:pPr>
        <w:adjustRightInd w:val="0"/>
        <w:snapToGrid w:val="0"/>
        <w:spacing w:line="578" w:lineRule="exact"/>
        <w:ind w:firstLine="640" w:firstLineChars="200"/>
        <w:rPr>
          <w:rFonts w:ascii="仿宋_GB2312" w:hAnsi="宋体"/>
          <w:bCs/>
          <w:lang w:val="zh-CN"/>
        </w:rPr>
      </w:pPr>
      <w:r>
        <w:rPr>
          <w:rFonts w:hint="eastAsia" w:ascii="仿宋_GB2312" w:hAnsi="宋体"/>
          <w:bCs/>
          <w:lang w:val="zh-CN"/>
        </w:rPr>
        <w:t>本项目主要工作任务是保障派驻纪检工作组日常运转，完成日常工作任务以及承担的纪检监察、党风廉政建设等工作。</w:t>
      </w:r>
    </w:p>
    <w:p w14:paraId="62ABA59A">
      <w:pPr>
        <w:widowControl/>
        <w:adjustRightInd w:val="0"/>
        <w:snapToGrid w:val="0"/>
        <w:spacing w:line="578" w:lineRule="exact"/>
        <w:ind w:firstLine="643" w:firstLineChars="200"/>
        <w:contextualSpacing/>
        <w:jc w:val="left"/>
        <w:rPr>
          <w:rFonts w:ascii="楷体_GB2312" w:hAnsi="宋体" w:eastAsia="楷体_GB2312"/>
          <w:b/>
          <w:lang w:val="zh-CN"/>
        </w:rPr>
      </w:pPr>
      <w:r>
        <w:rPr>
          <w:rFonts w:hint="eastAsia" w:ascii="楷体_GB2312" w:hAnsi="宋体" w:eastAsia="楷体_GB2312"/>
          <w:b/>
          <w:lang w:val="zh-CN"/>
        </w:rPr>
        <w:t>（三）</w:t>
      </w:r>
      <w:r>
        <w:rPr>
          <w:rFonts w:ascii="楷体_GB2312" w:hAnsi="宋体" w:eastAsia="楷体_GB2312"/>
          <w:b/>
        </w:rPr>
        <w:t>预算安排及分配管理</w:t>
      </w:r>
    </w:p>
    <w:p w14:paraId="2E5551A1">
      <w:pPr>
        <w:widowControl/>
        <w:adjustRightInd w:val="0"/>
        <w:snapToGrid w:val="0"/>
        <w:spacing w:line="578" w:lineRule="exact"/>
        <w:ind w:firstLine="640" w:firstLineChars="200"/>
        <w:contextualSpacing/>
        <w:jc w:val="left"/>
        <w:rPr>
          <w:rFonts w:ascii="仿宋_GB2312" w:hAnsi="仿宋_GB2312" w:cs="仿宋_GB2312"/>
          <w:kern w:val="0"/>
          <w:shd w:val="clear" w:color="auto" w:fill="FFFFFF"/>
          <w:lang w:val="zh-CN"/>
        </w:rPr>
      </w:pPr>
      <w:r>
        <w:rPr>
          <w:rFonts w:hint="eastAsia" w:ascii="仿宋_GB2312" w:hAnsi="仿宋_GB2312" w:cs="仿宋_GB2312"/>
          <w:kern w:val="0"/>
          <w:shd w:val="clear" w:color="auto" w:fill="FFFFFF"/>
          <w:lang w:val="zh-CN"/>
        </w:rPr>
        <w:t>本单位202</w:t>
      </w:r>
      <w:r>
        <w:rPr>
          <w:rFonts w:hint="eastAsia" w:ascii="仿宋_GB2312" w:hAnsi="仿宋_GB2312" w:cs="仿宋_GB2312"/>
          <w:kern w:val="0"/>
          <w:shd w:val="clear" w:color="auto" w:fill="FFFFFF"/>
          <w:lang w:val="en-US" w:eastAsia="zh-CN"/>
        </w:rPr>
        <w:t>4年</w:t>
      </w:r>
      <w:r>
        <w:rPr>
          <w:rFonts w:hint="eastAsia" w:ascii="仿宋_GB2312" w:hAnsi="仿宋_GB2312" w:cs="仿宋_GB2312"/>
          <w:kern w:val="0"/>
          <w:shd w:val="clear" w:color="auto" w:fill="FFFFFF"/>
          <w:lang w:val="zh-CN"/>
        </w:rPr>
        <w:t>派驻纪检工作组经费项目预算</w:t>
      </w:r>
      <w:r>
        <w:rPr>
          <w:rFonts w:hint="eastAsia" w:ascii="仿宋_GB2312" w:hAnsi="仿宋_GB2312" w:cs="仿宋_GB2312"/>
          <w:kern w:val="0"/>
          <w:shd w:val="clear" w:color="auto" w:fill="FFFFFF"/>
          <w:lang w:val="en-US" w:eastAsia="zh-CN"/>
        </w:rPr>
        <w:t>18.05</w:t>
      </w:r>
      <w:r>
        <w:rPr>
          <w:rFonts w:hint="eastAsia" w:ascii="仿宋_GB2312" w:hAnsi="仿宋_GB2312" w:cs="仿宋_GB2312"/>
          <w:kern w:val="0"/>
          <w:shd w:val="clear" w:color="auto" w:fill="FFFFFF"/>
          <w:lang w:val="zh-CN"/>
        </w:rPr>
        <w:t>万元，由（渠财预〔202</w:t>
      </w:r>
      <w:r>
        <w:rPr>
          <w:rFonts w:hint="eastAsia" w:ascii="仿宋_GB2312" w:hAnsi="仿宋_GB2312" w:cs="仿宋_GB2312"/>
          <w:kern w:val="0"/>
          <w:shd w:val="clear" w:color="auto" w:fill="FFFFFF"/>
          <w:lang w:val="en-US" w:eastAsia="zh-CN"/>
        </w:rPr>
        <w:t>4</w:t>
      </w:r>
      <w:r>
        <w:rPr>
          <w:rFonts w:hint="eastAsia" w:ascii="仿宋_GB2312" w:hAnsi="仿宋_GB2312" w:cs="仿宋_GB2312"/>
          <w:kern w:val="0"/>
          <w:shd w:val="clear" w:color="auto" w:fill="FFFFFF"/>
          <w:lang w:val="zh-CN"/>
        </w:rPr>
        <w:t>〕</w:t>
      </w:r>
      <w:r>
        <w:rPr>
          <w:rFonts w:hint="eastAsia" w:ascii="仿宋_GB2312" w:hAnsi="仿宋_GB2312" w:cs="仿宋_GB2312"/>
          <w:kern w:val="0"/>
          <w:shd w:val="clear" w:color="auto" w:fill="FFFFFF"/>
          <w:lang w:val="en-US" w:eastAsia="zh-CN"/>
        </w:rPr>
        <w:t>00</w:t>
      </w:r>
      <w:r>
        <w:rPr>
          <w:rFonts w:hint="eastAsia" w:ascii="仿宋_GB2312" w:hAnsi="仿宋_GB2312" w:cs="仿宋_GB2312"/>
          <w:kern w:val="0"/>
          <w:shd w:val="clear" w:color="auto" w:fill="FFFFFF"/>
          <w:lang w:val="zh-CN"/>
        </w:rPr>
        <w:t>5号）文</w:t>
      </w:r>
      <w:r>
        <w:rPr>
          <w:rFonts w:hint="eastAsia" w:ascii="仿宋_GB2312" w:hAnsi="仿宋_GB2312" w:cs="仿宋_GB2312"/>
          <w:kern w:val="0"/>
          <w:shd w:val="clear" w:color="auto" w:fill="FFFFFF"/>
          <w:lang w:val="en-US" w:eastAsia="zh-CN"/>
        </w:rPr>
        <w:t>件</w:t>
      </w:r>
      <w:r>
        <w:rPr>
          <w:rFonts w:hint="eastAsia" w:ascii="仿宋_GB2312" w:hAnsi="仿宋_GB2312" w:cs="仿宋_GB2312"/>
          <w:kern w:val="0"/>
          <w:shd w:val="clear" w:color="auto" w:fill="FFFFFF"/>
          <w:lang w:val="zh-CN"/>
        </w:rPr>
        <w:t>下达资金1</w:t>
      </w:r>
      <w:r>
        <w:rPr>
          <w:rFonts w:hint="eastAsia" w:ascii="仿宋_GB2312" w:hAnsi="仿宋_GB2312" w:cs="仿宋_GB2312"/>
          <w:kern w:val="0"/>
          <w:shd w:val="clear" w:color="auto" w:fill="FFFFFF"/>
          <w:lang w:val="en-US" w:eastAsia="zh-CN"/>
        </w:rPr>
        <w:t>8.05</w:t>
      </w:r>
      <w:r>
        <w:rPr>
          <w:rFonts w:hint="eastAsia" w:ascii="仿宋_GB2312" w:hAnsi="仿宋_GB2312" w:cs="仿宋_GB2312"/>
          <w:kern w:val="0"/>
          <w:shd w:val="clear" w:color="auto" w:fill="FFFFFF"/>
          <w:lang w:val="zh-CN"/>
        </w:rPr>
        <w:t>万元。</w:t>
      </w:r>
    </w:p>
    <w:p w14:paraId="7BCC2AA6">
      <w:pPr>
        <w:adjustRightInd w:val="0"/>
        <w:snapToGrid w:val="0"/>
        <w:spacing w:line="578" w:lineRule="exact"/>
        <w:ind w:firstLine="643" w:firstLineChars="200"/>
        <w:rPr>
          <w:rFonts w:ascii="楷体_GB2312" w:hAnsi="宋体" w:eastAsia="楷体_GB2312"/>
          <w:b/>
          <w:lang w:val="zh-CN"/>
        </w:rPr>
      </w:pPr>
      <w:r>
        <w:rPr>
          <w:rFonts w:hint="eastAsia" w:ascii="楷体_GB2312" w:hAnsi="宋体" w:eastAsia="楷体_GB2312"/>
          <w:b/>
          <w:lang w:val="zh-CN"/>
        </w:rPr>
        <w:t>（四）项目绩效目标设置</w:t>
      </w:r>
    </w:p>
    <w:p w14:paraId="308788F6">
      <w:pPr>
        <w:adjustRightInd w:val="0"/>
        <w:snapToGrid w:val="0"/>
        <w:spacing w:line="578" w:lineRule="exact"/>
        <w:ind w:firstLine="640" w:firstLineChars="200"/>
        <w:rPr>
          <w:rFonts w:ascii="仿宋_GB2312" w:hAnsi="仿宋_GB2312" w:cs="仿宋_GB2312"/>
          <w:kern w:val="0"/>
          <w:shd w:val="clear" w:color="auto" w:fill="FFFFFF"/>
          <w:lang w:val="zh-CN"/>
        </w:rPr>
      </w:pPr>
      <w:r>
        <w:rPr>
          <w:rFonts w:hint="eastAsia" w:ascii="仿宋_GB2312" w:hAnsi="仿宋_GB2312" w:cs="仿宋_GB2312"/>
          <w:kern w:val="0"/>
          <w:shd w:val="clear" w:color="auto" w:fill="FFFFFF"/>
          <w:lang w:val="zh-CN"/>
        </w:rPr>
        <w:t>项目年度目标：派驻纪检组工作经费。</w:t>
      </w:r>
    </w:p>
    <w:p w14:paraId="12FFEA76">
      <w:pPr>
        <w:adjustRightInd w:val="0"/>
        <w:snapToGrid w:val="0"/>
        <w:spacing w:line="578" w:lineRule="exact"/>
        <w:ind w:firstLine="640" w:firstLineChars="200"/>
        <w:rPr>
          <w:rFonts w:ascii="仿宋_GB2312" w:hAnsi="仿宋_GB2312" w:cs="仿宋_GB2312"/>
          <w:kern w:val="0"/>
          <w:shd w:val="clear" w:color="auto" w:fill="FFFFFF"/>
          <w:lang w:val="zh-CN"/>
        </w:rPr>
      </w:pPr>
      <w:r>
        <w:rPr>
          <w:rFonts w:hint="eastAsia" w:ascii="仿宋_GB2312" w:hAnsi="仿宋_GB2312" w:cs="仿宋_GB2312"/>
          <w:kern w:val="0"/>
          <w:shd w:val="clear" w:color="auto" w:fill="FFFFFF"/>
          <w:lang w:val="zh-CN"/>
        </w:rPr>
        <w:t>项目具体绩效目标：本项目共设置</w:t>
      </w:r>
      <w:r>
        <w:rPr>
          <w:rFonts w:hint="eastAsia" w:ascii="仿宋_GB2312" w:hAnsi="仿宋_GB2312" w:cs="仿宋_GB2312"/>
          <w:kern w:val="0"/>
          <w:shd w:val="clear" w:color="auto" w:fill="FFFFFF"/>
          <w:lang w:val="en-US" w:eastAsia="zh-CN"/>
        </w:rPr>
        <w:t>7</w:t>
      </w:r>
      <w:r>
        <w:rPr>
          <w:rFonts w:hint="eastAsia" w:ascii="仿宋_GB2312" w:hAnsi="仿宋_GB2312" w:cs="仿宋_GB2312"/>
          <w:kern w:val="0"/>
          <w:shd w:val="clear" w:color="auto" w:fill="FFFFFF"/>
          <w:lang w:val="zh-CN"/>
        </w:rPr>
        <w:t>个三级指标。具体如下：数量指标：</w:t>
      </w:r>
      <w:r>
        <w:rPr>
          <w:rFonts w:hint="eastAsia" w:ascii="仿宋_GB2312" w:hAnsi="仿宋_GB2312" w:cs="仿宋_GB2312"/>
          <w:kern w:val="0"/>
          <w:shd w:val="clear" w:color="auto" w:fill="FFFFFF"/>
          <w:lang w:val="en-US" w:eastAsia="zh-CN"/>
        </w:rPr>
        <w:t>审查调查</w:t>
      </w:r>
      <w:r>
        <w:rPr>
          <w:rFonts w:hint="eastAsia" w:ascii="仿宋_GB2312" w:hAnsi="仿宋_GB2312" w:cs="仿宋_GB2312"/>
          <w:kern w:val="0"/>
          <w:shd w:val="clear" w:color="auto" w:fill="FFFFFF"/>
          <w:lang w:val="zh-CN"/>
        </w:rPr>
        <w:t>次数≥</w:t>
      </w:r>
      <w:r>
        <w:rPr>
          <w:rFonts w:hint="eastAsia" w:ascii="仿宋_GB2312" w:hAnsi="仿宋_GB2312" w:cs="仿宋_GB2312"/>
          <w:kern w:val="0"/>
          <w:shd w:val="clear" w:color="auto" w:fill="FFFFFF"/>
          <w:lang w:val="en-US" w:eastAsia="zh-CN"/>
        </w:rPr>
        <w:t>50次</w:t>
      </w:r>
      <w:r>
        <w:rPr>
          <w:rFonts w:hint="eastAsia" w:ascii="仿宋_GB2312" w:hAnsi="仿宋_GB2312" w:cs="仿宋_GB2312"/>
          <w:kern w:val="0"/>
          <w:shd w:val="clear" w:color="auto" w:fill="FFFFFF"/>
          <w:lang w:val="zh-CN"/>
        </w:rPr>
        <w:t>，质量指标：</w:t>
      </w:r>
      <w:r>
        <w:rPr>
          <w:rFonts w:hint="eastAsia" w:ascii="仿宋_GB2312" w:hAnsi="仿宋_GB2312" w:cs="仿宋_GB2312"/>
          <w:kern w:val="0"/>
          <w:shd w:val="clear" w:color="auto" w:fill="FFFFFF"/>
          <w:lang w:val="en-US" w:eastAsia="zh-CN"/>
        </w:rPr>
        <w:t>问题线索处置</w:t>
      </w:r>
      <w:r>
        <w:rPr>
          <w:rFonts w:hint="eastAsia" w:ascii="仿宋_GB2312" w:hAnsi="仿宋_GB2312" w:cs="仿宋_GB2312"/>
          <w:kern w:val="0"/>
          <w:shd w:val="clear" w:color="auto" w:fill="FFFFFF"/>
          <w:lang w:val="zh-CN"/>
        </w:rPr>
        <w:t>率</w:t>
      </w:r>
      <w:r>
        <w:rPr>
          <w:rFonts w:hint="eastAsia" w:ascii="仿宋_GB2312" w:hAnsi="仿宋_GB2312" w:cs="仿宋_GB2312"/>
          <w:kern w:val="0"/>
          <w:shd w:val="clear" w:color="auto" w:fill="FFFFFF"/>
          <w:lang w:val="en-US" w:eastAsia="zh-CN"/>
        </w:rPr>
        <w:t>=</w:t>
      </w:r>
      <w:r>
        <w:rPr>
          <w:rFonts w:hint="eastAsia" w:ascii="仿宋_GB2312" w:hAnsi="仿宋_GB2312" w:cs="仿宋_GB2312"/>
          <w:kern w:val="0"/>
          <w:shd w:val="clear" w:color="auto" w:fill="FFFFFF"/>
          <w:lang w:val="zh-CN"/>
        </w:rPr>
        <w:t>100%，</w:t>
      </w:r>
      <w:r>
        <w:rPr>
          <w:rFonts w:hint="eastAsia" w:ascii="仿宋_GB2312" w:hAnsi="仿宋_GB2312" w:cs="仿宋_GB2312"/>
          <w:kern w:val="0"/>
          <w:shd w:val="clear" w:color="auto" w:fill="FFFFFF"/>
          <w:lang w:val="en-US" w:eastAsia="zh-CN"/>
        </w:rPr>
        <w:t>案件办理时限达标率=100%，</w:t>
      </w:r>
      <w:r>
        <w:rPr>
          <w:rFonts w:hint="eastAsia" w:ascii="仿宋_GB2312" w:hAnsi="仿宋_GB2312" w:cs="仿宋_GB2312"/>
          <w:kern w:val="0"/>
          <w:shd w:val="clear" w:color="auto" w:fill="FFFFFF"/>
          <w:lang w:val="zh-CN"/>
        </w:rPr>
        <w:t>时效指标：</w:t>
      </w:r>
      <w:r>
        <w:rPr>
          <w:rFonts w:hint="eastAsia" w:ascii="仿宋_GB2312" w:hAnsi="仿宋_GB2312" w:cs="仿宋_GB2312"/>
          <w:kern w:val="0"/>
          <w:shd w:val="clear" w:color="auto" w:fill="FFFFFF"/>
          <w:lang w:val="en-US" w:eastAsia="zh-CN"/>
        </w:rPr>
        <w:t>立案案件办结率=</w:t>
      </w:r>
      <w:r>
        <w:rPr>
          <w:rFonts w:hint="eastAsia" w:ascii="仿宋_GB2312" w:hAnsi="仿宋_GB2312" w:cs="仿宋_GB2312"/>
          <w:kern w:val="0"/>
          <w:shd w:val="clear" w:color="auto" w:fill="FFFFFF"/>
          <w:lang w:val="zh-CN"/>
        </w:rPr>
        <w:t>100%，社会效益指标：</w:t>
      </w:r>
      <w:r>
        <w:rPr>
          <w:rFonts w:hint="eastAsia" w:ascii="仿宋_GB2312" w:hAnsi="仿宋_GB2312" w:cs="仿宋_GB2312"/>
          <w:kern w:val="0"/>
          <w:shd w:val="clear" w:color="auto" w:fill="FFFFFF"/>
          <w:lang w:val="en-US" w:eastAsia="zh-CN"/>
        </w:rPr>
        <w:t>社会满意度</w:t>
      </w:r>
      <w:r>
        <w:rPr>
          <w:rFonts w:hint="eastAsia" w:ascii="仿宋_GB2312" w:hAnsi="仿宋_GB2312" w:cs="仿宋_GB2312"/>
          <w:kern w:val="0"/>
          <w:shd w:val="clear" w:color="auto" w:fill="FFFFFF"/>
          <w:lang w:val="zh-CN"/>
        </w:rPr>
        <w:t>≥</w:t>
      </w:r>
      <w:r>
        <w:rPr>
          <w:rFonts w:hint="eastAsia" w:ascii="仿宋_GB2312" w:hAnsi="仿宋_GB2312" w:cs="仿宋_GB2312"/>
          <w:kern w:val="0"/>
          <w:shd w:val="clear" w:color="auto" w:fill="FFFFFF"/>
          <w:lang w:val="en-US" w:eastAsia="zh-CN"/>
        </w:rPr>
        <w:t>90%</w:t>
      </w:r>
      <w:r>
        <w:rPr>
          <w:rFonts w:hint="eastAsia" w:ascii="仿宋_GB2312" w:hAnsi="仿宋_GB2312" w:cs="仿宋_GB2312"/>
          <w:kern w:val="0"/>
          <w:shd w:val="clear" w:color="auto" w:fill="FFFFFF"/>
          <w:lang w:val="zh-CN"/>
        </w:rPr>
        <w:t>，满意度指标：</w:t>
      </w:r>
      <w:r>
        <w:rPr>
          <w:rFonts w:hint="eastAsia" w:ascii="仿宋_GB2312" w:hAnsi="仿宋_GB2312" w:cs="仿宋_GB2312"/>
          <w:kern w:val="0"/>
          <w:shd w:val="clear" w:color="auto" w:fill="FFFFFF"/>
          <w:lang w:val="en-US" w:eastAsia="zh-CN"/>
        </w:rPr>
        <w:t>群众满意度</w:t>
      </w:r>
      <w:r>
        <w:rPr>
          <w:rFonts w:hint="eastAsia" w:ascii="仿宋_GB2312" w:hAnsi="仿宋_GB2312" w:cs="仿宋_GB2312"/>
          <w:kern w:val="0"/>
          <w:shd w:val="clear" w:color="auto" w:fill="FFFFFF"/>
          <w:lang w:val="zh-CN"/>
        </w:rPr>
        <w:t>≥</w:t>
      </w:r>
      <w:r>
        <w:rPr>
          <w:rFonts w:hint="eastAsia" w:ascii="仿宋_GB2312" w:hAnsi="仿宋_GB2312" w:cs="仿宋_GB2312"/>
          <w:kern w:val="0"/>
          <w:shd w:val="clear" w:color="auto" w:fill="FFFFFF"/>
          <w:lang w:val="en-US" w:eastAsia="zh-CN"/>
        </w:rPr>
        <w:t>90%，</w:t>
      </w:r>
      <w:r>
        <w:rPr>
          <w:rFonts w:hint="eastAsia" w:ascii="仿宋_GB2312" w:hAnsi="仿宋_GB2312" w:cs="仿宋_GB2312"/>
          <w:kern w:val="0"/>
          <w:shd w:val="clear" w:color="auto" w:fill="FFFFFF"/>
          <w:lang w:val="zh-CN"/>
        </w:rPr>
        <w:t>经济成本指标：项目成本</w:t>
      </w:r>
      <w:r>
        <w:rPr>
          <w:rFonts w:hint="default" w:ascii="Arial" w:hAnsi="Arial" w:cs="Arial"/>
          <w:kern w:val="0"/>
          <w:shd w:val="clear" w:color="auto" w:fill="FFFFFF"/>
          <w:lang w:val="zh-CN"/>
        </w:rPr>
        <w:t>≤</w:t>
      </w:r>
      <w:r>
        <w:rPr>
          <w:rFonts w:hint="eastAsia" w:ascii="Arial" w:hAnsi="Arial" w:cs="Arial"/>
          <w:kern w:val="0"/>
          <w:shd w:val="clear" w:color="auto" w:fill="FFFFFF"/>
          <w:lang w:val="en-US" w:eastAsia="zh-CN"/>
        </w:rPr>
        <w:t>1</w:t>
      </w:r>
      <w:r>
        <w:rPr>
          <w:rFonts w:hint="eastAsia" w:ascii="仿宋_GB2312" w:hAnsi="仿宋_GB2312" w:cs="仿宋_GB2312"/>
          <w:kern w:val="0"/>
          <w:shd w:val="clear" w:color="auto" w:fill="FFFFFF"/>
          <w:lang w:val="en-US" w:eastAsia="zh-CN"/>
        </w:rPr>
        <w:t>8.05</w:t>
      </w:r>
      <w:r>
        <w:rPr>
          <w:rFonts w:hint="eastAsia" w:ascii="仿宋_GB2312" w:hAnsi="仿宋_GB2312" w:cs="仿宋_GB2312"/>
          <w:kern w:val="0"/>
          <w:shd w:val="clear" w:color="auto" w:fill="FFFFFF"/>
          <w:lang w:val="zh-CN"/>
        </w:rPr>
        <w:t>万。</w:t>
      </w:r>
    </w:p>
    <w:p w14:paraId="4ACCE595">
      <w:pPr>
        <w:adjustRightInd w:val="0"/>
        <w:snapToGrid w:val="0"/>
        <w:spacing w:line="578" w:lineRule="exact"/>
        <w:ind w:firstLine="640" w:firstLineChars="200"/>
        <w:rPr>
          <w:rFonts w:ascii="仿宋_GB2312" w:hAnsi="仿宋_GB2312" w:cs="仿宋_GB2312"/>
          <w:kern w:val="0"/>
          <w:shd w:val="clear" w:color="auto" w:fill="FFFFFF"/>
          <w:lang w:val="zh-CN"/>
        </w:rPr>
      </w:pPr>
      <w:r>
        <w:rPr>
          <w:rFonts w:hint="eastAsia" w:ascii="仿宋_GB2312" w:hAnsi="仿宋_GB2312" w:cs="仿宋_GB2312"/>
          <w:kern w:val="0"/>
          <w:shd w:val="clear" w:color="auto" w:fill="FFFFFF"/>
          <w:lang w:val="zh-CN"/>
        </w:rPr>
        <w:t>项目自评工作开展情况。根据《渠县财政局关于开展2024年县级部门绩效自评工作的通知》（渠财绩〔202</w:t>
      </w:r>
      <w:r>
        <w:rPr>
          <w:rFonts w:hint="eastAsia" w:ascii="仿宋_GB2312" w:hAnsi="仿宋_GB2312" w:cs="仿宋_GB2312"/>
          <w:kern w:val="0"/>
          <w:shd w:val="clear" w:color="auto" w:fill="FFFFFF"/>
          <w:lang w:val="en-US" w:eastAsia="zh-CN"/>
        </w:rPr>
        <w:t>5</w:t>
      </w:r>
      <w:r>
        <w:rPr>
          <w:rFonts w:hint="eastAsia" w:ascii="仿宋_GB2312" w:hAnsi="仿宋_GB2312" w:cs="仿宋_GB2312"/>
          <w:kern w:val="0"/>
          <w:shd w:val="clear" w:color="auto" w:fill="FFFFFF"/>
          <w:lang w:val="zh-CN"/>
        </w:rPr>
        <w:t>〕</w:t>
      </w:r>
      <w:r>
        <w:rPr>
          <w:rFonts w:hint="eastAsia" w:ascii="仿宋_GB2312" w:hAnsi="仿宋_GB2312" w:cs="仿宋_GB2312"/>
          <w:kern w:val="0"/>
          <w:shd w:val="clear" w:color="auto" w:fill="FFFFFF"/>
          <w:lang w:val="en-US" w:eastAsia="zh-CN"/>
        </w:rPr>
        <w:t>5</w:t>
      </w:r>
      <w:r>
        <w:rPr>
          <w:rFonts w:hint="eastAsia" w:ascii="仿宋_GB2312" w:hAnsi="仿宋_GB2312" w:cs="仿宋_GB2312"/>
          <w:kern w:val="0"/>
          <w:shd w:val="clear" w:color="auto" w:fill="FFFFFF"/>
          <w:lang w:val="zh-CN"/>
        </w:rPr>
        <w:t>号）要求，本单位对202</w:t>
      </w:r>
      <w:r>
        <w:rPr>
          <w:rFonts w:hint="eastAsia" w:ascii="仿宋_GB2312" w:hAnsi="仿宋_GB2312" w:cs="仿宋_GB2312"/>
          <w:kern w:val="0"/>
          <w:shd w:val="clear" w:color="auto" w:fill="FFFFFF"/>
          <w:lang w:val="en-US" w:eastAsia="zh-CN"/>
        </w:rPr>
        <w:t>4</w:t>
      </w:r>
      <w:r>
        <w:rPr>
          <w:rFonts w:hint="eastAsia" w:ascii="仿宋_GB2312" w:hAnsi="仿宋_GB2312" w:cs="仿宋_GB2312"/>
          <w:kern w:val="0"/>
          <w:shd w:val="clear" w:color="auto" w:fill="FFFFFF"/>
          <w:lang w:val="zh-CN"/>
        </w:rPr>
        <w:t>派驻纪检工作组经费项目开展了绩效自评，按照项目完成情况填列了《专项预算项目绩效目标完成情况自评表》，同时根据专项预算项目绩效评价指标体系选择适用的评价指标，形成项目的绩效评价指标体系，根据评价要点和评分方法，对项目绩效实现情况进行打分，形成评价结论，撰写专项预算项目绩效自评报告。</w:t>
      </w:r>
    </w:p>
    <w:p w14:paraId="7ED123D5">
      <w:pPr>
        <w:adjustRightInd w:val="0"/>
        <w:snapToGrid w:val="0"/>
        <w:spacing w:line="578" w:lineRule="exact"/>
        <w:ind w:firstLine="640" w:firstLineChars="200"/>
        <w:rPr>
          <w:rFonts w:ascii="黑体" w:hAnsi="宋体" w:eastAsia="黑体"/>
        </w:rPr>
      </w:pPr>
      <w:r>
        <w:rPr>
          <w:rFonts w:hint="eastAsia" w:ascii="黑体" w:hAnsi="宋体" w:eastAsia="黑体"/>
        </w:rPr>
        <w:t>二、评价实施</w:t>
      </w:r>
    </w:p>
    <w:p w14:paraId="3698E8A1">
      <w:pPr>
        <w:spacing w:line="578" w:lineRule="exact"/>
        <w:ind w:firstLine="640"/>
        <w:rPr>
          <w:rFonts w:ascii="楷体_GB2312" w:hAnsi="宋体" w:eastAsia="楷体_GB2312"/>
          <w:b/>
          <w:lang w:val="zh-CN"/>
        </w:rPr>
      </w:pPr>
      <w:r>
        <w:rPr>
          <w:rFonts w:hint="eastAsia" w:ascii="楷体_GB2312" w:hAnsi="宋体" w:eastAsia="楷体_GB2312"/>
          <w:b/>
          <w:lang w:val="zh-CN"/>
        </w:rPr>
        <w:t>（一）评价目的</w:t>
      </w:r>
    </w:p>
    <w:p w14:paraId="1EF9D4DF">
      <w:pPr>
        <w:spacing w:line="578" w:lineRule="exact"/>
        <w:ind w:firstLine="640"/>
      </w:pPr>
      <w:r>
        <w:rPr>
          <w:rFonts w:hint="eastAsia"/>
        </w:rPr>
        <w:t>项目绩效自评的核心目的是为了了解资金是否达到预期目标、检验资金支出效率和效果，并分析存在的问题和原因，从而有效提高管理水平和资金使用效益。</w:t>
      </w:r>
    </w:p>
    <w:p w14:paraId="0A6673D3">
      <w:pPr>
        <w:adjustRightInd w:val="0"/>
        <w:snapToGrid w:val="0"/>
        <w:spacing w:line="578" w:lineRule="exact"/>
        <w:ind w:firstLine="643" w:firstLineChars="200"/>
        <w:rPr>
          <w:rFonts w:ascii="楷体_GB2312" w:hAnsi="宋体" w:eastAsia="楷体_GB2312"/>
          <w:b/>
          <w:lang w:val="zh-CN"/>
        </w:rPr>
      </w:pPr>
      <w:r>
        <w:rPr>
          <w:rFonts w:hint="eastAsia" w:ascii="楷体_GB2312" w:hAnsi="宋体" w:eastAsia="楷体_GB2312"/>
          <w:b/>
          <w:lang w:val="zh-CN"/>
        </w:rPr>
        <w:t>（二）预设问题及评价重点</w:t>
      </w:r>
    </w:p>
    <w:p w14:paraId="3B08D1AE">
      <w:pPr>
        <w:adjustRightInd w:val="0"/>
        <w:snapToGrid w:val="0"/>
        <w:spacing w:line="578" w:lineRule="exact"/>
        <w:ind w:firstLine="640" w:firstLineChars="200"/>
      </w:pPr>
      <w:r>
        <w:rPr>
          <w:rFonts w:hint="eastAsia"/>
        </w:rPr>
        <w:t>202</w:t>
      </w:r>
      <w:r>
        <w:rPr>
          <w:rFonts w:hint="eastAsia"/>
          <w:lang w:val="en-US" w:eastAsia="zh-CN"/>
        </w:rPr>
        <w:t>4年</w:t>
      </w:r>
      <w:r>
        <w:rPr>
          <w:rFonts w:hint="eastAsia"/>
        </w:rPr>
        <w:t>派驻纪检工作组经费项目资金到位及时，足额拨付，项目资金使用符合国家财经法规和相关财务管理制度，不存在超范围、超标准、超进度使用专项资金和资金损失浪费、长期沉淀、截留、挤占、挪用、虚列支出等情况，项目实施遵守相关法律法规，按预期目标完成，实施结果与绩效目标相匹配。</w:t>
      </w:r>
    </w:p>
    <w:p w14:paraId="2275D6EF">
      <w:pPr>
        <w:adjustRightInd w:val="0"/>
        <w:snapToGrid w:val="0"/>
        <w:spacing w:line="578" w:lineRule="exact"/>
        <w:ind w:firstLine="643" w:firstLineChars="200"/>
        <w:rPr>
          <w:rFonts w:ascii="楷体_GB2312" w:hAnsi="宋体" w:eastAsia="楷体_GB2312"/>
          <w:b/>
          <w:lang w:val="zh-CN"/>
        </w:rPr>
      </w:pPr>
      <w:r>
        <w:rPr>
          <w:rFonts w:hint="eastAsia" w:ascii="楷体_GB2312" w:hAnsi="宋体" w:eastAsia="楷体_GB2312"/>
          <w:b/>
          <w:lang w:val="zh-CN"/>
        </w:rPr>
        <w:t>（三）评价选点</w:t>
      </w:r>
    </w:p>
    <w:p w14:paraId="7CA7B05A">
      <w:pPr>
        <w:adjustRightInd w:val="0"/>
        <w:snapToGrid w:val="0"/>
        <w:spacing w:line="578" w:lineRule="exact"/>
        <w:ind w:firstLine="640" w:firstLineChars="200"/>
        <w:rPr>
          <w:lang w:val="zh-CN"/>
        </w:rPr>
      </w:pPr>
      <w:r>
        <w:rPr>
          <w:rFonts w:hint="eastAsia"/>
          <w:lang w:val="zh-CN"/>
        </w:rPr>
        <w:t>本项目不涉及评价选点，此次绩效自评对本单位202</w:t>
      </w:r>
      <w:r>
        <w:rPr>
          <w:rFonts w:hint="eastAsia"/>
          <w:lang w:val="en-US" w:eastAsia="zh-CN"/>
        </w:rPr>
        <w:t>4</w:t>
      </w:r>
      <w:r>
        <w:rPr>
          <w:rFonts w:hint="eastAsia"/>
          <w:lang w:val="zh-CN"/>
        </w:rPr>
        <w:t>派驻纪检工作组经费项目实施的所有内容进行评价。</w:t>
      </w:r>
    </w:p>
    <w:p w14:paraId="72B092E1">
      <w:pPr>
        <w:spacing w:line="578" w:lineRule="exact"/>
        <w:ind w:firstLine="640"/>
        <w:rPr>
          <w:rFonts w:ascii="楷体_GB2312" w:hAnsi="宋体" w:eastAsia="楷体_GB2312"/>
          <w:b/>
          <w:lang w:val="zh-CN"/>
        </w:rPr>
      </w:pPr>
      <w:r>
        <w:rPr>
          <w:rFonts w:hint="eastAsia" w:ascii="楷体_GB2312" w:hAnsi="宋体" w:eastAsia="楷体_GB2312"/>
          <w:b/>
          <w:lang w:val="zh-CN"/>
        </w:rPr>
        <w:t>（四）评价方法</w:t>
      </w:r>
    </w:p>
    <w:p w14:paraId="33B9DBA1">
      <w:pPr>
        <w:spacing w:line="578" w:lineRule="exact"/>
        <w:ind w:firstLine="640"/>
      </w:pPr>
      <w:r>
        <w:rPr>
          <w:rFonts w:hint="eastAsia"/>
        </w:rPr>
        <w:t>根据项目情况和评价重点，采用单位自评法、实地勘察法、问卷调查法等多种方法对202</w:t>
      </w:r>
      <w:r>
        <w:rPr>
          <w:rFonts w:hint="eastAsia"/>
          <w:lang w:val="en-US" w:eastAsia="zh-CN"/>
        </w:rPr>
        <w:t>4</w:t>
      </w:r>
      <w:r>
        <w:rPr>
          <w:rFonts w:hint="eastAsia"/>
        </w:rPr>
        <w:t>派驻纪检工作组经费项目绩效完成情况进行评价。</w:t>
      </w:r>
    </w:p>
    <w:p w14:paraId="5EA0AF96">
      <w:pPr>
        <w:spacing w:line="578" w:lineRule="exact"/>
        <w:ind w:firstLine="640"/>
        <w:rPr>
          <w:rFonts w:ascii="楷体_GB2312" w:hAnsi="宋体" w:eastAsia="楷体_GB2312"/>
          <w:b/>
          <w:lang w:val="zh-CN"/>
        </w:rPr>
      </w:pPr>
      <w:r>
        <w:rPr>
          <w:rFonts w:hint="eastAsia" w:ascii="楷体_GB2312" w:hAnsi="宋体" w:eastAsia="楷体_GB2312"/>
          <w:b/>
          <w:lang w:val="zh-CN"/>
        </w:rPr>
        <w:t>（五）评价组织</w:t>
      </w:r>
    </w:p>
    <w:p w14:paraId="66130A4B">
      <w:pPr>
        <w:spacing w:line="578" w:lineRule="exact"/>
        <w:ind w:firstLine="640"/>
        <w:rPr>
          <w:bCs/>
        </w:rPr>
      </w:pPr>
      <w:r>
        <w:rPr>
          <w:rFonts w:hint="eastAsia"/>
        </w:rPr>
        <w:t>评价组人员由项目管理人员和财务人员组成，项目管理人员主要负责对项目决策、项目管理、项目实施、项目结果等涉及指标进行评价；财务人员主要负责对资金用途合规性、程序合规性、标准合规性等涉及指标进行评价。</w:t>
      </w:r>
    </w:p>
    <w:p w14:paraId="63795DB7">
      <w:pPr>
        <w:adjustRightInd w:val="0"/>
        <w:snapToGrid w:val="0"/>
        <w:spacing w:line="578" w:lineRule="exact"/>
        <w:ind w:firstLine="640" w:firstLineChars="200"/>
        <w:rPr>
          <w:rFonts w:ascii="仿宋_GB2312" w:hAnsi="宋体"/>
          <w:lang w:val="zh-CN"/>
        </w:rPr>
      </w:pPr>
      <w:r>
        <w:rPr>
          <w:rFonts w:hint="eastAsia" w:ascii="黑体" w:hAnsi="宋体" w:eastAsia="黑体"/>
        </w:rPr>
        <w:t>三、绩效分析</w:t>
      </w:r>
    </w:p>
    <w:p w14:paraId="5ED80977">
      <w:pPr>
        <w:spacing w:line="578" w:lineRule="exact"/>
        <w:ind w:firstLine="640"/>
        <w:rPr>
          <w:rFonts w:ascii="楷体_GB2312" w:hAnsi="宋体" w:eastAsia="楷体_GB2312"/>
          <w:b/>
        </w:rPr>
      </w:pPr>
      <w:r>
        <w:rPr>
          <w:rFonts w:hint="eastAsia" w:ascii="楷体_GB2312" w:hAnsi="宋体" w:eastAsia="楷体_GB2312"/>
          <w:b/>
          <w:lang w:val="zh-CN"/>
        </w:rPr>
        <w:t>（一）</w:t>
      </w:r>
      <w:r>
        <w:rPr>
          <w:rFonts w:hint="eastAsia" w:ascii="楷体_GB2312" w:hAnsi="宋体" w:eastAsia="楷体_GB2312"/>
          <w:b/>
        </w:rPr>
        <w:t>通用指标</w:t>
      </w:r>
      <w:r>
        <w:rPr>
          <w:rFonts w:eastAsia="楷体_GB2312"/>
          <w:b/>
          <w:bCs/>
          <w:color w:val="000000"/>
          <w:kern w:val="0"/>
          <w:shd w:val="clear" w:color="auto" w:fill="FFFFFF"/>
          <w:lang w:val="zh-CN"/>
        </w:rPr>
        <w:t>绩效分析</w:t>
      </w:r>
    </w:p>
    <w:p w14:paraId="38D85ACC">
      <w:pPr>
        <w:spacing w:line="578" w:lineRule="exact"/>
        <w:ind w:firstLine="640"/>
      </w:pPr>
      <w:r>
        <w:rPr>
          <w:rFonts w:hint="eastAsia" w:ascii="楷体_GB2312" w:hAnsi="楷体_GB2312" w:eastAsia="楷体_GB2312" w:cs="楷体_GB2312"/>
        </w:rPr>
        <w:t>1.项目决策。</w:t>
      </w:r>
      <w:r>
        <w:rPr>
          <w:rFonts w:hint="eastAsia"/>
        </w:rPr>
        <w:t>202</w:t>
      </w:r>
      <w:r>
        <w:rPr>
          <w:rFonts w:hint="eastAsia"/>
          <w:lang w:val="en-US" w:eastAsia="zh-CN"/>
        </w:rPr>
        <w:t>4</w:t>
      </w:r>
      <w:r>
        <w:rPr>
          <w:rFonts w:hint="eastAsia"/>
        </w:rPr>
        <w:t>派驻纪检工作组经费项目设立符合资金管理基本规范和决策程序要求，项目决策程序严密；项目规划符合中央、省、市、县有关决策部署安排，项目绩效目标设置科学合理；项目资金与项目总体规划、相关行业事业发展相匹配。</w:t>
      </w:r>
    </w:p>
    <w:p w14:paraId="3B64A4B2">
      <w:pPr>
        <w:spacing w:line="578" w:lineRule="exact"/>
        <w:ind w:firstLine="640"/>
      </w:pPr>
      <w:r>
        <w:rPr>
          <w:rFonts w:hint="eastAsia" w:ascii="楷体_GB2312" w:hAnsi="楷体_GB2312" w:eastAsia="楷体_GB2312" w:cs="楷体_GB2312"/>
        </w:rPr>
        <w:t>2.项目管理。</w:t>
      </w:r>
      <w:r>
        <w:rPr>
          <w:rFonts w:hint="eastAsia"/>
        </w:rPr>
        <w:t>项目制度办法体系健全、要素完备，保障了项目顺利实施；项目管理、审批符合管理要求，能够对项目绩效进行监管。</w:t>
      </w:r>
    </w:p>
    <w:p w14:paraId="3FF42892">
      <w:pPr>
        <w:spacing w:line="578" w:lineRule="exact"/>
        <w:ind w:firstLine="640" w:firstLineChars="200"/>
      </w:pPr>
      <w:r>
        <w:rPr>
          <w:rFonts w:hint="eastAsia" w:ascii="楷体_GB2312" w:hAnsi="楷体_GB2312" w:eastAsia="楷体_GB2312" w:cs="楷体_GB2312"/>
        </w:rPr>
        <w:t>3.项目实施。</w:t>
      </w:r>
      <w:r>
        <w:rPr>
          <w:rFonts w:hint="eastAsia"/>
        </w:rPr>
        <w:t>本项目资金预算申报</w:t>
      </w:r>
      <w:r>
        <w:rPr>
          <w:rFonts w:hint="eastAsia"/>
          <w:lang w:val="en-US" w:eastAsia="zh-CN"/>
        </w:rPr>
        <w:t>18.05</w:t>
      </w:r>
      <w:r>
        <w:rPr>
          <w:rFonts w:hint="eastAsia"/>
        </w:rPr>
        <w:t>万元，实际到位</w:t>
      </w:r>
      <w:r>
        <w:rPr>
          <w:rFonts w:hint="eastAsia"/>
          <w:lang w:val="en-US" w:eastAsia="zh-CN"/>
        </w:rPr>
        <w:t>18.05</w:t>
      </w:r>
      <w:r>
        <w:rPr>
          <w:rFonts w:hint="eastAsia"/>
        </w:rPr>
        <w:t>万元，资金到位率100%；截至202</w:t>
      </w:r>
      <w:r>
        <w:rPr>
          <w:rFonts w:hint="eastAsia"/>
          <w:lang w:val="en-US" w:eastAsia="zh-CN"/>
        </w:rPr>
        <w:t>4</w:t>
      </w:r>
      <w:r>
        <w:rPr>
          <w:rFonts w:hint="eastAsia"/>
        </w:rPr>
        <w:t>年12月31日，本项目实际支出资金</w:t>
      </w:r>
      <w:r>
        <w:rPr>
          <w:rFonts w:hint="eastAsia"/>
          <w:lang w:val="en-US" w:eastAsia="zh-CN"/>
        </w:rPr>
        <w:t>18.05</w:t>
      </w:r>
      <w:r>
        <w:rPr>
          <w:rFonts w:hint="eastAsia"/>
        </w:rPr>
        <w:t>万元，预算执行率100%。</w:t>
      </w:r>
    </w:p>
    <w:p w14:paraId="3A52847E">
      <w:pPr>
        <w:adjustRightInd w:val="0"/>
        <w:snapToGrid w:val="0"/>
        <w:spacing w:line="578" w:lineRule="exact"/>
        <w:ind w:firstLine="640" w:firstLineChars="200"/>
        <w:rPr>
          <w:rFonts w:ascii="仿宋_GB2312" w:hAnsi="仿宋_GB2312" w:cs="仿宋_GB2312"/>
          <w:kern w:val="0"/>
          <w:shd w:val="clear" w:color="auto" w:fill="FFFFFF"/>
          <w:lang w:val="zh-CN"/>
        </w:rPr>
      </w:pPr>
      <w:r>
        <w:rPr>
          <w:rFonts w:hint="eastAsia" w:ascii="楷体_GB2312" w:hAnsi="楷体_GB2312" w:eastAsia="楷体_GB2312" w:cs="楷体_GB2312"/>
        </w:rPr>
        <w:t>4.项目结果。</w:t>
      </w:r>
      <w:r>
        <w:rPr>
          <w:rFonts w:hint="eastAsia"/>
        </w:rPr>
        <w:t>本单位围绕项目绩效目标认真履职，202</w:t>
      </w:r>
      <w:r>
        <w:rPr>
          <w:rFonts w:hint="eastAsia"/>
          <w:lang w:val="en-US" w:eastAsia="zh-CN"/>
        </w:rPr>
        <w:t>4</w:t>
      </w:r>
      <w:r>
        <w:rPr>
          <w:rFonts w:hint="eastAsia"/>
        </w:rPr>
        <w:t>派驻纪检工作组经费项目按计划实施，完成相关会议调研次数</w:t>
      </w:r>
      <w:r>
        <w:rPr>
          <w:rFonts w:hint="eastAsia"/>
          <w:lang w:val="en-US" w:eastAsia="zh-CN"/>
        </w:rPr>
        <w:t>50余</w:t>
      </w:r>
      <w:r>
        <w:rPr>
          <w:rFonts w:hint="eastAsia"/>
        </w:rPr>
        <w:t>次，</w:t>
      </w:r>
      <w:r>
        <w:rPr>
          <w:rFonts w:hint="eastAsia"/>
          <w:lang w:val="en-US" w:eastAsia="zh-CN"/>
        </w:rPr>
        <w:t>问题线索处置率达100%，社会满意度90%以上。</w:t>
      </w:r>
    </w:p>
    <w:p w14:paraId="0EA75717">
      <w:pPr>
        <w:spacing w:line="578" w:lineRule="exact"/>
        <w:ind w:firstLine="321" w:firstLineChars="100"/>
        <w:rPr>
          <w:rFonts w:eastAsia="楷体_GB2312"/>
          <w:b/>
          <w:bCs/>
          <w:color w:val="000000"/>
          <w:kern w:val="0"/>
          <w:shd w:val="clear" w:color="auto" w:fill="FFFFFF"/>
          <w:lang w:val="zh-CN"/>
        </w:rPr>
      </w:pPr>
      <w:r>
        <w:rPr>
          <w:rFonts w:hint="eastAsia" w:ascii="楷体_GB2312" w:hAnsi="宋体" w:eastAsia="楷体_GB2312"/>
          <w:b/>
          <w:lang w:val="zh-CN"/>
        </w:rPr>
        <w:t>（二）</w:t>
      </w:r>
      <w:r>
        <w:rPr>
          <w:rFonts w:hint="eastAsia" w:ascii="楷体_GB2312" w:hAnsi="宋体" w:eastAsia="楷体_GB2312"/>
          <w:b/>
        </w:rPr>
        <w:t>专用指标</w:t>
      </w:r>
      <w:r>
        <w:rPr>
          <w:rFonts w:eastAsia="楷体_GB2312"/>
          <w:b/>
          <w:bCs/>
          <w:color w:val="000000"/>
          <w:kern w:val="0"/>
          <w:shd w:val="clear" w:color="auto" w:fill="FFFFFF"/>
          <w:lang w:val="zh-CN"/>
        </w:rPr>
        <w:t>绩效分析</w:t>
      </w:r>
    </w:p>
    <w:p w14:paraId="228185E0">
      <w:pPr>
        <w:spacing w:line="578" w:lineRule="exact"/>
        <w:ind w:firstLine="640" w:firstLineChars="200"/>
      </w:pPr>
      <w:r>
        <w:rPr>
          <w:rFonts w:hint="eastAsia" w:ascii="楷体_GB2312" w:hAnsi="楷体_GB2312" w:eastAsia="楷体_GB2312" w:cs="楷体_GB2312"/>
          <w:lang w:val="zh-CN"/>
        </w:rPr>
        <w:t>行政运转。</w:t>
      </w:r>
      <w:r>
        <w:rPr>
          <w:rFonts w:hint="eastAsia"/>
          <w:lang w:val="zh-CN"/>
        </w:rPr>
        <w:t>本项目资金均在规定用途、适用范围内进行资金分配，资金管理程序符合专项资金管理要求，资金分配标准符合专项资金管理要求，未发现资金管理和使用过程中不符合专项资金管理要求的情况。</w:t>
      </w:r>
    </w:p>
    <w:p w14:paraId="76CB904E">
      <w:pPr>
        <w:spacing w:line="578" w:lineRule="exact"/>
        <w:ind w:firstLine="640"/>
        <w:rPr>
          <w:rFonts w:eastAsia="楷体_GB2312"/>
          <w:b/>
          <w:bCs/>
          <w:color w:val="000000"/>
          <w:kern w:val="0"/>
          <w:shd w:val="clear" w:color="auto" w:fill="FFFFFF"/>
          <w:lang w:val="zh-CN"/>
        </w:rPr>
      </w:pPr>
      <w:r>
        <w:rPr>
          <w:rFonts w:hint="eastAsia" w:ascii="楷体_GB2312" w:hAnsi="宋体" w:eastAsia="楷体_GB2312"/>
          <w:b/>
          <w:lang w:val="zh-CN"/>
        </w:rPr>
        <w:t>（三）</w:t>
      </w:r>
      <w:r>
        <w:rPr>
          <w:rFonts w:hint="eastAsia" w:ascii="楷体_GB2312" w:hAnsi="宋体" w:eastAsia="楷体_GB2312"/>
          <w:b/>
        </w:rPr>
        <w:t>个性指标</w:t>
      </w:r>
      <w:r>
        <w:rPr>
          <w:rFonts w:eastAsia="楷体_GB2312"/>
          <w:b/>
          <w:bCs/>
          <w:color w:val="000000"/>
          <w:kern w:val="0"/>
          <w:shd w:val="clear" w:color="auto" w:fill="FFFFFF"/>
          <w:lang w:val="zh-CN"/>
        </w:rPr>
        <w:t>绩效分析</w:t>
      </w:r>
    </w:p>
    <w:p w14:paraId="4DA43273">
      <w:pPr>
        <w:spacing w:line="578" w:lineRule="exact"/>
        <w:ind w:firstLine="640"/>
        <w:rPr>
          <w:lang w:val="zh-CN"/>
        </w:rPr>
      </w:pPr>
      <w:r>
        <w:rPr>
          <w:rFonts w:hint="eastAsia"/>
          <w:lang w:val="zh-CN"/>
        </w:rPr>
        <w:t>1.立案案件办结率</w:t>
      </w:r>
    </w:p>
    <w:p w14:paraId="7EF2C45B">
      <w:pPr>
        <w:spacing w:line="578" w:lineRule="exact"/>
        <w:ind w:firstLine="640"/>
        <w:rPr>
          <w:lang w:val="zh-CN"/>
        </w:rPr>
      </w:pPr>
      <w:r>
        <w:rPr>
          <w:rFonts w:hint="eastAsia"/>
          <w:lang w:val="zh-CN"/>
        </w:rPr>
        <w:t>通过实施该项目，保障了派驻纪检组日常运转，立案案件办结率达100%。</w:t>
      </w:r>
    </w:p>
    <w:p w14:paraId="455EF4EA">
      <w:pPr>
        <w:spacing w:line="578" w:lineRule="exact"/>
        <w:ind w:firstLine="640"/>
        <w:rPr>
          <w:lang w:val="zh-CN"/>
        </w:rPr>
      </w:pPr>
      <w:r>
        <w:rPr>
          <w:rFonts w:hint="eastAsia"/>
          <w:lang w:val="zh-CN"/>
        </w:rPr>
        <w:t>2.促进相关政策落地落实</w:t>
      </w:r>
    </w:p>
    <w:p w14:paraId="142C25F8">
      <w:pPr>
        <w:spacing w:line="578" w:lineRule="exact"/>
        <w:ind w:firstLine="640"/>
        <w:rPr>
          <w:lang w:val="zh-CN"/>
        </w:rPr>
      </w:pPr>
      <w:r>
        <w:rPr>
          <w:rFonts w:hint="eastAsia"/>
          <w:lang w:val="zh-CN"/>
        </w:rPr>
        <w:t>通过实施该项目，促进相关政策落地落实15类，为高质量推进党风廉政建设提供坚强保障。</w:t>
      </w:r>
    </w:p>
    <w:p w14:paraId="7DFCFDD1">
      <w:pPr>
        <w:spacing w:line="578" w:lineRule="exact"/>
        <w:ind w:firstLine="640"/>
        <w:rPr>
          <w:lang w:val="zh-CN"/>
        </w:rPr>
      </w:pPr>
      <w:r>
        <w:rPr>
          <w:rFonts w:hint="eastAsia"/>
          <w:lang w:val="zh-CN"/>
        </w:rPr>
        <w:t>3.办案人员被投诉次数</w:t>
      </w:r>
    </w:p>
    <w:p w14:paraId="6A0BC3E5">
      <w:pPr>
        <w:numPr>
          <w:ilvl w:val="0"/>
          <w:numId w:val="0"/>
        </w:numPr>
        <w:spacing w:line="578" w:lineRule="exact"/>
        <w:ind w:firstLine="640" w:firstLineChars="200"/>
        <w:rPr>
          <w:lang w:val="zh-CN"/>
        </w:rPr>
      </w:pPr>
      <w:r>
        <w:rPr>
          <w:rFonts w:hint="eastAsia"/>
          <w:lang w:val="zh-CN"/>
        </w:rPr>
        <w:t>通过实施该项目，办案人员被投诉次数显著减少，群众认可度得到了提升。</w:t>
      </w:r>
    </w:p>
    <w:p w14:paraId="12694F0A">
      <w:pPr>
        <w:pStyle w:val="12"/>
        <w:tabs>
          <w:tab w:val="left" w:pos="2160"/>
        </w:tabs>
        <w:spacing w:line="600" w:lineRule="exact"/>
        <w:ind w:firstLine="640" w:firstLineChars="200"/>
        <w:rPr>
          <w:rFonts w:ascii="黑体" w:hAnsi="宋体"/>
          <w:sz w:val="32"/>
          <w:szCs w:val="32"/>
          <w:lang w:eastAsia="zh-CN"/>
        </w:rPr>
      </w:pPr>
      <w:r>
        <w:rPr>
          <w:rFonts w:hint="eastAsia" w:ascii="黑体" w:hAnsi="宋体"/>
          <w:sz w:val="32"/>
          <w:szCs w:val="32"/>
          <w:lang w:eastAsia="zh-CN"/>
        </w:rPr>
        <w:t>四、评价结论</w:t>
      </w:r>
    </w:p>
    <w:p w14:paraId="43F79433">
      <w:pPr>
        <w:pStyle w:val="12"/>
        <w:tabs>
          <w:tab w:val="left" w:pos="2160"/>
        </w:tabs>
        <w:spacing w:line="600" w:lineRule="exact"/>
        <w:ind w:firstLine="640" w:firstLineChars="200"/>
        <w:rPr>
          <w:rFonts w:ascii="黑体" w:hAnsi="黑体" w:cs="黑体"/>
          <w:kern w:val="2"/>
          <w:position w:val="0"/>
          <w:sz w:val="32"/>
          <w:szCs w:val="32"/>
          <w:lang w:eastAsia="zh-CN"/>
        </w:rPr>
      </w:pPr>
      <w:r>
        <w:rPr>
          <w:rFonts w:hint="eastAsia" w:ascii="仿宋_GB2312" w:hAnsi="仿宋_GB2312" w:eastAsia="仿宋_GB2312" w:cs="仿宋_GB2312"/>
          <w:position w:val="0"/>
          <w:sz w:val="32"/>
          <w:szCs w:val="32"/>
          <w:lang w:eastAsia="zh-CN"/>
        </w:rPr>
        <w:t>202</w:t>
      </w:r>
      <w:r>
        <w:rPr>
          <w:rFonts w:hint="eastAsia" w:ascii="仿宋_GB2312" w:hAnsi="仿宋_GB2312" w:eastAsia="仿宋_GB2312" w:cs="仿宋_GB2312"/>
          <w:position w:val="0"/>
          <w:sz w:val="32"/>
          <w:szCs w:val="32"/>
          <w:lang w:val="en-US" w:eastAsia="zh-CN"/>
        </w:rPr>
        <w:t>4</w:t>
      </w:r>
      <w:r>
        <w:rPr>
          <w:rFonts w:hint="eastAsia" w:ascii="仿宋_GB2312" w:hAnsi="仿宋_GB2312" w:eastAsia="仿宋_GB2312" w:cs="仿宋_GB2312"/>
          <w:position w:val="0"/>
          <w:sz w:val="32"/>
          <w:szCs w:val="32"/>
          <w:lang w:eastAsia="zh-CN"/>
        </w:rPr>
        <w:t>派驻纪检工作组经费项目决策依据充分，目标明确；项目实施过程资金管理科学，财务控制和业务控制规范；项目绩效目标完成情况达到预期效果，绩效自评得分为100分</w:t>
      </w:r>
      <w:r>
        <w:rPr>
          <w:rFonts w:hint="eastAsia" w:ascii="仿宋_GB2312" w:hAnsi="仿宋_GB2312" w:eastAsia="仿宋_GB2312" w:cs="仿宋_GB2312"/>
          <w:sz w:val="32"/>
          <w:szCs w:val="32"/>
          <w:lang w:val="zh-CN" w:eastAsia="zh-CN"/>
        </w:rPr>
        <w:t>。</w:t>
      </w:r>
    </w:p>
    <w:p w14:paraId="54795B13">
      <w:pPr>
        <w:pStyle w:val="12"/>
        <w:tabs>
          <w:tab w:val="left" w:pos="2160"/>
        </w:tabs>
        <w:spacing w:line="600" w:lineRule="exact"/>
        <w:ind w:firstLine="640" w:firstLineChars="200"/>
        <w:rPr>
          <w:rFonts w:ascii="黑体" w:hAnsi="宋体"/>
          <w:sz w:val="32"/>
          <w:szCs w:val="32"/>
          <w:lang w:eastAsia="zh-CN"/>
        </w:rPr>
      </w:pPr>
      <w:r>
        <w:rPr>
          <w:rFonts w:hint="eastAsia" w:ascii="黑体" w:hAnsi="宋体"/>
          <w:sz w:val="32"/>
          <w:szCs w:val="32"/>
          <w:lang w:eastAsia="zh-CN"/>
        </w:rPr>
        <w:t>五、存在主要问题</w:t>
      </w:r>
    </w:p>
    <w:p w14:paraId="59AD9391">
      <w:pPr>
        <w:pStyle w:val="12"/>
        <w:tabs>
          <w:tab w:val="left" w:pos="2160"/>
        </w:tabs>
        <w:spacing w:line="600" w:lineRule="exact"/>
        <w:ind w:firstLine="640" w:firstLineChars="200"/>
        <w:rPr>
          <w:rFonts w:ascii="黑体" w:hAnsi="黑体" w:cs="黑体"/>
          <w:kern w:val="2"/>
          <w:position w:val="0"/>
          <w:sz w:val="32"/>
          <w:szCs w:val="32"/>
          <w:lang w:eastAsia="zh-CN"/>
        </w:rPr>
      </w:pPr>
      <w:r>
        <w:rPr>
          <w:rFonts w:hint="eastAsia" w:ascii="仿宋_GB2312" w:hAnsi="仿宋_GB2312" w:eastAsia="仿宋_GB2312" w:cs="仿宋_GB2312"/>
          <w:position w:val="0"/>
          <w:sz w:val="32"/>
          <w:szCs w:val="32"/>
          <w:lang w:eastAsia="zh-CN"/>
        </w:rPr>
        <w:t>无。</w:t>
      </w:r>
    </w:p>
    <w:p w14:paraId="57EC51CA">
      <w:pPr>
        <w:pStyle w:val="12"/>
        <w:tabs>
          <w:tab w:val="left" w:pos="2160"/>
        </w:tabs>
        <w:spacing w:line="600" w:lineRule="exact"/>
        <w:ind w:firstLine="640" w:firstLineChars="200"/>
        <w:rPr>
          <w:rFonts w:ascii="黑体" w:hAnsi="宋体"/>
          <w:sz w:val="32"/>
          <w:szCs w:val="32"/>
          <w:lang w:val="zh-CN" w:eastAsia="zh-CN"/>
        </w:rPr>
      </w:pPr>
      <w:r>
        <w:rPr>
          <w:rFonts w:hint="eastAsia" w:ascii="黑体" w:hAnsi="宋体"/>
          <w:sz w:val="32"/>
          <w:szCs w:val="32"/>
          <w:lang w:val="zh-CN" w:eastAsia="zh-CN"/>
        </w:rPr>
        <w:t>六、改进建议</w:t>
      </w:r>
    </w:p>
    <w:p w14:paraId="31B30EC8">
      <w:pPr>
        <w:pStyle w:val="12"/>
        <w:tabs>
          <w:tab w:val="left" w:pos="2160"/>
        </w:tabs>
        <w:spacing w:line="600" w:lineRule="exact"/>
        <w:ind w:firstLine="640" w:firstLineChars="200"/>
        <w:rPr>
          <w:rFonts w:hint="eastAsia" w:ascii="仿宋_GB2312" w:hAnsi="仿宋_GB2312" w:eastAsia="仿宋_GB2312" w:cs="仿宋_GB2312"/>
          <w:position w:val="0"/>
          <w:sz w:val="32"/>
          <w:szCs w:val="32"/>
          <w:lang w:eastAsia="zh-CN"/>
        </w:rPr>
      </w:pPr>
      <w:r>
        <w:rPr>
          <w:rFonts w:hint="eastAsia" w:ascii="仿宋_GB2312" w:hAnsi="仿宋_GB2312" w:eastAsia="仿宋_GB2312" w:cs="仿宋_GB2312"/>
          <w:position w:val="0"/>
          <w:sz w:val="32"/>
          <w:szCs w:val="32"/>
          <w:lang w:eastAsia="zh-CN"/>
        </w:rPr>
        <w:t>无。</w:t>
      </w:r>
    </w:p>
    <w:tbl>
      <w:tblPr>
        <w:tblStyle w:val="22"/>
        <w:tblW w:w="5000" w:type="pct"/>
        <w:jc w:val="center"/>
        <w:tblLayout w:type="autofit"/>
        <w:tblCellMar>
          <w:top w:w="15" w:type="dxa"/>
          <w:left w:w="15" w:type="dxa"/>
          <w:bottom w:w="15" w:type="dxa"/>
          <w:right w:w="15" w:type="dxa"/>
        </w:tblCellMar>
      </w:tblPr>
      <w:tblGrid>
        <w:gridCol w:w="566"/>
        <w:gridCol w:w="941"/>
        <w:gridCol w:w="1085"/>
        <w:gridCol w:w="1138"/>
        <w:gridCol w:w="978"/>
        <w:gridCol w:w="841"/>
        <w:gridCol w:w="921"/>
        <w:gridCol w:w="813"/>
        <w:gridCol w:w="1592"/>
      </w:tblGrid>
      <w:tr w14:paraId="264A46EB">
        <w:tblPrEx>
          <w:tblCellMar>
            <w:top w:w="15" w:type="dxa"/>
            <w:left w:w="15" w:type="dxa"/>
            <w:bottom w:w="15" w:type="dxa"/>
            <w:right w:w="15" w:type="dxa"/>
          </w:tblCellMar>
        </w:tblPrEx>
        <w:trPr>
          <w:trHeight w:val="576" w:hRule="atLeast"/>
          <w:jc w:val="center"/>
        </w:trPr>
        <w:tc>
          <w:tcPr>
            <w:tcW w:w="5000" w:type="pct"/>
            <w:gridSpan w:val="9"/>
            <w:shd w:val="clear" w:color="auto" w:fill="auto"/>
            <w:vAlign w:val="center"/>
          </w:tcPr>
          <w:p w14:paraId="07822149">
            <w:pPr>
              <w:widowControl/>
              <w:spacing w:line="600" w:lineRule="exact"/>
              <w:jc w:val="center"/>
              <w:textAlignment w:val="center"/>
              <w:rPr>
                <w:rFonts w:hint="eastAsia" w:ascii="方正仿宋_GB2312" w:hAnsi="方正仿宋_GB2312" w:eastAsia="方正仿宋_GB2312" w:cs="方正仿宋_GB2312"/>
                <w:color w:val="000000"/>
                <w:kern w:val="0"/>
                <w:sz w:val="40"/>
                <w:szCs w:val="40"/>
                <w:lang w:bidi="ar"/>
              </w:rPr>
            </w:pPr>
          </w:p>
          <w:p w14:paraId="48E4249A">
            <w:pPr>
              <w:widowControl/>
              <w:spacing w:line="600" w:lineRule="exact"/>
              <w:jc w:val="center"/>
              <w:textAlignment w:val="center"/>
              <w:rPr>
                <w:rFonts w:hint="eastAsia" w:ascii="方正仿宋_GB2312" w:hAnsi="方正仿宋_GB2312" w:eastAsia="方正仿宋_GB2312" w:cs="方正仿宋_GB2312"/>
                <w:color w:val="000000"/>
                <w:kern w:val="0"/>
                <w:sz w:val="40"/>
                <w:szCs w:val="40"/>
                <w:lang w:bidi="ar"/>
              </w:rPr>
            </w:pPr>
          </w:p>
          <w:p w14:paraId="368E31BC">
            <w:pPr>
              <w:widowControl/>
              <w:spacing w:line="600" w:lineRule="exact"/>
              <w:jc w:val="center"/>
              <w:textAlignment w:val="center"/>
              <w:rPr>
                <w:rFonts w:hint="eastAsia" w:ascii="方正仿宋_GB2312" w:hAnsi="方正仿宋_GB2312" w:eastAsia="方正仿宋_GB2312" w:cs="方正仿宋_GB2312"/>
                <w:color w:val="000000"/>
                <w:kern w:val="0"/>
                <w:sz w:val="40"/>
                <w:szCs w:val="40"/>
                <w:lang w:bidi="ar"/>
              </w:rPr>
            </w:pPr>
          </w:p>
          <w:p w14:paraId="2698D99A">
            <w:pPr>
              <w:widowControl/>
              <w:spacing w:line="600" w:lineRule="exact"/>
              <w:jc w:val="center"/>
              <w:textAlignment w:val="center"/>
              <w:rPr>
                <w:rFonts w:hint="eastAsia" w:ascii="方正仿宋_GB2312" w:hAnsi="方正仿宋_GB2312" w:eastAsia="方正仿宋_GB2312" w:cs="方正仿宋_GB2312"/>
                <w:color w:val="000000"/>
                <w:kern w:val="0"/>
                <w:sz w:val="40"/>
                <w:szCs w:val="40"/>
                <w:lang w:bidi="ar"/>
              </w:rPr>
            </w:pPr>
          </w:p>
          <w:p w14:paraId="46250616">
            <w:pPr>
              <w:widowControl/>
              <w:spacing w:line="600" w:lineRule="exact"/>
              <w:jc w:val="center"/>
              <w:textAlignment w:val="center"/>
              <w:rPr>
                <w:rFonts w:hint="eastAsia" w:ascii="方正仿宋_GB2312" w:hAnsi="方正仿宋_GB2312" w:eastAsia="方正仿宋_GB2312" w:cs="方正仿宋_GB2312"/>
                <w:color w:val="000000"/>
                <w:kern w:val="0"/>
                <w:sz w:val="40"/>
                <w:szCs w:val="40"/>
                <w:lang w:bidi="ar"/>
              </w:rPr>
            </w:pPr>
          </w:p>
          <w:p w14:paraId="769EA4C1">
            <w:pPr>
              <w:widowControl/>
              <w:spacing w:line="600" w:lineRule="exact"/>
              <w:jc w:val="center"/>
              <w:textAlignment w:val="center"/>
              <w:rPr>
                <w:rFonts w:ascii="黑体" w:hAnsi="宋体" w:eastAsia="黑体" w:cs="黑体"/>
                <w:color w:val="000000"/>
                <w:sz w:val="30"/>
                <w:szCs w:val="30"/>
              </w:rPr>
            </w:pPr>
            <w:r>
              <w:rPr>
                <w:rFonts w:hint="eastAsia" w:ascii="方正仿宋_GB2312" w:hAnsi="方正仿宋_GB2312" w:eastAsia="方正仿宋_GB2312" w:cs="方正仿宋_GB2312"/>
                <w:color w:val="000000"/>
                <w:kern w:val="0"/>
                <w:sz w:val="40"/>
                <w:szCs w:val="40"/>
                <w:lang w:bidi="ar"/>
              </w:rPr>
              <w:t>专项预算项目绩效目标完成情况自评表</w:t>
            </w:r>
          </w:p>
        </w:tc>
      </w:tr>
      <w:tr w14:paraId="58C5F142">
        <w:tblPrEx>
          <w:tblCellMar>
            <w:top w:w="15" w:type="dxa"/>
            <w:left w:w="15" w:type="dxa"/>
            <w:bottom w:w="15" w:type="dxa"/>
            <w:right w:w="15" w:type="dxa"/>
          </w:tblCellMar>
        </w:tblPrEx>
        <w:trPr>
          <w:trHeight w:val="23" w:hRule="atLeast"/>
          <w:jc w:val="center"/>
        </w:trPr>
        <w:tc>
          <w:tcPr>
            <w:tcW w:w="2101"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6580660">
            <w:pPr>
              <w:widowControl/>
              <w:spacing w:line="300" w:lineRule="exact"/>
              <w:jc w:val="left"/>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项目名称</w:t>
            </w:r>
          </w:p>
        </w:tc>
        <w:tc>
          <w:tcPr>
            <w:tcW w:w="2899"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C100E07">
            <w:pPr>
              <w:spacing w:line="300" w:lineRule="exact"/>
              <w:rPr>
                <w:rFonts w:ascii="宋体" w:hAnsi="宋体" w:eastAsia="宋体" w:cs="宋体"/>
                <w:color w:val="000000"/>
                <w:sz w:val="24"/>
                <w:szCs w:val="24"/>
              </w:rPr>
            </w:pPr>
            <w:r>
              <w:rPr>
                <w:rFonts w:hint="eastAsia" w:ascii="宋体" w:hAnsi="宋体" w:eastAsia="宋体" w:cs="宋体"/>
                <w:color w:val="000000"/>
                <w:sz w:val="24"/>
                <w:szCs w:val="24"/>
              </w:rPr>
              <w:t>202</w:t>
            </w:r>
            <w:r>
              <w:rPr>
                <w:rFonts w:hint="eastAsia" w:ascii="宋体" w:hAnsi="宋体" w:eastAsia="宋体" w:cs="宋体"/>
                <w:color w:val="000000"/>
                <w:sz w:val="24"/>
                <w:szCs w:val="24"/>
                <w:lang w:val="en-US" w:eastAsia="zh-CN"/>
              </w:rPr>
              <w:t>4年</w:t>
            </w:r>
            <w:r>
              <w:rPr>
                <w:rFonts w:hint="eastAsia" w:ascii="宋体" w:hAnsi="宋体" w:eastAsia="宋体" w:cs="宋体"/>
                <w:color w:val="000000"/>
                <w:sz w:val="24"/>
                <w:szCs w:val="24"/>
              </w:rPr>
              <w:t>派驻纪检组工作经费</w:t>
            </w:r>
          </w:p>
        </w:tc>
      </w:tr>
      <w:tr w14:paraId="767B3AD9">
        <w:tblPrEx>
          <w:tblCellMar>
            <w:top w:w="15" w:type="dxa"/>
            <w:left w:w="15" w:type="dxa"/>
            <w:bottom w:w="15" w:type="dxa"/>
            <w:right w:w="15" w:type="dxa"/>
          </w:tblCellMar>
        </w:tblPrEx>
        <w:trPr>
          <w:trHeight w:val="23" w:hRule="atLeast"/>
          <w:jc w:val="center"/>
        </w:trPr>
        <w:tc>
          <w:tcPr>
            <w:tcW w:w="2101"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3ABFD4C">
            <w:pPr>
              <w:widowControl/>
              <w:spacing w:line="300" w:lineRule="exact"/>
              <w:jc w:val="left"/>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预算单位</w:t>
            </w:r>
          </w:p>
        </w:tc>
        <w:tc>
          <w:tcPr>
            <w:tcW w:w="2899"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54B1E05">
            <w:pPr>
              <w:spacing w:line="300" w:lineRule="exact"/>
              <w:rPr>
                <w:rFonts w:ascii="宋体" w:hAnsi="宋体" w:eastAsia="宋体" w:cs="宋体"/>
                <w:color w:val="000000"/>
                <w:sz w:val="24"/>
                <w:szCs w:val="24"/>
              </w:rPr>
            </w:pPr>
            <w:r>
              <w:rPr>
                <w:rFonts w:hint="eastAsia" w:ascii="宋体" w:hAnsi="宋体" w:eastAsia="宋体" w:cs="宋体"/>
                <w:color w:val="000000"/>
                <w:sz w:val="24"/>
                <w:szCs w:val="24"/>
                <w:lang w:val="en-US" w:eastAsia="zh-CN"/>
              </w:rPr>
              <w:t>渠县人民政府</w:t>
            </w:r>
            <w:r>
              <w:rPr>
                <w:rFonts w:hint="eastAsia" w:ascii="宋体" w:hAnsi="宋体" w:eastAsia="宋体" w:cs="宋体"/>
                <w:color w:val="000000"/>
                <w:sz w:val="24"/>
                <w:szCs w:val="24"/>
              </w:rPr>
              <w:t>办公室</w:t>
            </w:r>
          </w:p>
        </w:tc>
      </w:tr>
      <w:tr w14:paraId="0198FFBC">
        <w:tblPrEx>
          <w:tblCellMar>
            <w:top w:w="15" w:type="dxa"/>
            <w:left w:w="15" w:type="dxa"/>
            <w:bottom w:w="15" w:type="dxa"/>
            <w:right w:w="15" w:type="dxa"/>
          </w:tblCellMar>
        </w:tblPrEx>
        <w:trPr>
          <w:trHeight w:val="23" w:hRule="atLeast"/>
          <w:jc w:val="center"/>
        </w:trPr>
        <w:tc>
          <w:tcPr>
            <w:tcW w:w="2101"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9F80A33">
            <w:pPr>
              <w:widowControl/>
              <w:spacing w:line="300" w:lineRule="exact"/>
              <w:jc w:val="left"/>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项目类型</w:t>
            </w:r>
          </w:p>
        </w:tc>
        <w:tc>
          <w:tcPr>
            <w:tcW w:w="2899"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DABE8A8">
            <w:pPr>
              <w:spacing w:line="300" w:lineRule="exact"/>
              <w:jc w:val="left"/>
              <w:rPr>
                <w:rFonts w:ascii="宋体" w:hAnsi="宋体" w:eastAsia="宋体" w:cs="宋体"/>
                <w:color w:val="000000"/>
                <w:sz w:val="24"/>
                <w:szCs w:val="24"/>
              </w:rPr>
            </w:pPr>
          </w:p>
        </w:tc>
      </w:tr>
      <w:tr w14:paraId="2D527767">
        <w:tblPrEx>
          <w:tblCellMar>
            <w:top w:w="15" w:type="dxa"/>
            <w:left w:w="15" w:type="dxa"/>
            <w:bottom w:w="15" w:type="dxa"/>
            <w:right w:w="15" w:type="dxa"/>
          </w:tblCellMar>
        </w:tblPrEx>
        <w:trPr>
          <w:trHeight w:val="23" w:hRule="atLeast"/>
          <w:jc w:val="center"/>
        </w:trPr>
        <w:tc>
          <w:tcPr>
            <w:tcW w:w="3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E22260">
            <w:pPr>
              <w:widowControl/>
              <w:spacing w:line="30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项目 概况</w:t>
            </w:r>
          </w:p>
        </w:tc>
        <w:tc>
          <w:tcPr>
            <w:tcW w:w="178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BAA196C">
            <w:pPr>
              <w:widowControl/>
              <w:spacing w:line="300" w:lineRule="exact"/>
              <w:jc w:val="left"/>
              <w:textAlignment w:val="center"/>
              <w:rPr>
                <w:rFonts w:ascii="宋体" w:hAnsi="宋体" w:eastAsia="宋体" w:cs="宋体"/>
                <w:color w:val="000000"/>
                <w:kern w:val="0"/>
                <w:sz w:val="24"/>
                <w:szCs w:val="24"/>
                <w:lang w:bidi="ar"/>
              </w:rPr>
            </w:pPr>
            <w:r>
              <w:rPr>
                <w:rFonts w:ascii="宋体" w:hAnsi="宋体" w:eastAsia="宋体" w:cs="宋体"/>
                <w:color w:val="000000"/>
                <w:kern w:val="0"/>
                <w:sz w:val="24"/>
                <w:szCs w:val="24"/>
                <w:lang w:bidi="ar"/>
              </w:rPr>
              <w:t>中长期规划（名称、文号，仅指常年项目）</w:t>
            </w:r>
          </w:p>
        </w:tc>
        <w:tc>
          <w:tcPr>
            <w:tcW w:w="2899"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3440EA8">
            <w:pPr>
              <w:spacing w:line="300" w:lineRule="exact"/>
              <w:jc w:val="left"/>
              <w:rPr>
                <w:rFonts w:ascii="宋体" w:hAnsi="宋体" w:eastAsia="宋体" w:cs="宋体"/>
                <w:color w:val="000000"/>
                <w:sz w:val="24"/>
                <w:szCs w:val="24"/>
              </w:rPr>
            </w:pPr>
          </w:p>
        </w:tc>
      </w:tr>
      <w:tr w14:paraId="48381A31">
        <w:tblPrEx>
          <w:tblCellMar>
            <w:top w:w="15" w:type="dxa"/>
            <w:left w:w="15" w:type="dxa"/>
            <w:bottom w:w="15" w:type="dxa"/>
            <w:right w:w="15" w:type="dxa"/>
          </w:tblCellMar>
        </w:tblPrEx>
        <w:trPr>
          <w:trHeight w:val="23" w:hRule="atLeast"/>
          <w:jc w:val="center"/>
        </w:trPr>
        <w:tc>
          <w:tcPr>
            <w:tcW w:w="3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2E0BA1">
            <w:pPr>
              <w:spacing w:line="300" w:lineRule="exact"/>
              <w:rPr>
                <w:rFonts w:ascii="宋体" w:hAnsi="宋体" w:eastAsia="宋体" w:cs="宋体"/>
                <w:color w:val="000000"/>
                <w:sz w:val="24"/>
                <w:szCs w:val="24"/>
              </w:rPr>
            </w:pPr>
          </w:p>
        </w:tc>
        <w:tc>
          <w:tcPr>
            <w:tcW w:w="178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3A9954B">
            <w:pPr>
              <w:widowControl/>
              <w:spacing w:line="300" w:lineRule="exact"/>
              <w:jc w:val="left"/>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资金管理办法（名称、文号）</w:t>
            </w:r>
          </w:p>
        </w:tc>
        <w:tc>
          <w:tcPr>
            <w:tcW w:w="2899"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AD400A3">
            <w:pPr>
              <w:spacing w:line="300" w:lineRule="exact"/>
              <w:jc w:val="left"/>
              <w:rPr>
                <w:rFonts w:ascii="宋体" w:hAnsi="宋体" w:eastAsia="宋体" w:cs="宋体"/>
                <w:color w:val="000000"/>
                <w:sz w:val="24"/>
                <w:szCs w:val="24"/>
              </w:rPr>
            </w:pPr>
          </w:p>
        </w:tc>
      </w:tr>
      <w:tr w14:paraId="14F5C402">
        <w:tblPrEx>
          <w:tblCellMar>
            <w:top w:w="15" w:type="dxa"/>
            <w:left w:w="15" w:type="dxa"/>
            <w:bottom w:w="15" w:type="dxa"/>
            <w:right w:w="15" w:type="dxa"/>
          </w:tblCellMar>
        </w:tblPrEx>
        <w:trPr>
          <w:trHeight w:val="23" w:hRule="atLeast"/>
          <w:jc w:val="center"/>
        </w:trPr>
        <w:tc>
          <w:tcPr>
            <w:tcW w:w="3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DEBCA0">
            <w:pPr>
              <w:spacing w:line="300" w:lineRule="exact"/>
              <w:rPr>
                <w:rFonts w:ascii="宋体" w:hAnsi="宋体" w:eastAsia="宋体" w:cs="宋体"/>
                <w:color w:val="000000"/>
                <w:sz w:val="24"/>
                <w:szCs w:val="24"/>
              </w:rPr>
            </w:pPr>
          </w:p>
        </w:tc>
        <w:tc>
          <w:tcPr>
            <w:tcW w:w="178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E9525EE">
            <w:pPr>
              <w:widowControl/>
              <w:spacing w:line="300" w:lineRule="exact"/>
              <w:jc w:val="left"/>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绩效分配方式</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7B003F">
            <w:pPr>
              <w:widowControl/>
              <w:spacing w:line="300" w:lineRule="exact"/>
              <w:jc w:val="left"/>
              <w:textAlignment w:val="center"/>
              <w:rPr>
                <w:rFonts w:ascii="Wingdings 2" w:hAnsi="Wingdings 2" w:eastAsia="Wingdings 2" w:cs="Wingdings 2"/>
                <w:color w:val="000000"/>
                <w:sz w:val="24"/>
                <w:szCs w:val="24"/>
              </w:rPr>
            </w:pPr>
            <w:r>
              <w:rPr>
                <w:rFonts w:ascii="Wingdings 2" w:hAnsi="Wingdings 2" w:eastAsia="Wingdings 2" w:cs="Wingdings 2"/>
                <w:color w:val="000000"/>
                <w:kern w:val="0"/>
                <w:sz w:val="24"/>
                <w:szCs w:val="24"/>
                <w:lang w:bidi="ar"/>
              </w:rPr>
              <w:t>£</w:t>
            </w:r>
            <w:r>
              <w:rPr>
                <w:rFonts w:ascii="宋体" w:hAnsi="宋体" w:eastAsia="宋体" w:cs="宋体"/>
                <w:color w:val="000000"/>
                <w:kern w:val="0"/>
                <w:sz w:val="24"/>
                <w:szCs w:val="24"/>
                <w:lang w:bidi="ar"/>
              </w:rPr>
              <w:t>因素法</w:t>
            </w:r>
          </w:p>
        </w:tc>
        <w:tc>
          <w:tcPr>
            <w:tcW w:w="99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019A44">
            <w:pPr>
              <w:widowControl/>
              <w:spacing w:line="300" w:lineRule="exact"/>
              <w:jc w:val="center"/>
              <w:textAlignment w:val="center"/>
              <w:rPr>
                <w:rFonts w:ascii="Wingdings 2" w:hAnsi="Wingdings 2" w:eastAsia="Wingdings 2" w:cs="Wingdings 2"/>
                <w:color w:val="000000"/>
                <w:sz w:val="24"/>
                <w:szCs w:val="24"/>
              </w:rPr>
            </w:pPr>
            <w:r>
              <w:rPr>
                <w:rFonts w:ascii="Wingdings 2" w:hAnsi="Wingdings 2" w:eastAsia="Wingdings 2" w:cs="Wingdings 2"/>
                <w:color w:val="000000"/>
                <w:kern w:val="0"/>
                <w:sz w:val="24"/>
                <w:szCs w:val="24"/>
                <w:lang w:bidi="ar"/>
              </w:rPr>
              <w:t>£项目法</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897196">
            <w:pPr>
              <w:widowControl/>
              <w:spacing w:line="300" w:lineRule="exact"/>
              <w:jc w:val="center"/>
              <w:textAlignment w:val="center"/>
              <w:rPr>
                <w:rFonts w:ascii="Wingdings 2" w:hAnsi="Wingdings 2" w:eastAsia="Wingdings 2" w:cs="Wingdings 2"/>
                <w:color w:val="000000"/>
                <w:sz w:val="24"/>
                <w:szCs w:val="24"/>
              </w:rPr>
            </w:pPr>
            <w:r>
              <w:rPr>
                <w:rFonts w:ascii="Wingdings 2" w:hAnsi="Wingdings 2" w:eastAsia="Wingdings 2" w:cs="Wingdings 2"/>
                <w:color w:val="000000"/>
                <w:kern w:val="0"/>
                <w:sz w:val="24"/>
                <w:szCs w:val="24"/>
                <w:lang w:bidi="ar"/>
              </w:rPr>
              <w:sym w:font="Wingdings 2" w:char="0052"/>
            </w:r>
            <w:r>
              <w:rPr>
                <w:rFonts w:ascii="宋体" w:hAnsi="宋体" w:eastAsia="宋体" w:cs="宋体"/>
                <w:color w:val="000000"/>
                <w:kern w:val="0"/>
                <w:sz w:val="24"/>
                <w:szCs w:val="24"/>
                <w:lang w:bidi="ar"/>
              </w:rPr>
              <w:t>据实据效</w:t>
            </w:r>
          </w:p>
        </w:tc>
        <w:tc>
          <w:tcPr>
            <w:tcW w:w="8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9652A6">
            <w:pPr>
              <w:widowControl/>
              <w:spacing w:line="300" w:lineRule="exact"/>
              <w:jc w:val="center"/>
              <w:textAlignment w:val="center"/>
              <w:rPr>
                <w:rFonts w:ascii="Wingdings 2" w:hAnsi="Wingdings 2" w:eastAsia="Wingdings 2" w:cs="Wingdings 2"/>
                <w:color w:val="000000"/>
                <w:sz w:val="24"/>
                <w:szCs w:val="24"/>
              </w:rPr>
            </w:pPr>
            <w:r>
              <w:rPr>
                <w:rFonts w:ascii="Wingdings 2" w:hAnsi="Wingdings 2" w:eastAsia="Wingdings 2" w:cs="Wingdings 2"/>
                <w:color w:val="000000"/>
                <w:kern w:val="0"/>
                <w:sz w:val="24"/>
                <w:szCs w:val="24"/>
                <w:lang w:bidi="ar"/>
              </w:rPr>
              <w:t>£</w:t>
            </w:r>
            <w:r>
              <w:rPr>
                <w:rFonts w:ascii="宋体" w:hAnsi="宋体" w:eastAsia="宋体" w:cs="宋体"/>
                <w:color w:val="000000"/>
                <w:kern w:val="0"/>
                <w:sz w:val="24"/>
                <w:szCs w:val="24"/>
                <w:lang w:bidi="ar"/>
              </w:rPr>
              <w:t>因素法与项目法相结合</w:t>
            </w:r>
          </w:p>
        </w:tc>
      </w:tr>
      <w:tr w14:paraId="397787D8">
        <w:tblPrEx>
          <w:tblCellMar>
            <w:top w:w="15" w:type="dxa"/>
            <w:left w:w="15" w:type="dxa"/>
            <w:bottom w:w="15" w:type="dxa"/>
            <w:right w:w="15" w:type="dxa"/>
          </w:tblCellMar>
        </w:tblPrEx>
        <w:trPr>
          <w:trHeight w:val="23" w:hRule="atLeast"/>
          <w:jc w:val="center"/>
        </w:trPr>
        <w:tc>
          <w:tcPr>
            <w:tcW w:w="3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6D4FBF">
            <w:pPr>
              <w:spacing w:line="300" w:lineRule="exact"/>
              <w:rPr>
                <w:rFonts w:ascii="宋体" w:hAnsi="宋体" w:eastAsia="宋体" w:cs="宋体"/>
                <w:color w:val="000000"/>
                <w:sz w:val="24"/>
                <w:szCs w:val="24"/>
              </w:rPr>
            </w:pPr>
          </w:p>
        </w:tc>
        <w:tc>
          <w:tcPr>
            <w:tcW w:w="178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EE4972E">
            <w:pPr>
              <w:widowControl/>
              <w:spacing w:line="300" w:lineRule="exact"/>
              <w:jc w:val="left"/>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立项依据</w:t>
            </w:r>
          </w:p>
        </w:tc>
        <w:tc>
          <w:tcPr>
            <w:tcW w:w="2899"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0729A29">
            <w:pPr>
              <w:spacing w:line="300" w:lineRule="exact"/>
              <w:jc w:val="left"/>
              <w:rPr>
                <w:rFonts w:ascii="宋体" w:hAnsi="宋体" w:eastAsia="宋体" w:cs="宋体"/>
                <w:color w:val="000000"/>
                <w:sz w:val="24"/>
                <w:szCs w:val="24"/>
              </w:rPr>
            </w:pPr>
          </w:p>
        </w:tc>
      </w:tr>
      <w:tr w14:paraId="7D783D05">
        <w:tblPrEx>
          <w:tblCellMar>
            <w:top w:w="15" w:type="dxa"/>
            <w:left w:w="15" w:type="dxa"/>
            <w:bottom w:w="15" w:type="dxa"/>
            <w:right w:w="15" w:type="dxa"/>
          </w:tblCellMar>
        </w:tblPrEx>
        <w:trPr>
          <w:trHeight w:val="23" w:hRule="atLeast"/>
          <w:jc w:val="center"/>
        </w:trPr>
        <w:tc>
          <w:tcPr>
            <w:tcW w:w="3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7304C9">
            <w:pPr>
              <w:spacing w:line="300" w:lineRule="exact"/>
              <w:rPr>
                <w:rFonts w:ascii="宋体" w:hAnsi="宋体" w:eastAsia="宋体" w:cs="宋体"/>
                <w:color w:val="000000"/>
                <w:sz w:val="24"/>
                <w:szCs w:val="24"/>
              </w:rPr>
            </w:pPr>
          </w:p>
        </w:tc>
        <w:tc>
          <w:tcPr>
            <w:tcW w:w="178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54247D1">
            <w:pPr>
              <w:widowControl/>
              <w:spacing w:line="300" w:lineRule="exact"/>
              <w:jc w:val="left"/>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使用范围</w:t>
            </w:r>
          </w:p>
        </w:tc>
        <w:tc>
          <w:tcPr>
            <w:tcW w:w="2899"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42AC2BD">
            <w:pPr>
              <w:spacing w:line="300" w:lineRule="exact"/>
              <w:jc w:val="left"/>
              <w:rPr>
                <w:rFonts w:ascii="宋体" w:hAnsi="宋体" w:eastAsia="宋体" w:cs="宋体"/>
                <w:color w:val="000000"/>
                <w:sz w:val="24"/>
                <w:szCs w:val="24"/>
              </w:rPr>
            </w:pPr>
          </w:p>
        </w:tc>
      </w:tr>
      <w:tr w14:paraId="35D9E501">
        <w:tblPrEx>
          <w:tblCellMar>
            <w:top w:w="15" w:type="dxa"/>
            <w:left w:w="15" w:type="dxa"/>
            <w:bottom w:w="15" w:type="dxa"/>
            <w:right w:w="15" w:type="dxa"/>
          </w:tblCellMar>
        </w:tblPrEx>
        <w:trPr>
          <w:trHeight w:val="23" w:hRule="atLeast"/>
          <w:jc w:val="center"/>
        </w:trPr>
        <w:tc>
          <w:tcPr>
            <w:tcW w:w="3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52AA7D">
            <w:pPr>
              <w:spacing w:line="300" w:lineRule="exact"/>
              <w:rPr>
                <w:rFonts w:ascii="宋体" w:hAnsi="宋体" w:eastAsia="宋体" w:cs="宋体"/>
                <w:color w:val="000000"/>
                <w:sz w:val="24"/>
                <w:szCs w:val="24"/>
              </w:rPr>
            </w:pPr>
          </w:p>
        </w:tc>
        <w:tc>
          <w:tcPr>
            <w:tcW w:w="178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6AF4EAE">
            <w:pPr>
              <w:widowControl/>
              <w:spacing w:line="300" w:lineRule="exact"/>
              <w:jc w:val="left"/>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申报（补助）条件</w:t>
            </w:r>
          </w:p>
        </w:tc>
        <w:tc>
          <w:tcPr>
            <w:tcW w:w="2899"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1A3E27B">
            <w:pPr>
              <w:spacing w:line="300" w:lineRule="exact"/>
              <w:jc w:val="left"/>
              <w:rPr>
                <w:rFonts w:ascii="宋体" w:hAnsi="宋体" w:eastAsia="宋体" w:cs="宋体"/>
                <w:color w:val="000000"/>
                <w:sz w:val="24"/>
                <w:szCs w:val="24"/>
              </w:rPr>
            </w:pPr>
          </w:p>
        </w:tc>
      </w:tr>
      <w:tr w14:paraId="31E1E94D">
        <w:tblPrEx>
          <w:tblCellMar>
            <w:top w:w="15" w:type="dxa"/>
            <w:left w:w="15" w:type="dxa"/>
            <w:bottom w:w="15" w:type="dxa"/>
            <w:right w:w="15" w:type="dxa"/>
          </w:tblCellMar>
        </w:tblPrEx>
        <w:trPr>
          <w:trHeight w:val="23" w:hRule="atLeast"/>
          <w:jc w:val="center"/>
        </w:trPr>
        <w:tc>
          <w:tcPr>
            <w:tcW w:w="3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F41B25">
            <w:pPr>
              <w:spacing w:line="300" w:lineRule="exact"/>
              <w:rPr>
                <w:rFonts w:ascii="宋体" w:hAnsi="宋体" w:eastAsia="宋体" w:cs="宋体"/>
                <w:color w:val="000000"/>
                <w:sz w:val="24"/>
                <w:szCs w:val="24"/>
              </w:rPr>
            </w:pPr>
          </w:p>
        </w:tc>
        <w:tc>
          <w:tcPr>
            <w:tcW w:w="178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8B24CEF">
            <w:pPr>
              <w:widowControl/>
              <w:spacing w:line="300" w:lineRule="exact"/>
              <w:jc w:val="left"/>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项目起止年限</w:t>
            </w:r>
          </w:p>
        </w:tc>
        <w:tc>
          <w:tcPr>
            <w:tcW w:w="2899"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D2EB100">
            <w:pPr>
              <w:spacing w:line="300" w:lineRule="exact"/>
              <w:rPr>
                <w:rFonts w:ascii="宋体" w:hAnsi="宋体" w:eastAsia="宋体" w:cs="宋体"/>
                <w:color w:val="000000"/>
                <w:sz w:val="24"/>
                <w:szCs w:val="24"/>
              </w:rPr>
            </w:pPr>
            <w:r>
              <w:rPr>
                <w:rFonts w:hint="eastAsia" w:ascii="宋体" w:hAnsi="宋体" w:eastAsia="宋体" w:cs="宋体"/>
                <w:color w:val="000000"/>
                <w:sz w:val="24"/>
                <w:szCs w:val="24"/>
              </w:rPr>
              <w:t>202</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年</w:t>
            </w:r>
          </w:p>
        </w:tc>
      </w:tr>
      <w:tr w14:paraId="2727D015">
        <w:tblPrEx>
          <w:tblCellMar>
            <w:top w:w="15" w:type="dxa"/>
            <w:left w:w="15" w:type="dxa"/>
            <w:bottom w:w="15" w:type="dxa"/>
            <w:right w:w="15" w:type="dxa"/>
          </w:tblCellMar>
        </w:tblPrEx>
        <w:trPr>
          <w:trHeight w:val="23" w:hRule="atLeast"/>
          <w:jc w:val="center"/>
        </w:trPr>
        <w:tc>
          <w:tcPr>
            <w:tcW w:w="849"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4F83B6">
            <w:pPr>
              <w:widowControl/>
              <w:spacing w:line="300" w:lineRule="exact"/>
              <w:jc w:val="center"/>
              <w:textAlignment w:val="center"/>
              <w:rPr>
                <w:rFonts w:ascii="宋体" w:hAnsi="宋体" w:eastAsia="宋体" w:cs="宋体"/>
                <w:color w:val="000000"/>
                <w:kern w:val="0"/>
                <w:sz w:val="24"/>
                <w:szCs w:val="24"/>
                <w:lang w:bidi="ar"/>
              </w:rPr>
            </w:pPr>
            <w:r>
              <w:rPr>
                <w:rFonts w:ascii="宋体" w:hAnsi="宋体" w:eastAsia="宋体" w:cs="宋体"/>
                <w:color w:val="000000"/>
                <w:kern w:val="0"/>
                <w:sz w:val="24"/>
                <w:szCs w:val="24"/>
                <w:lang w:bidi="ar"/>
              </w:rPr>
              <w:t>项目资金</w:t>
            </w:r>
          </w:p>
          <w:p w14:paraId="14B44D28">
            <w:pPr>
              <w:widowControl/>
              <w:spacing w:line="30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（万元）</w:t>
            </w:r>
          </w:p>
        </w:tc>
        <w:tc>
          <w:tcPr>
            <w:tcW w:w="125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6A4646">
            <w:pPr>
              <w:widowControl/>
              <w:spacing w:line="300" w:lineRule="exact"/>
              <w:jc w:val="left"/>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 xml:space="preserve">  年度资金总额：</w:t>
            </w:r>
          </w:p>
        </w:tc>
        <w:tc>
          <w:tcPr>
            <w:tcW w:w="2899"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F7B0739">
            <w:pPr>
              <w:spacing w:line="300" w:lineRule="exact"/>
              <w:jc w:val="cente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18.05</w:t>
            </w:r>
          </w:p>
        </w:tc>
      </w:tr>
      <w:tr w14:paraId="4E90553D">
        <w:tblPrEx>
          <w:tblCellMar>
            <w:top w:w="15" w:type="dxa"/>
            <w:left w:w="15" w:type="dxa"/>
            <w:bottom w:w="15" w:type="dxa"/>
            <w:right w:w="15" w:type="dxa"/>
          </w:tblCellMar>
        </w:tblPrEx>
        <w:trPr>
          <w:trHeight w:val="23" w:hRule="atLeast"/>
          <w:jc w:val="center"/>
        </w:trPr>
        <w:tc>
          <w:tcPr>
            <w:tcW w:w="84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D09775">
            <w:pPr>
              <w:spacing w:line="300" w:lineRule="exact"/>
              <w:rPr>
                <w:rFonts w:ascii="宋体" w:hAnsi="宋体" w:eastAsia="宋体" w:cs="宋体"/>
                <w:color w:val="000000"/>
                <w:sz w:val="24"/>
                <w:szCs w:val="24"/>
              </w:rPr>
            </w:pPr>
          </w:p>
        </w:tc>
        <w:tc>
          <w:tcPr>
            <w:tcW w:w="125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786E81">
            <w:pPr>
              <w:widowControl/>
              <w:spacing w:line="300" w:lineRule="exact"/>
              <w:jc w:val="left"/>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 xml:space="preserve">    其中：财政拨款</w:t>
            </w:r>
          </w:p>
        </w:tc>
        <w:tc>
          <w:tcPr>
            <w:tcW w:w="2899"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237DC30">
            <w:pPr>
              <w:spacing w:line="300" w:lineRule="exact"/>
              <w:jc w:val="cente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18.05</w:t>
            </w:r>
          </w:p>
        </w:tc>
      </w:tr>
      <w:tr w14:paraId="3A101FFB">
        <w:tblPrEx>
          <w:tblCellMar>
            <w:top w:w="15" w:type="dxa"/>
            <w:left w:w="15" w:type="dxa"/>
            <w:bottom w:w="15" w:type="dxa"/>
            <w:right w:w="15" w:type="dxa"/>
          </w:tblCellMar>
        </w:tblPrEx>
        <w:trPr>
          <w:trHeight w:val="23" w:hRule="atLeast"/>
          <w:jc w:val="center"/>
        </w:trPr>
        <w:tc>
          <w:tcPr>
            <w:tcW w:w="849"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EDD391">
            <w:pPr>
              <w:spacing w:line="300" w:lineRule="exact"/>
              <w:rPr>
                <w:rFonts w:ascii="宋体" w:hAnsi="宋体" w:eastAsia="宋体" w:cs="宋体"/>
                <w:color w:val="000000"/>
                <w:sz w:val="24"/>
                <w:szCs w:val="24"/>
              </w:rPr>
            </w:pPr>
          </w:p>
        </w:tc>
        <w:tc>
          <w:tcPr>
            <w:tcW w:w="125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CD30A2">
            <w:pPr>
              <w:widowControl/>
              <w:spacing w:line="300" w:lineRule="exact"/>
              <w:jc w:val="left"/>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 xml:space="preserve">         其他资金</w:t>
            </w:r>
          </w:p>
        </w:tc>
        <w:tc>
          <w:tcPr>
            <w:tcW w:w="2899"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55667A7">
            <w:pPr>
              <w:spacing w:line="300" w:lineRule="exact"/>
              <w:jc w:val="right"/>
              <w:rPr>
                <w:rFonts w:ascii="宋体" w:hAnsi="宋体" w:eastAsia="宋体" w:cs="宋体"/>
                <w:color w:val="000000"/>
                <w:sz w:val="24"/>
                <w:szCs w:val="24"/>
              </w:rPr>
            </w:pPr>
          </w:p>
        </w:tc>
      </w:tr>
      <w:tr w14:paraId="03B5EC5E">
        <w:tblPrEx>
          <w:tblCellMar>
            <w:top w:w="15" w:type="dxa"/>
            <w:left w:w="15" w:type="dxa"/>
            <w:bottom w:w="15" w:type="dxa"/>
            <w:right w:w="15" w:type="dxa"/>
          </w:tblCellMar>
        </w:tblPrEx>
        <w:trPr>
          <w:trHeight w:val="23" w:hRule="atLeast"/>
          <w:jc w:val="center"/>
        </w:trPr>
        <w:tc>
          <w:tcPr>
            <w:tcW w:w="3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7A485F">
            <w:pPr>
              <w:widowControl/>
              <w:spacing w:line="30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总体 目标</w:t>
            </w:r>
          </w:p>
        </w:tc>
        <w:tc>
          <w:tcPr>
            <w:tcW w:w="4681"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95A4DE4">
            <w:pPr>
              <w:widowControl/>
              <w:spacing w:line="30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年度目标</w:t>
            </w:r>
          </w:p>
        </w:tc>
      </w:tr>
      <w:tr w14:paraId="2D1D7CD1">
        <w:tblPrEx>
          <w:tblCellMar>
            <w:top w:w="15" w:type="dxa"/>
            <w:left w:w="15" w:type="dxa"/>
            <w:bottom w:w="15" w:type="dxa"/>
            <w:right w:w="15" w:type="dxa"/>
          </w:tblCellMar>
        </w:tblPrEx>
        <w:trPr>
          <w:trHeight w:val="23" w:hRule="atLeast"/>
          <w:jc w:val="center"/>
        </w:trPr>
        <w:tc>
          <w:tcPr>
            <w:tcW w:w="3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B5F938">
            <w:pPr>
              <w:spacing w:line="300" w:lineRule="exact"/>
              <w:rPr>
                <w:rFonts w:ascii="宋体" w:hAnsi="宋体" w:eastAsia="宋体" w:cs="宋体"/>
                <w:color w:val="000000"/>
                <w:sz w:val="24"/>
                <w:szCs w:val="24"/>
              </w:rPr>
            </w:pPr>
          </w:p>
        </w:tc>
        <w:tc>
          <w:tcPr>
            <w:tcW w:w="4681"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B6A9515">
            <w:pPr>
              <w:spacing w:line="300" w:lineRule="exact"/>
              <w:rPr>
                <w:rFonts w:ascii="宋体" w:hAnsi="宋体" w:eastAsia="宋体" w:cs="宋体"/>
                <w:color w:val="000000"/>
                <w:sz w:val="24"/>
                <w:szCs w:val="24"/>
              </w:rPr>
            </w:pPr>
            <w:r>
              <w:rPr>
                <w:rFonts w:hint="eastAsia" w:ascii="宋体" w:hAnsi="宋体" w:eastAsia="宋体" w:cs="宋体"/>
                <w:color w:val="000000"/>
                <w:sz w:val="24"/>
                <w:szCs w:val="24"/>
              </w:rPr>
              <w:t>派驻纪检组工作经费</w:t>
            </w:r>
          </w:p>
        </w:tc>
      </w:tr>
      <w:tr w14:paraId="1564EE6D">
        <w:tblPrEx>
          <w:tblCellMar>
            <w:top w:w="15" w:type="dxa"/>
            <w:left w:w="15" w:type="dxa"/>
            <w:bottom w:w="15" w:type="dxa"/>
            <w:right w:w="15" w:type="dxa"/>
          </w:tblCellMar>
        </w:tblPrEx>
        <w:trPr>
          <w:trHeight w:val="23" w:hRule="atLeast"/>
          <w:jc w:val="center"/>
        </w:trPr>
        <w:tc>
          <w:tcPr>
            <w:tcW w:w="319" w:type="pct"/>
            <w:vMerge w:val="restart"/>
            <w:tcBorders>
              <w:top w:val="single" w:color="000000" w:sz="4" w:space="0"/>
              <w:left w:val="single" w:color="000000" w:sz="4" w:space="0"/>
              <w:bottom w:val="single" w:color="000000" w:sz="4" w:space="0"/>
            </w:tcBorders>
            <w:shd w:val="clear" w:color="auto" w:fill="auto"/>
            <w:vAlign w:val="center"/>
          </w:tcPr>
          <w:p w14:paraId="0C5FB245">
            <w:pPr>
              <w:widowControl/>
              <w:spacing w:line="30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绩效 指标</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722120">
            <w:pPr>
              <w:widowControl/>
              <w:spacing w:line="30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一级指标</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1317A9">
            <w:pPr>
              <w:widowControl/>
              <w:spacing w:line="30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二级指标</w:t>
            </w:r>
          </w:p>
        </w:tc>
        <w:tc>
          <w:tcPr>
            <w:tcW w:w="641" w:type="pct"/>
            <w:tcBorders>
              <w:top w:val="single" w:color="000000" w:sz="4" w:space="0"/>
              <w:left w:val="single" w:color="000000" w:sz="4" w:space="0"/>
              <w:bottom w:val="single" w:color="auto" w:sz="4" w:space="0"/>
              <w:right w:val="single" w:color="000000" w:sz="4" w:space="0"/>
            </w:tcBorders>
            <w:shd w:val="clear" w:color="auto" w:fill="auto"/>
            <w:vAlign w:val="center"/>
          </w:tcPr>
          <w:p w14:paraId="4016B656">
            <w:pPr>
              <w:widowControl/>
              <w:spacing w:line="30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三级指标</w:t>
            </w:r>
          </w:p>
        </w:tc>
        <w:tc>
          <w:tcPr>
            <w:tcW w:w="551" w:type="pct"/>
            <w:tcBorders>
              <w:top w:val="single" w:color="000000" w:sz="4" w:space="0"/>
              <w:left w:val="single" w:color="000000" w:sz="4" w:space="0"/>
              <w:bottom w:val="single" w:color="auto" w:sz="4" w:space="0"/>
              <w:right w:val="single" w:color="000000" w:sz="4" w:space="0"/>
            </w:tcBorders>
            <w:shd w:val="clear" w:color="auto" w:fill="auto"/>
            <w:vAlign w:val="center"/>
          </w:tcPr>
          <w:p w14:paraId="0308F2FC">
            <w:pPr>
              <w:widowControl/>
              <w:spacing w:line="30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指标性质</w:t>
            </w:r>
          </w:p>
        </w:tc>
        <w:tc>
          <w:tcPr>
            <w:tcW w:w="474" w:type="pct"/>
            <w:tcBorders>
              <w:top w:val="single" w:color="000000" w:sz="4" w:space="0"/>
              <w:left w:val="single" w:color="000000" w:sz="4" w:space="0"/>
              <w:bottom w:val="single" w:color="auto" w:sz="4" w:space="0"/>
              <w:right w:val="single" w:color="000000" w:sz="4" w:space="0"/>
            </w:tcBorders>
            <w:shd w:val="clear" w:color="auto" w:fill="auto"/>
            <w:vAlign w:val="center"/>
          </w:tcPr>
          <w:p w14:paraId="2D772463">
            <w:pPr>
              <w:widowControl/>
              <w:spacing w:line="30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指标值</w:t>
            </w:r>
          </w:p>
        </w:tc>
        <w:tc>
          <w:tcPr>
            <w:tcW w:w="519" w:type="pct"/>
            <w:tcBorders>
              <w:top w:val="single" w:color="000000" w:sz="4" w:space="0"/>
              <w:left w:val="single" w:color="000000" w:sz="4" w:space="0"/>
              <w:bottom w:val="single" w:color="auto" w:sz="4" w:space="0"/>
              <w:right w:val="single" w:color="000000" w:sz="4" w:space="0"/>
            </w:tcBorders>
            <w:shd w:val="clear" w:color="auto" w:fill="auto"/>
            <w:vAlign w:val="center"/>
          </w:tcPr>
          <w:p w14:paraId="41FA55BE">
            <w:pPr>
              <w:widowControl/>
              <w:spacing w:line="30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度量单位</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31ED2E">
            <w:pPr>
              <w:widowControl/>
              <w:spacing w:line="30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权重</w:t>
            </w:r>
          </w:p>
        </w:tc>
        <w:tc>
          <w:tcPr>
            <w:tcW w:w="8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3AD3F9">
            <w:pPr>
              <w:widowControl/>
              <w:spacing w:line="30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实际完成指标值</w:t>
            </w:r>
          </w:p>
        </w:tc>
      </w:tr>
      <w:tr w14:paraId="581442F2">
        <w:tblPrEx>
          <w:tblCellMar>
            <w:top w:w="15" w:type="dxa"/>
            <w:left w:w="15" w:type="dxa"/>
            <w:bottom w:w="15" w:type="dxa"/>
            <w:right w:w="15" w:type="dxa"/>
          </w:tblCellMar>
        </w:tblPrEx>
        <w:trPr>
          <w:trHeight w:val="23" w:hRule="atLeast"/>
          <w:jc w:val="center"/>
        </w:trPr>
        <w:tc>
          <w:tcPr>
            <w:tcW w:w="319" w:type="pct"/>
            <w:vMerge w:val="continue"/>
            <w:tcBorders>
              <w:top w:val="single" w:color="000000" w:sz="4" w:space="0"/>
              <w:left w:val="single" w:color="000000" w:sz="4" w:space="0"/>
              <w:bottom w:val="single" w:color="000000" w:sz="4" w:space="0"/>
            </w:tcBorders>
            <w:shd w:val="clear" w:color="auto" w:fill="auto"/>
            <w:vAlign w:val="center"/>
          </w:tcPr>
          <w:p w14:paraId="1D2497D2">
            <w:pPr>
              <w:spacing w:line="300" w:lineRule="exact"/>
              <w:jc w:val="center"/>
              <w:rPr>
                <w:rFonts w:ascii="宋体" w:hAnsi="宋体" w:eastAsia="宋体" w:cs="宋体"/>
                <w:color w:val="000000"/>
                <w:sz w:val="24"/>
                <w:szCs w:val="24"/>
              </w:rPr>
            </w:pPr>
          </w:p>
        </w:tc>
        <w:tc>
          <w:tcPr>
            <w:tcW w:w="53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EDE98A">
            <w:pPr>
              <w:widowControl/>
              <w:spacing w:line="30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产出指标</w:t>
            </w:r>
          </w:p>
        </w:tc>
        <w:tc>
          <w:tcPr>
            <w:tcW w:w="611" w:type="pct"/>
            <w:tcBorders>
              <w:top w:val="single" w:color="000000" w:sz="4" w:space="0"/>
              <w:left w:val="single" w:color="000000" w:sz="4" w:space="0"/>
              <w:bottom w:val="single" w:color="000000" w:sz="4" w:space="0"/>
              <w:right w:val="single" w:color="auto" w:sz="4" w:space="0"/>
            </w:tcBorders>
            <w:shd w:val="clear" w:color="auto" w:fill="auto"/>
            <w:vAlign w:val="center"/>
          </w:tcPr>
          <w:p w14:paraId="71EC5E08">
            <w:pPr>
              <w:widowControl/>
              <w:spacing w:line="30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数量指标</w:t>
            </w:r>
          </w:p>
        </w:tc>
        <w:tc>
          <w:tcPr>
            <w:tcW w:w="6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1719DD">
            <w:pPr>
              <w:widowControl/>
              <w:jc w:val="center"/>
              <w:rPr>
                <w:rFonts w:ascii="宋体" w:hAnsi="宋体" w:eastAsia="宋体"/>
                <w:color w:val="000000"/>
                <w:kern w:val="0"/>
                <w:sz w:val="24"/>
                <w:szCs w:val="24"/>
              </w:rPr>
            </w:pPr>
            <w:r>
              <w:rPr>
                <w:rFonts w:hint="eastAsia" w:ascii="宋体" w:hAnsi="宋体" w:eastAsia="宋体"/>
                <w:color w:val="000000"/>
                <w:sz w:val="24"/>
                <w:szCs w:val="24"/>
              </w:rPr>
              <w:t>相关会议调研次数</w:t>
            </w:r>
          </w:p>
        </w:tc>
        <w:tc>
          <w:tcPr>
            <w:tcW w:w="551" w:type="pct"/>
            <w:tcBorders>
              <w:top w:val="single" w:color="000000" w:sz="4" w:space="0"/>
              <w:left w:val="nil"/>
              <w:bottom w:val="single" w:color="000000" w:sz="4" w:space="0"/>
              <w:right w:val="single" w:color="000000" w:sz="4" w:space="0"/>
            </w:tcBorders>
            <w:shd w:val="clear" w:color="auto" w:fill="auto"/>
            <w:vAlign w:val="center"/>
          </w:tcPr>
          <w:p w14:paraId="1FC1B72A">
            <w:pPr>
              <w:jc w:val="center"/>
              <w:rPr>
                <w:rFonts w:ascii="宋体" w:hAnsi="宋体" w:eastAsia="宋体"/>
                <w:color w:val="000000"/>
                <w:sz w:val="24"/>
                <w:szCs w:val="24"/>
              </w:rPr>
            </w:pPr>
            <w:r>
              <w:rPr>
                <w:rFonts w:hint="eastAsia" w:ascii="宋体" w:hAnsi="宋体" w:eastAsia="宋体"/>
                <w:color w:val="000000"/>
                <w:sz w:val="24"/>
                <w:szCs w:val="24"/>
              </w:rPr>
              <w:t>≥</w:t>
            </w:r>
          </w:p>
        </w:tc>
        <w:tc>
          <w:tcPr>
            <w:tcW w:w="474" w:type="pct"/>
            <w:tcBorders>
              <w:top w:val="single" w:color="000000" w:sz="4" w:space="0"/>
              <w:left w:val="nil"/>
              <w:bottom w:val="single" w:color="000000" w:sz="4" w:space="0"/>
              <w:right w:val="single" w:color="000000" w:sz="4" w:space="0"/>
            </w:tcBorders>
            <w:shd w:val="clear" w:color="auto" w:fill="auto"/>
            <w:vAlign w:val="center"/>
          </w:tcPr>
          <w:p w14:paraId="383759F0">
            <w:pPr>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50</w:t>
            </w:r>
          </w:p>
        </w:tc>
        <w:tc>
          <w:tcPr>
            <w:tcW w:w="519" w:type="pct"/>
            <w:tcBorders>
              <w:top w:val="single" w:color="000000" w:sz="4" w:space="0"/>
              <w:left w:val="nil"/>
              <w:bottom w:val="single" w:color="000000" w:sz="4" w:space="0"/>
              <w:right w:val="single" w:color="000000" w:sz="4" w:space="0"/>
            </w:tcBorders>
            <w:shd w:val="clear" w:color="auto" w:fill="auto"/>
            <w:vAlign w:val="center"/>
          </w:tcPr>
          <w:p w14:paraId="097062C7">
            <w:pPr>
              <w:jc w:val="center"/>
              <w:rPr>
                <w:rFonts w:ascii="宋体" w:hAnsi="宋体" w:eastAsia="宋体"/>
                <w:color w:val="000000"/>
                <w:sz w:val="24"/>
                <w:szCs w:val="24"/>
              </w:rPr>
            </w:pPr>
            <w:r>
              <w:rPr>
                <w:rFonts w:hint="eastAsia" w:ascii="宋体" w:hAnsi="宋体" w:eastAsia="宋体"/>
                <w:color w:val="000000"/>
                <w:sz w:val="24"/>
                <w:szCs w:val="24"/>
              </w:rPr>
              <w:t>次</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C5A519">
            <w:pPr>
              <w:widowControl/>
              <w:jc w:val="center"/>
              <w:rPr>
                <w:rFonts w:eastAsia="宋体"/>
                <w:color w:val="000000"/>
                <w:kern w:val="0"/>
                <w:sz w:val="24"/>
                <w:szCs w:val="24"/>
              </w:rPr>
            </w:pPr>
            <w:r>
              <w:rPr>
                <w:rFonts w:hint="eastAsia"/>
                <w:color w:val="000000"/>
                <w:sz w:val="24"/>
                <w:szCs w:val="24"/>
              </w:rPr>
              <w:t>10</w:t>
            </w:r>
          </w:p>
        </w:tc>
        <w:tc>
          <w:tcPr>
            <w:tcW w:w="8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1E5F2C">
            <w:pPr>
              <w:spacing w:line="300" w:lineRule="exact"/>
              <w:jc w:val="center"/>
              <w:rPr>
                <w:rFonts w:ascii="宋体" w:hAnsi="宋体" w:eastAsia="宋体" w:cs="宋体"/>
                <w:color w:val="000000"/>
                <w:sz w:val="24"/>
                <w:szCs w:val="24"/>
              </w:rPr>
            </w:pPr>
            <w:r>
              <w:rPr>
                <w:rFonts w:hint="eastAsia" w:ascii="宋体" w:hAnsi="宋体" w:eastAsia="宋体" w:cs="宋体"/>
                <w:color w:val="000000"/>
                <w:sz w:val="24"/>
                <w:szCs w:val="24"/>
              </w:rPr>
              <w:t>200</w:t>
            </w:r>
          </w:p>
        </w:tc>
      </w:tr>
      <w:tr w14:paraId="20292BE2">
        <w:tblPrEx>
          <w:tblCellMar>
            <w:top w:w="15" w:type="dxa"/>
            <w:left w:w="15" w:type="dxa"/>
            <w:bottom w:w="15" w:type="dxa"/>
            <w:right w:w="15" w:type="dxa"/>
          </w:tblCellMar>
        </w:tblPrEx>
        <w:trPr>
          <w:trHeight w:val="23" w:hRule="atLeast"/>
          <w:jc w:val="center"/>
        </w:trPr>
        <w:tc>
          <w:tcPr>
            <w:tcW w:w="319" w:type="pct"/>
            <w:vMerge w:val="continue"/>
            <w:tcBorders>
              <w:top w:val="single" w:color="000000" w:sz="4" w:space="0"/>
              <w:left w:val="single" w:color="000000" w:sz="4" w:space="0"/>
              <w:bottom w:val="single" w:color="000000" w:sz="4" w:space="0"/>
            </w:tcBorders>
            <w:shd w:val="clear" w:color="auto" w:fill="auto"/>
            <w:vAlign w:val="center"/>
          </w:tcPr>
          <w:p w14:paraId="06A774A9">
            <w:pPr>
              <w:spacing w:line="300" w:lineRule="exact"/>
              <w:jc w:val="center"/>
              <w:rPr>
                <w:rFonts w:ascii="宋体" w:hAnsi="宋体" w:eastAsia="宋体" w:cs="宋体"/>
                <w:color w:val="000000"/>
                <w:sz w:val="24"/>
                <w:szCs w:val="24"/>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BB3636">
            <w:pPr>
              <w:spacing w:line="300" w:lineRule="exact"/>
              <w:jc w:val="center"/>
              <w:rPr>
                <w:rFonts w:ascii="宋体" w:hAnsi="宋体" w:eastAsia="宋体" w:cs="宋体"/>
                <w:color w:val="000000"/>
                <w:sz w:val="24"/>
                <w:szCs w:val="24"/>
              </w:rPr>
            </w:pPr>
          </w:p>
        </w:tc>
        <w:tc>
          <w:tcPr>
            <w:tcW w:w="611" w:type="pct"/>
            <w:tcBorders>
              <w:top w:val="single" w:color="000000" w:sz="4" w:space="0"/>
              <w:left w:val="single" w:color="000000" w:sz="4" w:space="0"/>
              <w:bottom w:val="single" w:color="000000" w:sz="4" w:space="0"/>
              <w:right w:val="single" w:color="auto" w:sz="4" w:space="0"/>
            </w:tcBorders>
            <w:shd w:val="clear" w:color="auto" w:fill="auto"/>
            <w:vAlign w:val="center"/>
          </w:tcPr>
          <w:p w14:paraId="3FA0CE21">
            <w:pPr>
              <w:widowControl/>
              <w:spacing w:line="30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质量指标</w:t>
            </w:r>
          </w:p>
        </w:tc>
        <w:tc>
          <w:tcPr>
            <w:tcW w:w="641" w:type="pct"/>
            <w:tcBorders>
              <w:top w:val="nil"/>
              <w:left w:val="single" w:color="000000" w:sz="4" w:space="0"/>
              <w:bottom w:val="single" w:color="000000" w:sz="4" w:space="0"/>
              <w:right w:val="single" w:color="000000" w:sz="4" w:space="0"/>
            </w:tcBorders>
            <w:shd w:val="clear" w:color="auto" w:fill="auto"/>
            <w:vAlign w:val="center"/>
          </w:tcPr>
          <w:p w14:paraId="6F780DEB">
            <w:pPr>
              <w:jc w:val="center"/>
              <w:rPr>
                <w:rFonts w:ascii="宋体" w:hAnsi="宋体" w:eastAsia="宋体"/>
                <w:color w:val="000000"/>
                <w:sz w:val="24"/>
                <w:szCs w:val="24"/>
              </w:rPr>
            </w:pPr>
            <w:r>
              <w:rPr>
                <w:rFonts w:hint="eastAsia" w:ascii="宋体" w:hAnsi="宋体" w:eastAsia="宋体"/>
                <w:color w:val="000000"/>
                <w:sz w:val="24"/>
                <w:szCs w:val="24"/>
              </w:rPr>
              <w:t>立案案件办结率</w:t>
            </w:r>
          </w:p>
        </w:tc>
        <w:tc>
          <w:tcPr>
            <w:tcW w:w="551" w:type="pct"/>
            <w:tcBorders>
              <w:top w:val="nil"/>
              <w:left w:val="nil"/>
              <w:bottom w:val="single" w:color="000000" w:sz="4" w:space="0"/>
              <w:right w:val="single" w:color="000000" w:sz="4" w:space="0"/>
            </w:tcBorders>
            <w:shd w:val="clear" w:color="auto" w:fill="auto"/>
            <w:vAlign w:val="center"/>
          </w:tcPr>
          <w:p w14:paraId="0BC46FC5">
            <w:pPr>
              <w:jc w:val="center"/>
              <w:rPr>
                <w:rFonts w:ascii="宋体" w:hAnsi="宋体" w:eastAsia="宋体"/>
                <w:color w:val="000000"/>
                <w:sz w:val="24"/>
                <w:szCs w:val="24"/>
              </w:rPr>
            </w:pPr>
            <w:r>
              <w:rPr>
                <w:rFonts w:hint="eastAsia" w:ascii="宋体" w:hAnsi="宋体" w:eastAsia="宋体"/>
                <w:color w:val="000000"/>
                <w:sz w:val="24"/>
                <w:szCs w:val="24"/>
              </w:rPr>
              <w:t>≥</w:t>
            </w:r>
          </w:p>
        </w:tc>
        <w:tc>
          <w:tcPr>
            <w:tcW w:w="474" w:type="pct"/>
            <w:tcBorders>
              <w:top w:val="nil"/>
              <w:left w:val="nil"/>
              <w:bottom w:val="single" w:color="000000" w:sz="4" w:space="0"/>
              <w:right w:val="single" w:color="000000" w:sz="4" w:space="0"/>
            </w:tcBorders>
            <w:shd w:val="clear" w:color="auto" w:fill="auto"/>
            <w:vAlign w:val="center"/>
          </w:tcPr>
          <w:p w14:paraId="7C1ABF44">
            <w:pPr>
              <w:jc w:val="center"/>
              <w:rPr>
                <w:rFonts w:ascii="宋体" w:hAnsi="宋体" w:eastAsia="宋体"/>
                <w:color w:val="000000"/>
                <w:sz w:val="24"/>
                <w:szCs w:val="24"/>
              </w:rPr>
            </w:pPr>
            <w:r>
              <w:rPr>
                <w:rFonts w:hint="eastAsia" w:ascii="宋体" w:hAnsi="宋体" w:eastAsia="宋体"/>
                <w:color w:val="000000"/>
                <w:sz w:val="24"/>
                <w:szCs w:val="24"/>
              </w:rPr>
              <w:t>100</w:t>
            </w:r>
          </w:p>
        </w:tc>
        <w:tc>
          <w:tcPr>
            <w:tcW w:w="519" w:type="pct"/>
            <w:tcBorders>
              <w:top w:val="nil"/>
              <w:left w:val="nil"/>
              <w:bottom w:val="single" w:color="000000" w:sz="4" w:space="0"/>
              <w:right w:val="single" w:color="000000" w:sz="4" w:space="0"/>
            </w:tcBorders>
            <w:shd w:val="clear" w:color="auto" w:fill="auto"/>
            <w:vAlign w:val="center"/>
          </w:tcPr>
          <w:p w14:paraId="0093A69D">
            <w:pPr>
              <w:jc w:val="center"/>
              <w:rPr>
                <w:rFonts w:ascii="宋体" w:hAnsi="宋体" w:eastAsia="宋体"/>
                <w:color w:val="000000"/>
                <w:sz w:val="24"/>
                <w:szCs w:val="24"/>
              </w:rPr>
            </w:pPr>
            <w:r>
              <w:rPr>
                <w:rFonts w:hint="eastAsia" w:ascii="宋体" w:hAnsi="宋体" w:eastAsia="宋体"/>
                <w:color w:val="000000"/>
                <w:sz w:val="24"/>
                <w:szCs w:val="24"/>
              </w:rPr>
              <w:t>%</w:t>
            </w:r>
          </w:p>
        </w:tc>
        <w:tc>
          <w:tcPr>
            <w:tcW w:w="458" w:type="pct"/>
            <w:tcBorders>
              <w:top w:val="nil"/>
              <w:left w:val="single" w:color="000000" w:sz="4" w:space="0"/>
              <w:bottom w:val="single" w:color="000000" w:sz="4" w:space="0"/>
              <w:right w:val="single" w:color="000000" w:sz="4" w:space="0"/>
            </w:tcBorders>
            <w:shd w:val="clear" w:color="auto" w:fill="auto"/>
            <w:vAlign w:val="center"/>
          </w:tcPr>
          <w:p w14:paraId="1E93D30D">
            <w:pPr>
              <w:jc w:val="center"/>
              <w:rPr>
                <w:color w:val="000000"/>
                <w:sz w:val="24"/>
                <w:szCs w:val="24"/>
              </w:rPr>
            </w:pPr>
            <w:r>
              <w:rPr>
                <w:rFonts w:hint="eastAsia"/>
                <w:color w:val="000000"/>
                <w:sz w:val="24"/>
                <w:szCs w:val="24"/>
              </w:rPr>
              <w:t>15</w:t>
            </w:r>
          </w:p>
        </w:tc>
        <w:tc>
          <w:tcPr>
            <w:tcW w:w="8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B83940">
            <w:pPr>
              <w:spacing w:line="300" w:lineRule="exact"/>
              <w:jc w:val="center"/>
              <w:rPr>
                <w:rFonts w:ascii="宋体" w:hAnsi="宋体" w:eastAsia="宋体" w:cs="宋体"/>
                <w:color w:val="000000"/>
                <w:sz w:val="24"/>
                <w:szCs w:val="24"/>
              </w:rPr>
            </w:pPr>
            <w:r>
              <w:rPr>
                <w:rFonts w:hint="eastAsia" w:ascii="宋体" w:hAnsi="宋体" w:eastAsia="宋体" w:cs="宋体"/>
                <w:color w:val="000000"/>
                <w:sz w:val="24"/>
                <w:szCs w:val="24"/>
              </w:rPr>
              <w:t>100</w:t>
            </w:r>
          </w:p>
        </w:tc>
      </w:tr>
      <w:tr w14:paraId="22F9881E">
        <w:tblPrEx>
          <w:tblCellMar>
            <w:top w:w="15" w:type="dxa"/>
            <w:left w:w="15" w:type="dxa"/>
            <w:bottom w:w="15" w:type="dxa"/>
            <w:right w:w="15" w:type="dxa"/>
          </w:tblCellMar>
        </w:tblPrEx>
        <w:trPr>
          <w:trHeight w:val="23" w:hRule="atLeast"/>
          <w:jc w:val="center"/>
        </w:trPr>
        <w:tc>
          <w:tcPr>
            <w:tcW w:w="319" w:type="pct"/>
            <w:vMerge w:val="continue"/>
            <w:tcBorders>
              <w:top w:val="single" w:color="000000" w:sz="4" w:space="0"/>
              <w:left w:val="single" w:color="000000" w:sz="4" w:space="0"/>
              <w:bottom w:val="single" w:color="000000" w:sz="4" w:space="0"/>
            </w:tcBorders>
            <w:shd w:val="clear" w:color="auto" w:fill="auto"/>
            <w:vAlign w:val="center"/>
          </w:tcPr>
          <w:p w14:paraId="660CF8DF">
            <w:pPr>
              <w:spacing w:line="300" w:lineRule="exact"/>
              <w:jc w:val="center"/>
              <w:rPr>
                <w:rFonts w:ascii="宋体" w:hAnsi="宋体" w:eastAsia="宋体" w:cs="宋体"/>
                <w:color w:val="000000"/>
                <w:sz w:val="24"/>
                <w:szCs w:val="24"/>
              </w:rPr>
            </w:pPr>
          </w:p>
        </w:tc>
        <w:tc>
          <w:tcPr>
            <w:tcW w:w="53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A704D1">
            <w:pPr>
              <w:spacing w:line="300" w:lineRule="exact"/>
              <w:jc w:val="center"/>
              <w:rPr>
                <w:rFonts w:ascii="宋体" w:hAnsi="宋体" w:eastAsia="宋体" w:cs="宋体"/>
                <w:color w:val="000000"/>
                <w:sz w:val="24"/>
                <w:szCs w:val="24"/>
              </w:rPr>
            </w:pPr>
          </w:p>
        </w:tc>
        <w:tc>
          <w:tcPr>
            <w:tcW w:w="611" w:type="pct"/>
            <w:tcBorders>
              <w:top w:val="single" w:color="000000" w:sz="4" w:space="0"/>
              <w:left w:val="single" w:color="000000" w:sz="4" w:space="0"/>
              <w:bottom w:val="single" w:color="000000" w:sz="4" w:space="0"/>
              <w:right w:val="single" w:color="auto" w:sz="4" w:space="0"/>
            </w:tcBorders>
            <w:shd w:val="clear" w:color="auto" w:fill="auto"/>
            <w:vAlign w:val="center"/>
          </w:tcPr>
          <w:p w14:paraId="4F44F15E">
            <w:pPr>
              <w:widowControl/>
              <w:spacing w:line="30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时效指标</w:t>
            </w:r>
          </w:p>
        </w:tc>
        <w:tc>
          <w:tcPr>
            <w:tcW w:w="641" w:type="pct"/>
            <w:tcBorders>
              <w:top w:val="nil"/>
              <w:left w:val="single" w:color="000000" w:sz="4" w:space="0"/>
              <w:bottom w:val="single" w:color="000000" w:sz="4" w:space="0"/>
              <w:right w:val="single" w:color="000000" w:sz="4" w:space="0"/>
            </w:tcBorders>
            <w:shd w:val="clear" w:color="auto" w:fill="auto"/>
            <w:vAlign w:val="center"/>
          </w:tcPr>
          <w:p w14:paraId="700CF342">
            <w:pPr>
              <w:jc w:val="center"/>
              <w:rPr>
                <w:rFonts w:ascii="宋体" w:hAnsi="宋体" w:eastAsia="宋体"/>
                <w:color w:val="000000"/>
                <w:sz w:val="24"/>
                <w:szCs w:val="24"/>
              </w:rPr>
            </w:pPr>
            <w:r>
              <w:rPr>
                <w:rFonts w:hint="eastAsia" w:ascii="宋体" w:hAnsi="宋体" w:eastAsia="宋体"/>
                <w:color w:val="000000"/>
                <w:sz w:val="24"/>
                <w:szCs w:val="24"/>
              </w:rPr>
              <w:t>案件办理时限达标率</w:t>
            </w:r>
          </w:p>
        </w:tc>
        <w:tc>
          <w:tcPr>
            <w:tcW w:w="551" w:type="pct"/>
            <w:tcBorders>
              <w:top w:val="nil"/>
              <w:left w:val="nil"/>
              <w:bottom w:val="single" w:color="000000" w:sz="4" w:space="0"/>
              <w:right w:val="single" w:color="000000" w:sz="4" w:space="0"/>
            </w:tcBorders>
            <w:shd w:val="clear" w:color="auto" w:fill="auto"/>
            <w:vAlign w:val="center"/>
          </w:tcPr>
          <w:p w14:paraId="0FFEE2B7">
            <w:pPr>
              <w:jc w:val="center"/>
              <w:rPr>
                <w:rFonts w:ascii="宋体" w:hAnsi="宋体" w:eastAsia="宋体"/>
                <w:color w:val="000000"/>
                <w:sz w:val="24"/>
                <w:szCs w:val="24"/>
              </w:rPr>
            </w:pPr>
            <w:r>
              <w:rPr>
                <w:rFonts w:hint="eastAsia" w:ascii="宋体" w:hAnsi="宋体" w:eastAsia="宋体"/>
                <w:color w:val="000000"/>
                <w:sz w:val="24"/>
                <w:szCs w:val="24"/>
              </w:rPr>
              <w:t>≥</w:t>
            </w:r>
          </w:p>
        </w:tc>
        <w:tc>
          <w:tcPr>
            <w:tcW w:w="474" w:type="pct"/>
            <w:tcBorders>
              <w:top w:val="nil"/>
              <w:left w:val="nil"/>
              <w:bottom w:val="single" w:color="000000" w:sz="4" w:space="0"/>
              <w:right w:val="single" w:color="000000" w:sz="4" w:space="0"/>
            </w:tcBorders>
            <w:shd w:val="clear" w:color="auto" w:fill="auto"/>
            <w:vAlign w:val="center"/>
          </w:tcPr>
          <w:p w14:paraId="03DB3DC5">
            <w:pPr>
              <w:jc w:val="center"/>
              <w:rPr>
                <w:rFonts w:ascii="宋体" w:hAnsi="宋体" w:eastAsia="宋体"/>
                <w:color w:val="000000"/>
                <w:sz w:val="24"/>
                <w:szCs w:val="24"/>
              </w:rPr>
            </w:pPr>
            <w:r>
              <w:rPr>
                <w:rFonts w:hint="eastAsia" w:ascii="宋体" w:hAnsi="宋体" w:eastAsia="宋体"/>
                <w:color w:val="000000"/>
                <w:sz w:val="24"/>
                <w:szCs w:val="24"/>
              </w:rPr>
              <w:t>100</w:t>
            </w:r>
          </w:p>
        </w:tc>
        <w:tc>
          <w:tcPr>
            <w:tcW w:w="519" w:type="pct"/>
            <w:tcBorders>
              <w:top w:val="nil"/>
              <w:left w:val="nil"/>
              <w:bottom w:val="single" w:color="000000" w:sz="4" w:space="0"/>
              <w:right w:val="single" w:color="000000" w:sz="4" w:space="0"/>
            </w:tcBorders>
            <w:shd w:val="clear" w:color="auto" w:fill="auto"/>
            <w:vAlign w:val="center"/>
          </w:tcPr>
          <w:p w14:paraId="76A8BA78">
            <w:pPr>
              <w:jc w:val="center"/>
              <w:rPr>
                <w:rFonts w:ascii="宋体" w:hAnsi="宋体" w:eastAsia="宋体"/>
                <w:color w:val="000000"/>
                <w:sz w:val="24"/>
                <w:szCs w:val="24"/>
              </w:rPr>
            </w:pPr>
            <w:r>
              <w:rPr>
                <w:rFonts w:hint="eastAsia" w:ascii="宋体" w:hAnsi="宋体" w:eastAsia="宋体"/>
                <w:color w:val="000000"/>
                <w:sz w:val="24"/>
                <w:szCs w:val="24"/>
              </w:rPr>
              <w:t>%</w:t>
            </w:r>
          </w:p>
        </w:tc>
        <w:tc>
          <w:tcPr>
            <w:tcW w:w="458" w:type="pct"/>
            <w:tcBorders>
              <w:top w:val="nil"/>
              <w:left w:val="single" w:color="000000" w:sz="4" w:space="0"/>
              <w:bottom w:val="single" w:color="000000" w:sz="4" w:space="0"/>
              <w:right w:val="single" w:color="000000" w:sz="4" w:space="0"/>
            </w:tcBorders>
            <w:shd w:val="clear" w:color="auto" w:fill="auto"/>
            <w:vAlign w:val="center"/>
          </w:tcPr>
          <w:p w14:paraId="2F4C3D70">
            <w:pPr>
              <w:jc w:val="center"/>
              <w:rPr>
                <w:color w:val="000000"/>
                <w:sz w:val="24"/>
                <w:szCs w:val="24"/>
              </w:rPr>
            </w:pPr>
            <w:r>
              <w:rPr>
                <w:rFonts w:hint="eastAsia"/>
                <w:color w:val="000000"/>
                <w:sz w:val="24"/>
                <w:szCs w:val="24"/>
              </w:rPr>
              <w:t>15</w:t>
            </w:r>
          </w:p>
        </w:tc>
        <w:tc>
          <w:tcPr>
            <w:tcW w:w="8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485005">
            <w:pPr>
              <w:spacing w:line="300" w:lineRule="exact"/>
              <w:jc w:val="center"/>
              <w:rPr>
                <w:rFonts w:ascii="宋体" w:hAnsi="宋体" w:eastAsia="宋体" w:cs="宋体"/>
                <w:color w:val="000000"/>
                <w:sz w:val="24"/>
                <w:szCs w:val="24"/>
              </w:rPr>
            </w:pPr>
            <w:r>
              <w:rPr>
                <w:rFonts w:hint="eastAsia" w:ascii="宋体" w:hAnsi="宋体" w:eastAsia="宋体" w:cs="宋体"/>
                <w:color w:val="000000"/>
                <w:sz w:val="24"/>
                <w:szCs w:val="24"/>
              </w:rPr>
              <w:t>100</w:t>
            </w:r>
          </w:p>
        </w:tc>
      </w:tr>
      <w:tr w14:paraId="5DB0E594">
        <w:tblPrEx>
          <w:tblCellMar>
            <w:top w:w="15" w:type="dxa"/>
            <w:left w:w="15" w:type="dxa"/>
            <w:bottom w:w="15" w:type="dxa"/>
            <w:right w:w="15" w:type="dxa"/>
          </w:tblCellMar>
        </w:tblPrEx>
        <w:trPr>
          <w:trHeight w:val="23" w:hRule="atLeast"/>
          <w:jc w:val="center"/>
        </w:trPr>
        <w:tc>
          <w:tcPr>
            <w:tcW w:w="319" w:type="pct"/>
            <w:vMerge w:val="continue"/>
            <w:tcBorders>
              <w:top w:val="single" w:color="000000" w:sz="4" w:space="0"/>
              <w:left w:val="single" w:color="000000" w:sz="4" w:space="0"/>
              <w:bottom w:val="single" w:color="000000" w:sz="4" w:space="0"/>
            </w:tcBorders>
            <w:shd w:val="clear" w:color="auto" w:fill="auto"/>
            <w:vAlign w:val="center"/>
          </w:tcPr>
          <w:p w14:paraId="6702E8C7">
            <w:pPr>
              <w:spacing w:line="300" w:lineRule="exact"/>
              <w:jc w:val="center"/>
              <w:rPr>
                <w:rFonts w:ascii="宋体" w:hAnsi="宋体" w:eastAsia="宋体" w:cs="宋体"/>
                <w:color w:val="000000"/>
                <w:sz w:val="24"/>
                <w:szCs w:val="24"/>
              </w:rPr>
            </w:pP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4244EC">
            <w:pPr>
              <w:widowControl/>
              <w:spacing w:line="30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效益指标</w:t>
            </w:r>
          </w:p>
        </w:tc>
        <w:tc>
          <w:tcPr>
            <w:tcW w:w="611" w:type="pct"/>
            <w:tcBorders>
              <w:top w:val="single" w:color="000000" w:sz="4" w:space="0"/>
              <w:left w:val="single" w:color="000000" w:sz="4" w:space="0"/>
              <w:bottom w:val="single" w:color="000000" w:sz="4" w:space="0"/>
              <w:right w:val="single" w:color="auto" w:sz="4" w:space="0"/>
            </w:tcBorders>
            <w:shd w:val="clear" w:color="auto" w:fill="auto"/>
            <w:vAlign w:val="center"/>
          </w:tcPr>
          <w:p w14:paraId="2BDE4A8F">
            <w:pPr>
              <w:widowControl/>
              <w:spacing w:line="30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社会</w:t>
            </w:r>
            <w:r>
              <w:rPr>
                <w:rFonts w:ascii="宋体" w:hAnsi="宋体" w:eastAsia="宋体" w:cs="宋体"/>
                <w:color w:val="000000"/>
                <w:kern w:val="0"/>
                <w:sz w:val="24"/>
                <w:szCs w:val="24"/>
                <w:lang w:bidi="ar"/>
              </w:rPr>
              <w:t>效益</w:t>
            </w:r>
          </w:p>
          <w:p w14:paraId="33954607">
            <w:pPr>
              <w:widowControl/>
              <w:spacing w:line="30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指标</w:t>
            </w:r>
          </w:p>
        </w:tc>
        <w:tc>
          <w:tcPr>
            <w:tcW w:w="641" w:type="pct"/>
            <w:tcBorders>
              <w:top w:val="nil"/>
              <w:left w:val="single" w:color="000000" w:sz="4" w:space="0"/>
              <w:bottom w:val="single" w:color="000000" w:sz="4" w:space="0"/>
              <w:right w:val="single" w:color="000000" w:sz="4" w:space="0"/>
            </w:tcBorders>
            <w:shd w:val="clear" w:color="auto" w:fill="auto"/>
            <w:vAlign w:val="center"/>
          </w:tcPr>
          <w:p w14:paraId="0CB8C75A">
            <w:pPr>
              <w:jc w:val="center"/>
              <w:rPr>
                <w:rFonts w:hint="eastAsia" w:ascii="宋体" w:hAnsi="宋体" w:eastAsia="宋体"/>
                <w:color w:val="000000"/>
                <w:sz w:val="24"/>
                <w:szCs w:val="24"/>
                <w:lang w:eastAsia="zh-CN"/>
              </w:rPr>
            </w:pPr>
            <w:r>
              <w:rPr>
                <w:rFonts w:hint="eastAsia" w:ascii="宋体" w:hAnsi="宋体" w:eastAsia="宋体"/>
                <w:color w:val="000000"/>
                <w:sz w:val="24"/>
                <w:szCs w:val="24"/>
                <w:lang w:val="en-US" w:eastAsia="zh-CN"/>
              </w:rPr>
              <w:t>社会满意度</w:t>
            </w:r>
          </w:p>
        </w:tc>
        <w:tc>
          <w:tcPr>
            <w:tcW w:w="551" w:type="pct"/>
            <w:tcBorders>
              <w:top w:val="nil"/>
              <w:left w:val="nil"/>
              <w:bottom w:val="single" w:color="000000" w:sz="4" w:space="0"/>
              <w:right w:val="single" w:color="000000" w:sz="4" w:space="0"/>
            </w:tcBorders>
            <w:shd w:val="clear" w:color="auto" w:fill="auto"/>
            <w:vAlign w:val="center"/>
          </w:tcPr>
          <w:p w14:paraId="18E5469D">
            <w:pPr>
              <w:jc w:val="center"/>
              <w:rPr>
                <w:rFonts w:ascii="宋体" w:hAnsi="宋体" w:eastAsia="宋体"/>
                <w:color w:val="000000"/>
                <w:sz w:val="24"/>
                <w:szCs w:val="24"/>
              </w:rPr>
            </w:pPr>
            <w:r>
              <w:rPr>
                <w:rFonts w:hint="eastAsia" w:ascii="宋体" w:hAnsi="宋体" w:eastAsia="宋体"/>
                <w:color w:val="000000"/>
                <w:sz w:val="24"/>
                <w:szCs w:val="24"/>
              </w:rPr>
              <w:t>≥</w:t>
            </w:r>
          </w:p>
        </w:tc>
        <w:tc>
          <w:tcPr>
            <w:tcW w:w="474" w:type="pct"/>
            <w:tcBorders>
              <w:top w:val="nil"/>
              <w:left w:val="nil"/>
              <w:bottom w:val="single" w:color="000000" w:sz="4" w:space="0"/>
              <w:right w:val="single" w:color="000000" w:sz="4" w:space="0"/>
            </w:tcBorders>
            <w:shd w:val="clear" w:color="auto" w:fill="auto"/>
            <w:vAlign w:val="center"/>
          </w:tcPr>
          <w:p w14:paraId="6B2E96E6">
            <w:pPr>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90</w:t>
            </w:r>
          </w:p>
        </w:tc>
        <w:tc>
          <w:tcPr>
            <w:tcW w:w="519" w:type="pct"/>
            <w:tcBorders>
              <w:top w:val="nil"/>
              <w:left w:val="nil"/>
              <w:bottom w:val="single" w:color="000000" w:sz="4" w:space="0"/>
              <w:right w:val="single" w:color="000000" w:sz="4" w:space="0"/>
            </w:tcBorders>
            <w:shd w:val="clear" w:color="auto" w:fill="auto"/>
            <w:vAlign w:val="center"/>
          </w:tcPr>
          <w:p w14:paraId="27BBB30B">
            <w:pPr>
              <w:jc w:val="center"/>
              <w:rPr>
                <w:rFonts w:hint="eastAsia" w:ascii="宋体" w:hAnsi="宋体" w:eastAsia="宋体"/>
                <w:color w:val="000000"/>
                <w:sz w:val="24"/>
                <w:szCs w:val="24"/>
                <w:lang w:eastAsia="zh-CN"/>
              </w:rPr>
            </w:pPr>
            <w:r>
              <w:rPr>
                <w:rFonts w:hint="eastAsia" w:ascii="宋体" w:hAnsi="宋体" w:eastAsia="宋体"/>
                <w:color w:val="000000"/>
                <w:sz w:val="24"/>
                <w:szCs w:val="24"/>
                <w:lang w:val="en-US" w:eastAsia="zh-CN"/>
              </w:rPr>
              <w:t>%</w:t>
            </w:r>
          </w:p>
        </w:tc>
        <w:tc>
          <w:tcPr>
            <w:tcW w:w="458" w:type="pct"/>
            <w:tcBorders>
              <w:top w:val="nil"/>
              <w:left w:val="single" w:color="000000" w:sz="4" w:space="0"/>
              <w:bottom w:val="single" w:color="000000" w:sz="4" w:space="0"/>
              <w:right w:val="single" w:color="000000" w:sz="4" w:space="0"/>
            </w:tcBorders>
            <w:shd w:val="clear" w:color="auto" w:fill="auto"/>
            <w:vAlign w:val="center"/>
          </w:tcPr>
          <w:p w14:paraId="283B3D24">
            <w:pPr>
              <w:jc w:val="center"/>
              <w:rPr>
                <w:color w:val="000000"/>
                <w:sz w:val="24"/>
                <w:szCs w:val="24"/>
              </w:rPr>
            </w:pPr>
            <w:r>
              <w:rPr>
                <w:rFonts w:hint="eastAsia"/>
                <w:color w:val="000000"/>
                <w:sz w:val="24"/>
                <w:szCs w:val="24"/>
              </w:rPr>
              <w:t>30</w:t>
            </w:r>
          </w:p>
        </w:tc>
        <w:tc>
          <w:tcPr>
            <w:tcW w:w="8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D1307B">
            <w:pPr>
              <w:spacing w:line="300" w:lineRule="exact"/>
              <w:jc w:val="cente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90</w:t>
            </w:r>
          </w:p>
        </w:tc>
      </w:tr>
      <w:tr w14:paraId="30D471C4">
        <w:tblPrEx>
          <w:tblCellMar>
            <w:top w:w="15" w:type="dxa"/>
            <w:left w:w="15" w:type="dxa"/>
            <w:bottom w:w="15" w:type="dxa"/>
            <w:right w:w="15" w:type="dxa"/>
          </w:tblCellMar>
        </w:tblPrEx>
        <w:trPr>
          <w:trHeight w:val="939" w:hRule="atLeast"/>
          <w:jc w:val="center"/>
        </w:trPr>
        <w:tc>
          <w:tcPr>
            <w:tcW w:w="319" w:type="pct"/>
            <w:vMerge w:val="continue"/>
            <w:tcBorders>
              <w:top w:val="single" w:color="000000" w:sz="4" w:space="0"/>
              <w:left w:val="single" w:color="000000" w:sz="4" w:space="0"/>
              <w:bottom w:val="single" w:color="000000" w:sz="4" w:space="0"/>
            </w:tcBorders>
            <w:shd w:val="clear" w:color="auto" w:fill="auto"/>
            <w:vAlign w:val="center"/>
          </w:tcPr>
          <w:p w14:paraId="0AEDD89A">
            <w:pPr>
              <w:spacing w:line="300" w:lineRule="exact"/>
              <w:jc w:val="center"/>
              <w:rPr>
                <w:rFonts w:ascii="宋体" w:hAnsi="宋体" w:eastAsia="宋体" w:cs="宋体"/>
                <w:color w:val="000000"/>
                <w:sz w:val="24"/>
                <w:szCs w:val="24"/>
              </w:rPr>
            </w:pPr>
          </w:p>
        </w:tc>
        <w:tc>
          <w:tcPr>
            <w:tcW w:w="530" w:type="pct"/>
            <w:tcBorders>
              <w:top w:val="single" w:color="000000" w:sz="4" w:space="0"/>
              <w:left w:val="single" w:color="000000" w:sz="4" w:space="0"/>
              <w:right w:val="single" w:color="000000" w:sz="4" w:space="0"/>
            </w:tcBorders>
            <w:shd w:val="clear" w:color="auto" w:fill="auto"/>
            <w:vAlign w:val="center"/>
          </w:tcPr>
          <w:p w14:paraId="1F1B8520">
            <w:pPr>
              <w:widowControl/>
              <w:spacing w:line="300" w:lineRule="exact"/>
              <w:jc w:val="center"/>
              <w:textAlignment w:val="center"/>
              <w:rPr>
                <w:rFonts w:ascii="宋体" w:hAnsi="宋体" w:eastAsia="宋体" w:cs="宋体"/>
                <w:color w:val="000000"/>
                <w:kern w:val="0"/>
                <w:sz w:val="24"/>
                <w:szCs w:val="24"/>
                <w:lang w:bidi="ar"/>
              </w:rPr>
            </w:pPr>
            <w:r>
              <w:rPr>
                <w:rFonts w:ascii="宋体" w:hAnsi="宋体" w:eastAsia="宋体" w:cs="宋体"/>
                <w:color w:val="000000"/>
                <w:kern w:val="0"/>
                <w:sz w:val="24"/>
                <w:szCs w:val="24"/>
                <w:lang w:bidi="ar"/>
              </w:rPr>
              <w:t>满意度</w:t>
            </w:r>
          </w:p>
          <w:p w14:paraId="09B5AFD8">
            <w:pPr>
              <w:widowControl/>
              <w:spacing w:line="30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指标</w:t>
            </w:r>
          </w:p>
        </w:tc>
        <w:tc>
          <w:tcPr>
            <w:tcW w:w="611" w:type="pct"/>
            <w:tcBorders>
              <w:top w:val="single" w:color="000000" w:sz="4" w:space="0"/>
              <w:left w:val="single" w:color="000000" w:sz="4" w:space="0"/>
              <w:right w:val="single" w:color="auto" w:sz="4" w:space="0"/>
            </w:tcBorders>
            <w:shd w:val="clear" w:color="auto" w:fill="auto"/>
            <w:vAlign w:val="center"/>
          </w:tcPr>
          <w:p w14:paraId="0A79323D">
            <w:pPr>
              <w:widowControl/>
              <w:spacing w:line="300" w:lineRule="exact"/>
              <w:jc w:val="center"/>
              <w:textAlignment w:val="center"/>
              <w:rPr>
                <w:rFonts w:ascii="宋体" w:hAnsi="宋体" w:eastAsia="宋体" w:cs="宋体"/>
                <w:color w:val="000000"/>
                <w:kern w:val="0"/>
                <w:sz w:val="24"/>
                <w:szCs w:val="24"/>
                <w:lang w:bidi="ar"/>
              </w:rPr>
            </w:pPr>
            <w:r>
              <w:rPr>
                <w:rFonts w:ascii="宋体" w:hAnsi="宋体" w:eastAsia="宋体" w:cs="宋体"/>
                <w:color w:val="000000"/>
                <w:kern w:val="0"/>
                <w:sz w:val="24"/>
                <w:szCs w:val="24"/>
                <w:lang w:bidi="ar"/>
              </w:rPr>
              <w:t>服务对象</w:t>
            </w:r>
          </w:p>
          <w:p w14:paraId="4B153D4E">
            <w:pPr>
              <w:widowControl/>
              <w:spacing w:line="30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满意度指标</w:t>
            </w:r>
          </w:p>
        </w:tc>
        <w:tc>
          <w:tcPr>
            <w:tcW w:w="641" w:type="pct"/>
            <w:tcBorders>
              <w:top w:val="nil"/>
              <w:left w:val="single" w:color="000000" w:sz="4" w:space="0"/>
              <w:bottom w:val="single" w:color="000000" w:sz="4" w:space="0"/>
              <w:right w:val="single" w:color="000000" w:sz="4" w:space="0"/>
            </w:tcBorders>
            <w:shd w:val="clear" w:color="auto" w:fill="auto"/>
            <w:vAlign w:val="center"/>
          </w:tcPr>
          <w:p w14:paraId="0B597375">
            <w:pPr>
              <w:jc w:val="center"/>
              <w:rPr>
                <w:rFonts w:ascii="宋体" w:hAnsi="宋体" w:eastAsia="宋体"/>
                <w:color w:val="000000"/>
                <w:sz w:val="24"/>
                <w:szCs w:val="24"/>
              </w:rPr>
            </w:pPr>
            <w:r>
              <w:rPr>
                <w:rFonts w:hint="eastAsia" w:ascii="宋体" w:hAnsi="宋体" w:eastAsia="宋体"/>
                <w:color w:val="000000"/>
                <w:sz w:val="24"/>
                <w:szCs w:val="24"/>
              </w:rPr>
              <w:t>办案人员被投诉次数</w:t>
            </w:r>
          </w:p>
        </w:tc>
        <w:tc>
          <w:tcPr>
            <w:tcW w:w="551" w:type="pct"/>
            <w:tcBorders>
              <w:top w:val="nil"/>
              <w:left w:val="nil"/>
              <w:bottom w:val="single" w:color="000000" w:sz="4" w:space="0"/>
              <w:right w:val="single" w:color="000000" w:sz="4" w:space="0"/>
            </w:tcBorders>
            <w:shd w:val="clear" w:color="auto" w:fill="auto"/>
            <w:vAlign w:val="center"/>
          </w:tcPr>
          <w:p w14:paraId="2B0E4828">
            <w:pPr>
              <w:jc w:val="center"/>
              <w:rPr>
                <w:rFonts w:ascii="宋体" w:hAnsi="宋体" w:eastAsia="宋体"/>
                <w:color w:val="000000"/>
                <w:sz w:val="24"/>
                <w:szCs w:val="24"/>
              </w:rPr>
            </w:pPr>
            <w:r>
              <w:rPr>
                <w:rFonts w:hint="eastAsia" w:ascii="宋体" w:hAnsi="宋体" w:eastAsia="宋体"/>
                <w:color w:val="000000"/>
                <w:sz w:val="24"/>
                <w:szCs w:val="24"/>
              </w:rPr>
              <w:t>≤</w:t>
            </w:r>
          </w:p>
        </w:tc>
        <w:tc>
          <w:tcPr>
            <w:tcW w:w="474" w:type="pct"/>
            <w:tcBorders>
              <w:top w:val="nil"/>
              <w:left w:val="nil"/>
              <w:bottom w:val="single" w:color="000000" w:sz="4" w:space="0"/>
              <w:right w:val="single" w:color="000000" w:sz="4" w:space="0"/>
            </w:tcBorders>
            <w:shd w:val="clear" w:color="auto" w:fill="auto"/>
            <w:vAlign w:val="center"/>
          </w:tcPr>
          <w:p w14:paraId="06317AC7">
            <w:pPr>
              <w:jc w:val="center"/>
              <w:rPr>
                <w:rFonts w:ascii="宋体" w:hAnsi="宋体" w:eastAsia="宋体"/>
                <w:color w:val="000000"/>
                <w:sz w:val="24"/>
                <w:szCs w:val="24"/>
              </w:rPr>
            </w:pPr>
            <w:r>
              <w:rPr>
                <w:rFonts w:hint="eastAsia" w:ascii="宋体" w:hAnsi="宋体" w:eastAsia="宋体"/>
                <w:color w:val="000000"/>
                <w:sz w:val="24"/>
                <w:szCs w:val="24"/>
              </w:rPr>
              <w:t>10</w:t>
            </w:r>
          </w:p>
        </w:tc>
        <w:tc>
          <w:tcPr>
            <w:tcW w:w="519" w:type="pct"/>
            <w:tcBorders>
              <w:top w:val="nil"/>
              <w:left w:val="nil"/>
              <w:bottom w:val="single" w:color="000000" w:sz="4" w:space="0"/>
              <w:right w:val="single" w:color="000000" w:sz="4" w:space="0"/>
            </w:tcBorders>
            <w:shd w:val="clear" w:color="auto" w:fill="auto"/>
            <w:vAlign w:val="center"/>
          </w:tcPr>
          <w:p w14:paraId="2CF2EAC9">
            <w:pPr>
              <w:jc w:val="center"/>
              <w:rPr>
                <w:rFonts w:ascii="宋体" w:hAnsi="宋体" w:eastAsia="宋体"/>
                <w:color w:val="000000"/>
                <w:sz w:val="24"/>
                <w:szCs w:val="24"/>
              </w:rPr>
            </w:pPr>
            <w:r>
              <w:rPr>
                <w:rFonts w:hint="eastAsia" w:ascii="宋体" w:hAnsi="宋体" w:eastAsia="宋体"/>
                <w:color w:val="000000"/>
                <w:sz w:val="24"/>
                <w:szCs w:val="24"/>
              </w:rPr>
              <w:t>次</w:t>
            </w:r>
          </w:p>
        </w:tc>
        <w:tc>
          <w:tcPr>
            <w:tcW w:w="458" w:type="pct"/>
            <w:tcBorders>
              <w:top w:val="nil"/>
              <w:left w:val="single" w:color="000000" w:sz="4" w:space="0"/>
              <w:bottom w:val="single" w:color="000000" w:sz="4" w:space="0"/>
              <w:right w:val="single" w:color="000000" w:sz="4" w:space="0"/>
            </w:tcBorders>
            <w:shd w:val="clear" w:color="auto" w:fill="auto"/>
            <w:vAlign w:val="center"/>
          </w:tcPr>
          <w:p w14:paraId="71676204">
            <w:pPr>
              <w:jc w:val="center"/>
              <w:rPr>
                <w:color w:val="000000"/>
                <w:sz w:val="24"/>
                <w:szCs w:val="24"/>
              </w:rPr>
            </w:pPr>
            <w:r>
              <w:rPr>
                <w:rFonts w:hint="eastAsia"/>
                <w:color w:val="000000"/>
                <w:sz w:val="24"/>
                <w:szCs w:val="24"/>
              </w:rPr>
              <w:t>10</w:t>
            </w:r>
          </w:p>
        </w:tc>
        <w:tc>
          <w:tcPr>
            <w:tcW w:w="8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429719">
            <w:pPr>
              <w:spacing w:line="300" w:lineRule="exact"/>
              <w:jc w:val="center"/>
              <w:rPr>
                <w:rFonts w:ascii="宋体" w:hAnsi="宋体" w:eastAsia="宋体" w:cs="宋体"/>
                <w:color w:val="000000"/>
                <w:sz w:val="24"/>
                <w:szCs w:val="24"/>
              </w:rPr>
            </w:pPr>
            <w:r>
              <w:rPr>
                <w:rFonts w:hint="eastAsia" w:ascii="宋体" w:hAnsi="宋体" w:eastAsia="宋体" w:cs="宋体"/>
                <w:color w:val="000000"/>
                <w:sz w:val="24"/>
                <w:szCs w:val="24"/>
              </w:rPr>
              <w:t>10</w:t>
            </w:r>
          </w:p>
        </w:tc>
      </w:tr>
      <w:tr w14:paraId="2E3D0567">
        <w:tblPrEx>
          <w:tblCellMar>
            <w:top w:w="15" w:type="dxa"/>
            <w:left w:w="15" w:type="dxa"/>
            <w:bottom w:w="15" w:type="dxa"/>
            <w:right w:w="15" w:type="dxa"/>
          </w:tblCellMar>
        </w:tblPrEx>
        <w:trPr>
          <w:trHeight w:val="23" w:hRule="atLeast"/>
          <w:jc w:val="center"/>
        </w:trPr>
        <w:tc>
          <w:tcPr>
            <w:tcW w:w="319" w:type="pct"/>
            <w:vMerge w:val="continue"/>
            <w:tcBorders>
              <w:top w:val="single" w:color="000000" w:sz="4" w:space="0"/>
              <w:left w:val="single" w:color="000000" w:sz="4" w:space="0"/>
              <w:bottom w:val="single" w:color="000000" w:sz="4" w:space="0"/>
            </w:tcBorders>
            <w:shd w:val="clear" w:color="auto" w:fill="auto"/>
            <w:vAlign w:val="center"/>
          </w:tcPr>
          <w:p w14:paraId="6C878C0B">
            <w:pPr>
              <w:spacing w:line="300" w:lineRule="exact"/>
              <w:jc w:val="center"/>
              <w:rPr>
                <w:rFonts w:ascii="宋体" w:hAnsi="宋体" w:eastAsia="宋体" w:cs="宋体"/>
                <w:color w:val="000000"/>
                <w:sz w:val="24"/>
                <w:szCs w:val="24"/>
              </w:rPr>
            </w:pP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04517C">
            <w:pPr>
              <w:widowControl/>
              <w:spacing w:line="30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成本指标</w:t>
            </w:r>
          </w:p>
        </w:tc>
        <w:tc>
          <w:tcPr>
            <w:tcW w:w="611" w:type="pct"/>
            <w:tcBorders>
              <w:top w:val="single" w:color="000000" w:sz="4" w:space="0"/>
              <w:left w:val="single" w:color="000000" w:sz="4" w:space="0"/>
              <w:bottom w:val="single" w:color="000000" w:sz="4" w:space="0"/>
              <w:right w:val="single" w:color="auto" w:sz="4" w:space="0"/>
            </w:tcBorders>
            <w:shd w:val="clear" w:color="auto" w:fill="auto"/>
            <w:vAlign w:val="center"/>
          </w:tcPr>
          <w:p w14:paraId="384E0C53">
            <w:pPr>
              <w:widowControl/>
              <w:spacing w:line="300" w:lineRule="exact"/>
              <w:jc w:val="center"/>
              <w:textAlignment w:val="center"/>
              <w:rPr>
                <w:rFonts w:ascii="宋体" w:hAnsi="宋体" w:eastAsia="宋体" w:cs="宋体"/>
                <w:color w:val="000000"/>
                <w:kern w:val="0"/>
                <w:sz w:val="24"/>
                <w:szCs w:val="24"/>
                <w:lang w:bidi="ar"/>
              </w:rPr>
            </w:pPr>
            <w:r>
              <w:rPr>
                <w:rFonts w:ascii="宋体" w:hAnsi="宋体" w:eastAsia="宋体" w:cs="宋体"/>
                <w:color w:val="000000"/>
                <w:kern w:val="0"/>
                <w:sz w:val="24"/>
                <w:szCs w:val="24"/>
                <w:lang w:bidi="ar"/>
              </w:rPr>
              <w:t>经济成本</w:t>
            </w:r>
          </w:p>
          <w:p w14:paraId="748604E0">
            <w:pPr>
              <w:widowControl/>
              <w:spacing w:line="30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指标</w:t>
            </w:r>
          </w:p>
        </w:tc>
        <w:tc>
          <w:tcPr>
            <w:tcW w:w="641" w:type="pct"/>
            <w:tcBorders>
              <w:top w:val="nil"/>
              <w:left w:val="single" w:color="000000" w:sz="4" w:space="0"/>
              <w:bottom w:val="single" w:color="000000" w:sz="4" w:space="0"/>
              <w:right w:val="single" w:color="000000" w:sz="4" w:space="0"/>
            </w:tcBorders>
            <w:shd w:val="clear" w:color="auto" w:fill="auto"/>
            <w:vAlign w:val="center"/>
          </w:tcPr>
          <w:p w14:paraId="6BD3F07D">
            <w:pPr>
              <w:jc w:val="center"/>
              <w:rPr>
                <w:rFonts w:ascii="宋体" w:hAnsi="宋体" w:eastAsia="宋体"/>
                <w:color w:val="000000"/>
                <w:sz w:val="24"/>
                <w:szCs w:val="24"/>
              </w:rPr>
            </w:pPr>
            <w:r>
              <w:rPr>
                <w:rFonts w:hint="eastAsia" w:ascii="宋体" w:hAnsi="宋体" w:eastAsia="宋体"/>
                <w:color w:val="000000"/>
                <w:sz w:val="24"/>
                <w:szCs w:val="24"/>
              </w:rPr>
              <w:t>项目成本</w:t>
            </w:r>
          </w:p>
        </w:tc>
        <w:tc>
          <w:tcPr>
            <w:tcW w:w="551" w:type="pct"/>
            <w:tcBorders>
              <w:top w:val="nil"/>
              <w:left w:val="nil"/>
              <w:bottom w:val="single" w:color="000000" w:sz="4" w:space="0"/>
              <w:right w:val="single" w:color="000000" w:sz="4" w:space="0"/>
            </w:tcBorders>
            <w:shd w:val="clear" w:color="auto" w:fill="auto"/>
            <w:vAlign w:val="center"/>
          </w:tcPr>
          <w:p w14:paraId="4DF541C7">
            <w:pPr>
              <w:jc w:val="center"/>
              <w:rPr>
                <w:rFonts w:ascii="宋体" w:hAnsi="宋体" w:eastAsia="宋体"/>
                <w:color w:val="000000"/>
                <w:sz w:val="24"/>
                <w:szCs w:val="24"/>
              </w:rPr>
            </w:pPr>
            <w:r>
              <w:rPr>
                <w:rFonts w:hint="eastAsia" w:ascii="宋体" w:hAnsi="宋体" w:eastAsia="宋体"/>
                <w:color w:val="000000"/>
                <w:sz w:val="24"/>
                <w:szCs w:val="24"/>
              </w:rPr>
              <w:t>＝</w:t>
            </w:r>
          </w:p>
        </w:tc>
        <w:tc>
          <w:tcPr>
            <w:tcW w:w="474" w:type="pct"/>
            <w:tcBorders>
              <w:top w:val="nil"/>
              <w:left w:val="nil"/>
              <w:bottom w:val="single" w:color="000000" w:sz="4" w:space="0"/>
              <w:right w:val="single" w:color="000000" w:sz="4" w:space="0"/>
            </w:tcBorders>
            <w:shd w:val="clear" w:color="auto" w:fill="auto"/>
            <w:vAlign w:val="center"/>
          </w:tcPr>
          <w:p w14:paraId="4A8A600C">
            <w:pPr>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18.05</w:t>
            </w:r>
          </w:p>
        </w:tc>
        <w:tc>
          <w:tcPr>
            <w:tcW w:w="519" w:type="pct"/>
            <w:tcBorders>
              <w:top w:val="nil"/>
              <w:left w:val="nil"/>
              <w:bottom w:val="single" w:color="000000" w:sz="4" w:space="0"/>
              <w:right w:val="single" w:color="000000" w:sz="4" w:space="0"/>
            </w:tcBorders>
            <w:shd w:val="clear" w:color="auto" w:fill="auto"/>
            <w:vAlign w:val="center"/>
          </w:tcPr>
          <w:p w14:paraId="323FF3A7">
            <w:pPr>
              <w:jc w:val="center"/>
              <w:rPr>
                <w:rFonts w:ascii="宋体" w:hAnsi="宋体" w:eastAsia="宋体"/>
                <w:color w:val="000000"/>
                <w:sz w:val="24"/>
                <w:szCs w:val="24"/>
              </w:rPr>
            </w:pPr>
            <w:r>
              <w:rPr>
                <w:rFonts w:hint="eastAsia" w:ascii="宋体" w:hAnsi="宋体" w:eastAsia="宋体"/>
                <w:color w:val="000000"/>
                <w:sz w:val="24"/>
                <w:szCs w:val="24"/>
              </w:rPr>
              <w:t>万</w:t>
            </w:r>
          </w:p>
        </w:tc>
        <w:tc>
          <w:tcPr>
            <w:tcW w:w="458" w:type="pct"/>
            <w:tcBorders>
              <w:top w:val="nil"/>
              <w:left w:val="single" w:color="000000" w:sz="4" w:space="0"/>
              <w:bottom w:val="single" w:color="000000" w:sz="4" w:space="0"/>
              <w:right w:val="single" w:color="000000" w:sz="4" w:space="0"/>
            </w:tcBorders>
            <w:shd w:val="clear" w:color="auto" w:fill="auto"/>
            <w:vAlign w:val="center"/>
          </w:tcPr>
          <w:p w14:paraId="6444E47F">
            <w:pPr>
              <w:jc w:val="center"/>
              <w:rPr>
                <w:color w:val="000000"/>
                <w:sz w:val="24"/>
                <w:szCs w:val="24"/>
              </w:rPr>
            </w:pPr>
            <w:r>
              <w:rPr>
                <w:rFonts w:hint="eastAsia"/>
                <w:color w:val="000000"/>
                <w:sz w:val="24"/>
                <w:szCs w:val="24"/>
              </w:rPr>
              <w:t>10</w:t>
            </w:r>
          </w:p>
        </w:tc>
        <w:tc>
          <w:tcPr>
            <w:tcW w:w="8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3605AA">
            <w:pPr>
              <w:spacing w:line="300" w:lineRule="exact"/>
              <w:jc w:val="cente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18.05</w:t>
            </w:r>
          </w:p>
        </w:tc>
      </w:tr>
    </w:tbl>
    <w:p w14:paraId="32EAFDDC">
      <w:pPr>
        <w:keepNext w:val="0"/>
        <w:keepLines w:val="0"/>
        <w:pageBreakBefore w:val="0"/>
        <w:widowControl w:val="0"/>
        <w:kinsoku/>
        <w:wordWrap/>
        <w:overflowPunct/>
        <w:topLinePunct w:val="0"/>
        <w:autoSpaceDE w:val="0"/>
        <w:autoSpaceDN w:val="0"/>
        <w:bidi w:val="0"/>
        <w:adjustRightInd/>
        <w:snapToGrid/>
        <w:spacing w:before="0" w:line="578" w:lineRule="exact"/>
        <w:ind w:right="41"/>
        <w:jc w:val="center"/>
        <w:textAlignment w:val="auto"/>
        <w:rPr>
          <w:rFonts w:hint="eastAsia" w:ascii="方正小标宋_GBK" w:hAnsi="方正小标宋_GBK" w:eastAsia="方正小标宋_GBK" w:cs="方正小标宋_GBK"/>
          <w:color w:val="000000"/>
          <w:kern w:val="0"/>
          <w:sz w:val="44"/>
          <w:szCs w:val="44"/>
          <w:highlight w:val="none"/>
          <w:lang w:val="en-US" w:eastAsia="zh-CN" w:bidi="ar"/>
        </w:rPr>
      </w:pPr>
    </w:p>
    <w:p w14:paraId="72D0439B">
      <w:pPr>
        <w:pStyle w:val="2"/>
        <w:rPr>
          <w:rFonts w:hint="eastAsia"/>
          <w:lang w:val="en-US" w:eastAsia="zh-CN"/>
        </w:rPr>
      </w:pPr>
    </w:p>
    <w:p w14:paraId="3F7E405C">
      <w:pPr>
        <w:pStyle w:val="3"/>
        <w:rPr>
          <w:rFonts w:hint="eastAsia"/>
          <w:lang w:val="en-US" w:eastAsia="zh-CN"/>
        </w:rPr>
      </w:pPr>
    </w:p>
    <w:p w14:paraId="75FB467C">
      <w:pPr>
        <w:pStyle w:val="3"/>
        <w:rPr>
          <w:rFonts w:hint="eastAsia"/>
          <w:lang w:val="en-US" w:eastAsia="zh-CN"/>
        </w:rPr>
      </w:pPr>
    </w:p>
    <w:p w14:paraId="4F7BF37E">
      <w:pPr>
        <w:keepNext w:val="0"/>
        <w:keepLines w:val="0"/>
        <w:pageBreakBefore w:val="0"/>
        <w:widowControl w:val="0"/>
        <w:kinsoku/>
        <w:wordWrap/>
        <w:overflowPunct/>
        <w:topLinePunct w:val="0"/>
        <w:autoSpaceDE w:val="0"/>
        <w:autoSpaceDN w:val="0"/>
        <w:bidi w:val="0"/>
        <w:adjustRightInd/>
        <w:snapToGrid/>
        <w:spacing w:before="0" w:line="578" w:lineRule="exact"/>
        <w:ind w:right="41"/>
        <w:jc w:val="center"/>
        <w:textAlignment w:val="auto"/>
        <w:rPr>
          <w:rFonts w:hint="eastAsia" w:ascii="方正小标宋_GBK" w:hAnsi="方正小标宋_GBK" w:eastAsia="方正小标宋_GBK" w:cs="方正小标宋_GBK"/>
          <w:color w:val="auto"/>
          <w:kern w:val="2"/>
          <w:sz w:val="44"/>
          <w:szCs w:val="44"/>
        </w:rPr>
      </w:pPr>
      <w:r>
        <w:rPr>
          <w:rFonts w:hint="eastAsia" w:ascii="方正小标宋_GBK" w:hAnsi="方正小标宋_GBK" w:eastAsia="方正小标宋_GBK" w:cs="方正小标宋_GBK"/>
          <w:color w:val="000000"/>
          <w:kern w:val="0"/>
          <w:sz w:val="44"/>
          <w:szCs w:val="44"/>
          <w:highlight w:val="none"/>
          <w:lang w:val="en-US" w:eastAsia="zh-CN" w:bidi="ar"/>
        </w:rPr>
        <w:t>电梯安装项目</w:t>
      </w:r>
      <w:r>
        <w:rPr>
          <w:rFonts w:hint="eastAsia" w:ascii="方正小标宋_GBK" w:hAnsi="方正小标宋_GBK" w:eastAsia="方正小标宋_GBK" w:cs="方正小标宋_GBK"/>
          <w:sz w:val="44"/>
          <w:szCs w:val="44"/>
        </w:rPr>
        <w:t>绩效</w:t>
      </w:r>
      <w:r>
        <w:rPr>
          <w:rFonts w:hint="eastAsia" w:ascii="方正小标宋_GBK" w:hAnsi="方正小标宋_GBK" w:eastAsia="方正小标宋_GBK" w:cs="方正小标宋_GBK"/>
          <w:sz w:val="44"/>
          <w:szCs w:val="44"/>
          <w:lang w:val="en-US" w:eastAsia="zh-CN"/>
        </w:rPr>
        <w:t>评价</w:t>
      </w:r>
      <w:r>
        <w:rPr>
          <w:rFonts w:hint="eastAsia" w:ascii="方正小标宋_GBK" w:hAnsi="方正小标宋_GBK" w:eastAsia="方正小标宋_GBK" w:cs="方正小标宋_GBK"/>
          <w:sz w:val="44"/>
          <w:szCs w:val="44"/>
        </w:rPr>
        <w:t>报告</w:t>
      </w:r>
    </w:p>
    <w:p w14:paraId="6444B95C">
      <w:pPr>
        <w:keepNext w:val="0"/>
        <w:keepLines w:val="0"/>
        <w:pageBreakBefore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sz w:val="32"/>
          <w:szCs w:val="32"/>
        </w:rPr>
      </w:pPr>
    </w:p>
    <w:p w14:paraId="260EB629">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rPr>
          <w:rFonts w:hint="eastAsia" w:ascii="楷体" w:hAnsi="楷体" w:eastAsia="楷体" w:cs="楷体"/>
          <w:sz w:val="32"/>
          <w:szCs w:val="32"/>
          <w:lang w:val="zh-CN"/>
        </w:rPr>
      </w:pPr>
      <w:r>
        <w:rPr>
          <w:rFonts w:hint="eastAsia" w:ascii="黑体" w:hAnsi="黑体" w:eastAsia="黑体" w:cs="黑体"/>
          <w:sz w:val="32"/>
          <w:szCs w:val="32"/>
        </w:rPr>
        <w:t>一、</w:t>
      </w:r>
      <w:r>
        <w:rPr>
          <w:rFonts w:hint="eastAsia" w:ascii="黑体" w:hAnsi="黑体" w:eastAsia="黑体" w:cs="黑体"/>
          <w:sz w:val="32"/>
          <w:szCs w:val="32"/>
          <w:lang w:val="zh-CN"/>
        </w:rPr>
        <w:t>项目概况</w:t>
      </w:r>
    </w:p>
    <w:p w14:paraId="68807A69">
      <w:pPr>
        <w:widowControl/>
        <w:adjustRightInd w:val="0"/>
        <w:snapToGrid w:val="0"/>
        <w:spacing w:line="578" w:lineRule="exact"/>
        <w:ind w:firstLine="643" w:firstLineChars="200"/>
        <w:contextualSpacing/>
        <w:jc w:val="left"/>
        <w:rPr>
          <w:rFonts w:ascii="楷体_GB2312" w:hAnsi="宋体" w:eastAsia="楷体_GB2312"/>
          <w:b/>
          <w:sz w:val="32"/>
          <w:szCs w:val="32"/>
          <w:lang w:val="zh-CN"/>
        </w:rPr>
      </w:pPr>
      <w:r>
        <w:rPr>
          <w:rFonts w:hint="eastAsia" w:ascii="楷体_GB2312" w:hAnsi="宋体" w:eastAsia="楷体_GB2312"/>
          <w:b/>
          <w:sz w:val="32"/>
          <w:szCs w:val="32"/>
          <w:lang w:val="zh-CN"/>
        </w:rPr>
        <w:t>（一）设立背景及基本情况</w:t>
      </w:r>
    </w:p>
    <w:p w14:paraId="567F60D5">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为改善政府办公室及县政府办公大楼办公环境，经过论证及调查，县政府决定安装</w:t>
      </w:r>
      <w:r>
        <w:rPr>
          <w:rFonts w:hint="eastAsia" w:ascii="仿宋_GB2312" w:hAnsi="仿宋_GB2312" w:cs="仿宋_GB2312"/>
          <w:sz w:val="32"/>
          <w:szCs w:val="32"/>
          <w:lang w:val="en-US" w:eastAsia="zh-CN"/>
        </w:rPr>
        <w:t>4</w:t>
      </w:r>
      <w:r>
        <w:rPr>
          <w:rFonts w:hint="eastAsia" w:ascii="仿宋_GB2312" w:hAnsi="仿宋_GB2312" w:eastAsia="仿宋_GB2312" w:cs="仿宋_GB2312"/>
          <w:sz w:val="32"/>
          <w:szCs w:val="32"/>
          <w:lang w:val="en-US" w:eastAsia="zh-CN"/>
        </w:rPr>
        <w:t>部电梯，方便群众及工作人员出行。</w:t>
      </w:r>
    </w:p>
    <w:p w14:paraId="0C42B007">
      <w:pPr>
        <w:widowControl/>
        <w:adjustRightInd w:val="0"/>
        <w:snapToGrid w:val="0"/>
        <w:spacing w:line="578" w:lineRule="exact"/>
        <w:ind w:firstLine="643" w:firstLineChars="200"/>
        <w:contextualSpacing/>
        <w:jc w:val="left"/>
        <w:rPr>
          <w:rFonts w:hint="eastAsia" w:ascii="楷体_GB2312" w:hAnsi="宋体" w:eastAsia="楷体_GB2312"/>
          <w:b/>
          <w:sz w:val="32"/>
          <w:szCs w:val="32"/>
          <w:lang w:val="zh-CN"/>
        </w:rPr>
      </w:pPr>
      <w:r>
        <w:rPr>
          <w:rFonts w:hint="eastAsia" w:ascii="楷体_GB2312" w:hAnsi="宋体" w:eastAsia="楷体_GB2312"/>
          <w:b/>
          <w:sz w:val="32"/>
          <w:szCs w:val="32"/>
          <w:lang w:val="zh-CN"/>
        </w:rPr>
        <w:t>（二）实施目的及支持方向</w:t>
      </w:r>
    </w:p>
    <w:p w14:paraId="3372F0FA">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安装政府办公楼电梯，主要用于办公及群众办事。</w:t>
      </w:r>
    </w:p>
    <w:p w14:paraId="4889A1F3">
      <w:pPr>
        <w:widowControl/>
        <w:adjustRightInd w:val="0"/>
        <w:snapToGrid w:val="0"/>
        <w:spacing w:line="578" w:lineRule="exact"/>
        <w:ind w:firstLine="643" w:firstLineChars="200"/>
        <w:contextualSpacing/>
        <w:jc w:val="left"/>
        <w:rPr>
          <w:rFonts w:hint="eastAsia" w:ascii="楷体_GB2312" w:hAnsi="宋体" w:eastAsia="楷体_GB2312"/>
          <w:b/>
          <w:sz w:val="32"/>
          <w:szCs w:val="32"/>
          <w:lang w:val="zh-CN"/>
        </w:rPr>
      </w:pPr>
      <w:r>
        <w:rPr>
          <w:rFonts w:hint="eastAsia" w:ascii="楷体_GB2312" w:hAnsi="宋体" w:eastAsia="楷体_GB2312"/>
          <w:b/>
          <w:sz w:val="32"/>
          <w:szCs w:val="32"/>
          <w:lang w:val="zh-CN"/>
        </w:rPr>
        <w:t>（三）预算安排及分配管理</w:t>
      </w:r>
    </w:p>
    <w:p w14:paraId="336EB2BB">
      <w:pPr>
        <w:keepNext w:val="0"/>
        <w:keepLines w:val="0"/>
        <w:pageBreakBefore w:val="0"/>
        <w:widowControl w:val="0"/>
        <w:numPr>
          <w:ilvl w:val="0"/>
          <w:numId w:val="0"/>
        </w:numPr>
        <w:kinsoku/>
        <w:wordWrap/>
        <w:overflowPunct/>
        <w:topLinePunct w:val="0"/>
        <w:autoSpaceDE/>
        <w:autoSpaceDN/>
        <w:bidi w:val="0"/>
        <w:spacing w:line="578" w:lineRule="exact"/>
        <w:ind w:firstLine="320" w:firstLineChars="100"/>
        <w:textAlignment w:val="auto"/>
        <w:rPr>
          <w:rFonts w:hint="eastAsia" w:ascii="仿宋_GB2312" w:hAnsi="仿宋_GB2312" w:eastAsia="仿宋_GB2312" w:cs="仿宋_GB2312"/>
          <w:sz w:val="32"/>
          <w:szCs w:val="32"/>
          <w:lang w:val="zh-CN" w:eastAsia="zh-CN"/>
        </w:rPr>
      </w:pPr>
      <w:r>
        <w:rPr>
          <w:rFonts w:hint="eastAsia" w:ascii="仿宋_GB2312" w:hAnsi="仿宋_GB2312" w:eastAsia="仿宋_GB2312" w:cs="仿宋_GB2312"/>
          <w:sz w:val="32"/>
          <w:szCs w:val="32"/>
          <w:lang w:val="zh-CN" w:eastAsia="zh-CN"/>
        </w:rPr>
        <w:t>本单位</w:t>
      </w:r>
      <w:r>
        <w:rPr>
          <w:rFonts w:hint="eastAsia" w:ascii="仿宋_GB2312" w:hAnsi="仿宋_GB2312" w:eastAsia="仿宋_GB2312" w:cs="仿宋_GB2312"/>
          <w:sz w:val="32"/>
          <w:szCs w:val="32"/>
          <w:lang w:val="en-US" w:eastAsia="zh-CN"/>
        </w:rPr>
        <w:t>电梯安装</w:t>
      </w:r>
      <w:r>
        <w:rPr>
          <w:rFonts w:hint="eastAsia" w:ascii="仿宋_GB2312" w:hAnsi="仿宋_GB2312" w:eastAsia="仿宋_GB2312" w:cs="仿宋_GB2312"/>
          <w:sz w:val="32"/>
          <w:szCs w:val="32"/>
          <w:lang w:val="zh-CN" w:eastAsia="zh-CN"/>
        </w:rPr>
        <w:t>项目</w:t>
      </w:r>
      <w:r>
        <w:rPr>
          <w:rFonts w:hint="eastAsia" w:ascii="仿宋_GB2312" w:hAnsi="仿宋_GB2312" w:eastAsia="仿宋_GB2312" w:cs="仿宋_GB2312"/>
          <w:sz w:val="32"/>
          <w:szCs w:val="32"/>
          <w:lang w:val="en-US" w:eastAsia="zh-CN"/>
        </w:rPr>
        <w:t>后续工程款</w:t>
      </w:r>
      <w:r>
        <w:rPr>
          <w:rFonts w:hint="eastAsia" w:ascii="仿宋_GB2312" w:hAnsi="仿宋_GB2312" w:eastAsia="仿宋_GB2312" w:cs="仿宋_GB2312"/>
          <w:sz w:val="32"/>
          <w:szCs w:val="32"/>
          <w:lang w:val="zh-CN" w:eastAsia="zh-CN"/>
        </w:rPr>
        <w:t>预算</w:t>
      </w:r>
      <w:r>
        <w:rPr>
          <w:rFonts w:hint="eastAsia" w:ascii="仿宋_GB2312" w:hAnsi="仿宋_GB2312" w:eastAsia="仿宋_GB2312" w:cs="仿宋_GB2312"/>
          <w:sz w:val="32"/>
          <w:szCs w:val="32"/>
          <w:lang w:val="en-US" w:eastAsia="zh-CN"/>
        </w:rPr>
        <w:t>78.13</w:t>
      </w:r>
      <w:r>
        <w:rPr>
          <w:rFonts w:hint="eastAsia" w:ascii="仿宋_GB2312" w:hAnsi="仿宋_GB2312" w:eastAsia="仿宋_GB2312" w:cs="仿宋_GB2312"/>
          <w:sz w:val="32"/>
          <w:szCs w:val="32"/>
          <w:lang w:val="zh-CN" w:eastAsia="zh-CN"/>
        </w:rPr>
        <w:t>万元，由（渠财</w:t>
      </w:r>
      <w:r>
        <w:rPr>
          <w:rFonts w:hint="eastAsia" w:ascii="仿宋_GB2312" w:hAnsi="仿宋_GB2312" w:eastAsia="仿宋_GB2312" w:cs="仿宋_GB2312"/>
          <w:sz w:val="32"/>
          <w:szCs w:val="32"/>
          <w:lang w:val="en-US" w:eastAsia="zh-CN"/>
        </w:rPr>
        <w:t>行</w:t>
      </w:r>
      <w:r>
        <w:rPr>
          <w:rFonts w:hint="eastAsia" w:ascii="仿宋_GB2312" w:hAnsi="仿宋_GB2312" w:eastAsia="仿宋_GB2312" w:cs="仿宋_GB2312"/>
          <w:sz w:val="32"/>
          <w:szCs w:val="32"/>
          <w:lang w:val="zh-CN" w:eastAsia="zh-CN"/>
        </w:rPr>
        <w:t>〔202</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val="zh-CN" w:eastAsia="zh-CN"/>
        </w:rPr>
        <w:t>〕</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lang w:val="zh-CN" w:eastAsia="zh-CN"/>
        </w:rPr>
        <w:t>号）文</w:t>
      </w:r>
      <w:r>
        <w:rPr>
          <w:rFonts w:hint="eastAsia" w:ascii="仿宋_GB2312" w:hAnsi="仿宋_GB2312" w:eastAsia="仿宋_GB2312" w:cs="仿宋_GB2312"/>
          <w:sz w:val="32"/>
          <w:szCs w:val="32"/>
          <w:lang w:val="en-US" w:eastAsia="zh-CN"/>
        </w:rPr>
        <w:t>件</w:t>
      </w:r>
      <w:r>
        <w:rPr>
          <w:rFonts w:hint="eastAsia" w:ascii="仿宋_GB2312" w:hAnsi="仿宋_GB2312" w:eastAsia="仿宋_GB2312" w:cs="仿宋_GB2312"/>
          <w:sz w:val="32"/>
          <w:szCs w:val="32"/>
          <w:lang w:val="zh-CN" w:eastAsia="zh-CN"/>
        </w:rPr>
        <w:t>下达资金</w:t>
      </w:r>
      <w:r>
        <w:rPr>
          <w:rFonts w:hint="eastAsia" w:ascii="仿宋_GB2312" w:hAnsi="仿宋_GB2312" w:eastAsia="仿宋_GB2312" w:cs="仿宋_GB2312"/>
          <w:sz w:val="32"/>
          <w:szCs w:val="32"/>
          <w:lang w:val="en-US" w:eastAsia="zh-CN"/>
        </w:rPr>
        <w:t>78.13</w:t>
      </w:r>
      <w:r>
        <w:rPr>
          <w:rFonts w:hint="eastAsia" w:ascii="仿宋_GB2312" w:hAnsi="仿宋_GB2312" w:eastAsia="仿宋_GB2312" w:cs="仿宋_GB2312"/>
          <w:sz w:val="32"/>
          <w:szCs w:val="32"/>
          <w:lang w:val="zh-CN" w:eastAsia="zh-CN"/>
        </w:rPr>
        <w:t>万元。</w:t>
      </w:r>
    </w:p>
    <w:p w14:paraId="7E80859B">
      <w:pPr>
        <w:adjustRightInd w:val="0"/>
        <w:snapToGrid w:val="0"/>
        <w:spacing w:line="578" w:lineRule="exact"/>
        <w:ind w:firstLine="643" w:firstLineChars="200"/>
        <w:rPr>
          <w:rFonts w:ascii="楷体_GB2312" w:hAnsi="宋体" w:eastAsia="楷体_GB2312"/>
          <w:b/>
          <w:lang w:val="zh-CN"/>
        </w:rPr>
      </w:pPr>
      <w:r>
        <w:rPr>
          <w:rFonts w:hint="eastAsia" w:ascii="楷体_GB2312" w:hAnsi="宋体" w:eastAsia="楷体_GB2312"/>
          <w:b/>
          <w:lang w:val="zh-CN"/>
        </w:rPr>
        <w:t>（四）项目绩效目标设置</w:t>
      </w:r>
    </w:p>
    <w:p w14:paraId="2AC92A12">
      <w:pPr>
        <w:adjustRightInd w:val="0"/>
        <w:snapToGrid w:val="0"/>
        <w:spacing w:line="578" w:lineRule="exact"/>
        <w:ind w:firstLine="640" w:firstLineChars="200"/>
        <w:rPr>
          <w:rFonts w:ascii="仿宋_GB2312" w:hAnsi="仿宋_GB2312" w:cs="仿宋_GB2312"/>
          <w:kern w:val="0"/>
          <w:shd w:val="clear" w:color="auto" w:fill="FFFFFF"/>
          <w:lang w:val="zh-CN"/>
        </w:rPr>
      </w:pPr>
      <w:r>
        <w:rPr>
          <w:rFonts w:hint="eastAsia" w:ascii="仿宋_GB2312" w:hAnsi="仿宋_GB2312" w:cs="仿宋_GB2312"/>
          <w:kern w:val="0"/>
          <w:shd w:val="clear" w:color="auto" w:fill="FFFFFF"/>
          <w:lang w:val="zh-CN"/>
        </w:rPr>
        <w:t>项目年度目标：严格按照政府采购程序，完成政府办公楼电梯采购及安装。</w:t>
      </w:r>
    </w:p>
    <w:p w14:paraId="0A47033F">
      <w:pPr>
        <w:adjustRightInd w:val="0"/>
        <w:snapToGrid w:val="0"/>
        <w:spacing w:line="578" w:lineRule="exact"/>
        <w:ind w:firstLine="640" w:firstLineChars="200"/>
        <w:rPr>
          <w:rFonts w:ascii="仿宋_GB2312" w:hAnsi="仿宋_GB2312" w:cs="仿宋_GB2312"/>
          <w:kern w:val="0"/>
          <w:shd w:val="clear" w:color="auto" w:fill="FFFFFF"/>
          <w:lang w:val="zh-CN"/>
        </w:rPr>
      </w:pPr>
      <w:r>
        <w:rPr>
          <w:rFonts w:hint="eastAsia" w:ascii="仿宋_GB2312" w:hAnsi="仿宋_GB2312" w:cs="仿宋_GB2312"/>
          <w:kern w:val="0"/>
          <w:shd w:val="clear" w:color="auto" w:fill="FFFFFF"/>
          <w:lang w:val="zh-CN"/>
        </w:rPr>
        <w:t>项目具体绩效目标：本项目共设置</w:t>
      </w:r>
      <w:r>
        <w:rPr>
          <w:rFonts w:hint="eastAsia" w:ascii="仿宋_GB2312" w:hAnsi="仿宋_GB2312" w:cs="仿宋_GB2312"/>
          <w:kern w:val="0"/>
          <w:shd w:val="clear" w:color="auto" w:fill="FFFFFF"/>
          <w:lang w:val="en-US" w:eastAsia="zh-CN"/>
        </w:rPr>
        <w:t>6</w:t>
      </w:r>
      <w:r>
        <w:rPr>
          <w:rFonts w:hint="eastAsia" w:ascii="仿宋_GB2312" w:hAnsi="仿宋_GB2312" w:cs="仿宋_GB2312"/>
          <w:kern w:val="0"/>
          <w:shd w:val="clear" w:color="auto" w:fill="FFFFFF"/>
          <w:lang w:val="zh-CN"/>
        </w:rPr>
        <w:t>个三级指标。具体如下：数量指标：</w:t>
      </w:r>
      <w:r>
        <w:rPr>
          <w:rFonts w:hint="eastAsia" w:ascii="仿宋_GB2312" w:hAnsi="仿宋_GB2312" w:cs="仿宋_GB2312"/>
          <w:kern w:val="0"/>
          <w:shd w:val="clear" w:color="auto" w:fill="FFFFFF"/>
          <w:lang w:val="en-US" w:eastAsia="zh-CN"/>
        </w:rPr>
        <w:t>安装电梯数量=4部</w:t>
      </w:r>
      <w:r>
        <w:rPr>
          <w:rFonts w:hint="eastAsia" w:ascii="仿宋_GB2312" w:hAnsi="仿宋_GB2312" w:cs="仿宋_GB2312"/>
          <w:kern w:val="0"/>
          <w:shd w:val="clear" w:color="auto" w:fill="FFFFFF"/>
          <w:lang w:val="zh-CN"/>
        </w:rPr>
        <w:t>，质量指标：</w:t>
      </w:r>
      <w:r>
        <w:rPr>
          <w:rFonts w:hint="eastAsia" w:ascii="仿宋_GB2312" w:hAnsi="仿宋_GB2312" w:cs="仿宋_GB2312"/>
          <w:kern w:val="0"/>
          <w:shd w:val="clear" w:color="auto" w:fill="FFFFFF"/>
          <w:lang w:val="en-US" w:eastAsia="zh-CN"/>
        </w:rPr>
        <w:t>电梯验收合格率=</w:t>
      </w:r>
      <w:r>
        <w:rPr>
          <w:rFonts w:hint="eastAsia" w:ascii="仿宋_GB2312" w:hAnsi="仿宋_GB2312" w:cs="仿宋_GB2312"/>
          <w:kern w:val="0"/>
          <w:shd w:val="clear" w:color="auto" w:fill="FFFFFF"/>
          <w:lang w:val="zh-CN"/>
        </w:rPr>
        <w:t>100%，时效指标：</w:t>
      </w:r>
      <w:r>
        <w:rPr>
          <w:rFonts w:hint="eastAsia" w:ascii="仿宋_GB2312" w:hAnsi="仿宋_GB2312" w:cs="仿宋_GB2312"/>
          <w:kern w:val="0"/>
          <w:shd w:val="clear" w:color="auto" w:fill="FFFFFF"/>
          <w:lang w:val="en-US" w:eastAsia="zh-CN"/>
        </w:rPr>
        <w:t>在合同约定期限内完工</w:t>
      </w:r>
      <w:r>
        <w:rPr>
          <w:rFonts w:hint="eastAsia" w:ascii="仿宋_GB2312" w:hAnsi="仿宋_GB2312" w:cs="仿宋_GB2312"/>
          <w:kern w:val="0"/>
          <w:shd w:val="clear" w:color="auto" w:fill="FFFFFF"/>
          <w:lang w:val="zh-CN"/>
        </w:rPr>
        <w:t>，社会效益指标：</w:t>
      </w:r>
      <w:r>
        <w:rPr>
          <w:rFonts w:hint="eastAsia" w:ascii="仿宋_GB2312" w:hAnsi="仿宋_GB2312" w:cs="仿宋_GB2312"/>
          <w:kern w:val="0"/>
          <w:shd w:val="clear" w:color="auto" w:fill="FFFFFF"/>
          <w:lang w:val="en-US" w:eastAsia="zh-CN"/>
        </w:rPr>
        <w:t>方便群众及工作人员出行，可持续发展指标：持续改善办公环境，满意度指标</w:t>
      </w:r>
      <w:r>
        <w:rPr>
          <w:rFonts w:hint="eastAsia" w:ascii="仿宋_GB2312" w:hAnsi="仿宋_GB2312" w:cs="仿宋_GB2312"/>
          <w:kern w:val="0"/>
          <w:shd w:val="clear" w:color="auto" w:fill="FFFFFF"/>
          <w:lang w:val="zh-CN"/>
        </w:rPr>
        <w:t>：</w:t>
      </w:r>
      <w:r>
        <w:rPr>
          <w:rFonts w:hint="eastAsia" w:ascii="仿宋_GB2312" w:hAnsi="仿宋_GB2312" w:cs="仿宋_GB2312"/>
          <w:kern w:val="0"/>
          <w:shd w:val="clear" w:color="auto" w:fill="FFFFFF"/>
          <w:lang w:val="en-US" w:eastAsia="zh-CN"/>
        </w:rPr>
        <w:t>使用者满意度</w:t>
      </w:r>
      <w:r>
        <w:rPr>
          <w:rFonts w:hint="default" w:ascii="Arial" w:hAnsi="Arial" w:cs="Arial"/>
          <w:kern w:val="0"/>
          <w:shd w:val="clear" w:color="auto" w:fill="FFFFFF"/>
          <w:lang w:val="en-US" w:eastAsia="zh-CN"/>
        </w:rPr>
        <w:t>≥</w:t>
      </w:r>
      <w:r>
        <w:rPr>
          <w:rFonts w:hint="eastAsia" w:ascii="仿宋_GB2312" w:hAnsi="仿宋_GB2312" w:cs="仿宋_GB2312"/>
          <w:kern w:val="0"/>
          <w:shd w:val="clear" w:color="auto" w:fill="FFFFFF"/>
          <w:lang w:val="en-US" w:eastAsia="zh-CN"/>
        </w:rPr>
        <w:t>98%</w:t>
      </w:r>
      <w:r>
        <w:rPr>
          <w:rFonts w:hint="eastAsia" w:ascii="仿宋_GB2312" w:hAnsi="仿宋_GB2312" w:cs="仿宋_GB2312"/>
          <w:kern w:val="0"/>
          <w:shd w:val="clear" w:color="auto" w:fill="FFFFFF"/>
          <w:lang w:val="zh-CN"/>
        </w:rPr>
        <w:t>。</w:t>
      </w:r>
    </w:p>
    <w:p w14:paraId="4F19B1EE">
      <w:pPr>
        <w:adjustRightInd w:val="0"/>
        <w:snapToGrid w:val="0"/>
        <w:spacing w:line="578" w:lineRule="exact"/>
        <w:ind w:firstLine="640" w:firstLineChars="200"/>
        <w:rPr>
          <w:rFonts w:ascii="仿宋_GB2312" w:hAnsi="仿宋_GB2312" w:cs="仿宋_GB2312"/>
          <w:kern w:val="0"/>
          <w:shd w:val="clear" w:color="auto" w:fill="FFFFFF"/>
          <w:lang w:val="zh-CN"/>
        </w:rPr>
      </w:pPr>
      <w:r>
        <w:rPr>
          <w:rFonts w:hint="eastAsia" w:ascii="仿宋_GB2312" w:hAnsi="仿宋_GB2312" w:cs="仿宋_GB2312"/>
          <w:kern w:val="0"/>
          <w:shd w:val="clear" w:color="auto" w:fill="FFFFFF"/>
          <w:lang w:val="zh-CN"/>
        </w:rPr>
        <w:t>项目自评工作开展情况。根据《渠县财政局关于开展202</w:t>
      </w:r>
      <w:r>
        <w:rPr>
          <w:rFonts w:hint="eastAsia" w:ascii="仿宋_GB2312" w:hAnsi="仿宋_GB2312" w:cs="仿宋_GB2312"/>
          <w:kern w:val="0"/>
          <w:shd w:val="clear" w:color="auto" w:fill="FFFFFF"/>
          <w:lang w:val="en-US" w:eastAsia="zh-CN"/>
        </w:rPr>
        <w:t>5</w:t>
      </w:r>
      <w:r>
        <w:rPr>
          <w:rFonts w:hint="eastAsia" w:ascii="仿宋_GB2312" w:hAnsi="仿宋_GB2312" w:cs="仿宋_GB2312"/>
          <w:kern w:val="0"/>
          <w:shd w:val="clear" w:color="auto" w:fill="FFFFFF"/>
          <w:lang w:val="zh-CN"/>
        </w:rPr>
        <w:t>年县级部门绩效自评工作的通知》（渠财绩〔202</w:t>
      </w:r>
      <w:r>
        <w:rPr>
          <w:rFonts w:hint="eastAsia" w:ascii="仿宋_GB2312" w:hAnsi="仿宋_GB2312" w:cs="仿宋_GB2312"/>
          <w:kern w:val="0"/>
          <w:shd w:val="clear" w:color="auto" w:fill="FFFFFF"/>
          <w:lang w:val="en-US" w:eastAsia="zh-CN"/>
        </w:rPr>
        <w:t>5</w:t>
      </w:r>
      <w:r>
        <w:rPr>
          <w:rFonts w:hint="eastAsia" w:ascii="仿宋_GB2312" w:hAnsi="仿宋_GB2312" w:cs="仿宋_GB2312"/>
          <w:kern w:val="0"/>
          <w:shd w:val="clear" w:color="auto" w:fill="FFFFFF"/>
          <w:lang w:val="zh-CN"/>
        </w:rPr>
        <w:t>〕</w:t>
      </w:r>
      <w:r>
        <w:rPr>
          <w:rFonts w:hint="eastAsia" w:ascii="仿宋_GB2312" w:hAnsi="仿宋_GB2312" w:cs="仿宋_GB2312"/>
          <w:kern w:val="0"/>
          <w:shd w:val="clear" w:color="auto" w:fill="FFFFFF"/>
          <w:lang w:val="en-US" w:eastAsia="zh-CN"/>
        </w:rPr>
        <w:t>5</w:t>
      </w:r>
      <w:r>
        <w:rPr>
          <w:rFonts w:hint="eastAsia" w:ascii="仿宋_GB2312" w:hAnsi="仿宋_GB2312" w:cs="仿宋_GB2312"/>
          <w:kern w:val="0"/>
          <w:shd w:val="clear" w:color="auto" w:fill="FFFFFF"/>
          <w:lang w:val="zh-CN"/>
        </w:rPr>
        <w:t>号）要求，本单位对</w:t>
      </w:r>
      <w:r>
        <w:rPr>
          <w:rFonts w:hint="eastAsia" w:ascii="仿宋_GB2312" w:hAnsi="仿宋_GB2312" w:cs="仿宋_GB2312"/>
          <w:kern w:val="0"/>
          <w:shd w:val="clear" w:color="auto" w:fill="FFFFFF"/>
          <w:lang w:val="en-US" w:eastAsia="zh-CN"/>
        </w:rPr>
        <w:t>电梯安装</w:t>
      </w:r>
      <w:r>
        <w:rPr>
          <w:rFonts w:hint="eastAsia" w:ascii="仿宋_GB2312" w:hAnsi="仿宋_GB2312" w:cs="仿宋_GB2312"/>
          <w:kern w:val="0"/>
          <w:shd w:val="clear" w:color="auto" w:fill="FFFFFF"/>
          <w:lang w:val="zh-CN"/>
        </w:rPr>
        <w:t>项目开展了绩效自评，按照项目完成情况填列了《专项预算项目绩效目标完成情况自评表》，同时根据专项预算项目绩效评价指标体系选择适用的评价指标，形成项目的绩效评价指标体系，根据评价要点和评分方法，对项目绩效实现情况进行打分，形成评价结论，撰写专项预算项目绩效自评报告。</w:t>
      </w:r>
    </w:p>
    <w:p w14:paraId="26DC9FA1">
      <w:pPr>
        <w:adjustRightInd w:val="0"/>
        <w:snapToGrid w:val="0"/>
        <w:spacing w:line="578" w:lineRule="exact"/>
        <w:ind w:firstLine="640" w:firstLineChars="200"/>
        <w:rPr>
          <w:rFonts w:ascii="黑体" w:hAnsi="宋体" w:eastAsia="黑体"/>
        </w:rPr>
      </w:pPr>
      <w:r>
        <w:rPr>
          <w:rFonts w:hint="eastAsia" w:ascii="黑体" w:hAnsi="宋体" w:eastAsia="黑体"/>
        </w:rPr>
        <w:t>二、评价实施</w:t>
      </w:r>
    </w:p>
    <w:p w14:paraId="5BF91240">
      <w:pPr>
        <w:spacing w:line="578" w:lineRule="exact"/>
        <w:ind w:firstLine="640"/>
        <w:rPr>
          <w:rFonts w:ascii="楷体_GB2312" w:hAnsi="宋体" w:eastAsia="楷体_GB2312"/>
          <w:b/>
          <w:lang w:val="zh-CN"/>
        </w:rPr>
      </w:pPr>
      <w:r>
        <w:rPr>
          <w:rFonts w:hint="eastAsia" w:ascii="楷体_GB2312" w:hAnsi="宋体" w:eastAsia="楷体_GB2312"/>
          <w:b/>
          <w:lang w:val="zh-CN"/>
        </w:rPr>
        <w:t>（一）评价目的</w:t>
      </w:r>
    </w:p>
    <w:p w14:paraId="241D9756">
      <w:pPr>
        <w:spacing w:line="578" w:lineRule="exact"/>
        <w:ind w:firstLine="640"/>
      </w:pPr>
      <w:r>
        <w:rPr>
          <w:rFonts w:hint="eastAsia"/>
        </w:rPr>
        <w:t>项目绩效自评的核心目的是为了了解资金是否达到预期目标、检验资金支出效率和效果，并分析存在的问题和原因，从而有效提高管理水平和资金使用效益。</w:t>
      </w:r>
    </w:p>
    <w:p w14:paraId="1BA3E5FA">
      <w:pPr>
        <w:adjustRightInd w:val="0"/>
        <w:snapToGrid w:val="0"/>
        <w:spacing w:line="578" w:lineRule="exact"/>
        <w:ind w:firstLine="643" w:firstLineChars="200"/>
        <w:rPr>
          <w:rFonts w:ascii="楷体_GB2312" w:hAnsi="宋体" w:eastAsia="楷体_GB2312"/>
          <w:b/>
          <w:lang w:val="zh-CN"/>
        </w:rPr>
      </w:pPr>
      <w:r>
        <w:rPr>
          <w:rFonts w:hint="eastAsia" w:ascii="楷体_GB2312" w:hAnsi="宋体" w:eastAsia="楷体_GB2312"/>
          <w:b/>
          <w:lang w:val="zh-CN"/>
        </w:rPr>
        <w:t>（二）预设问题及评价重点</w:t>
      </w:r>
    </w:p>
    <w:p w14:paraId="4D673AD0">
      <w:pPr>
        <w:adjustRightInd w:val="0"/>
        <w:snapToGrid w:val="0"/>
        <w:spacing w:line="578" w:lineRule="exact"/>
        <w:ind w:firstLine="640" w:firstLineChars="200"/>
      </w:pPr>
      <w:r>
        <w:rPr>
          <w:rFonts w:hint="eastAsia" w:ascii="仿宋_GB2312" w:hAnsi="仿宋_GB2312" w:cs="仿宋_GB2312"/>
          <w:kern w:val="0"/>
          <w:shd w:val="clear" w:color="auto" w:fill="FFFFFF"/>
          <w:lang w:val="en-US" w:eastAsia="zh-CN"/>
        </w:rPr>
        <w:t>电梯安装</w:t>
      </w:r>
      <w:r>
        <w:rPr>
          <w:rFonts w:hint="eastAsia" w:ascii="仿宋_GB2312" w:hAnsi="仿宋_GB2312" w:cs="仿宋_GB2312"/>
          <w:kern w:val="0"/>
          <w:shd w:val="clear" w:color="auto" w:fill="FFFFFF"/>
          <w:lang w:val="zh-CN"/>
        </w:rPr>
        <w:t>项目</w:t>
      </w:r>
      <w:r>
        <w:rPr>
          <w:rFonts w:hint="eastAsia"/>
        </w:rPr>
        <w:t>资金到位及时，足额拨付，项目资金使用符合国家财经法规和相关财务管理制度，不存在超范围、超标准、超进度使用专项资金和资金损失浪费、长期沉淀、截留、挤占、挪用、虚列支出等情况，项目实施遵守相关法律法规，按预期目标完成，实施结果与绩效目标相匹配。</w:t>
      </w:r>
    </w:p>
    <w:p w14:paraId="604C0C2B">
      <w:pPr>
        <w:adjustRightInd w:val="0"/>
        <w:snapToGrid w:val="0"/>
        <w:spacing w:line="578" w:lineRule="exact"/>
        <w:ind w:firstLine="643" w:firstLineChars="200"/>
        <w:rPr>
          <w:rFonts w:ascii="楷体_GB2312" w:hAnsi="宋体" w:eastAsia="楷体_GB2312"/>
          <w:b/>
          <w:lang w:val="zh-CN"/>
        </w:rPr>
      </w:pPr>
      <w:r>
        <w:rPr>
          <w:rFonts w:hint="eastAsia" w:ascii="楷体_GB2312" w:hAnsi="宋体" w:eastAsia="楷体_GB2312"/>
          <w:b/>
          <w:lang w:val="zh-CN"/>
        </w:rPr>
        <w:t>（三）评价选点</w:t>
      </w:r>
    </w:p>
    <w:p w14:paraId="6D9F7213">
      <w:pPr>
        <w:adjustRightInd w:val="0"/>
        <w:snapToGrid w:val="0"/>
        <w:spacing w:line="578" w:lineRule="exact"/>
        <w:ind w:firstLine="640" w:firstLineChars="200"/>
        <w:rPr>
          <w:lang w:val="zh-CN"/>
        </w:rPr>
      </w:pPr>
      <w:r>
        <w:rPr>
          <w:rFonts w:hint="eastAsia"/>
          <w:lang w:val="zh-CN"/>
        </w:rPr>
        <w:t>本项目不涉及评价选点，此次绩效自评对本单位</w:t>
      </w:r>
      <w:r>
        <w:rPr>
          <w:rFonts w:hint="eastAsia" w:ascii="仿宋_GB2312" w:hAnsi="仿宋_GB2312" w:cs="仿宋_GB2312"/>
          <w:kern w:val="0"/>
          <w:shd w:val="clear" w:color="auto" w:fill="FFFFFF"/>
          <w:lang w:val="en-US" w:eastAsia="zh-CN"/>
        </w:rPr>
        <w:t>电梯安装</w:t>
      </w:r>
      <w:r>
        <w:rPr>
          <w:rFonts w:hint="eastAsia"/>
          <w:lang w:val="zh-CN"/>
        </w:rPr>
        <w:t>项目实施的所有内容进行评价。</w:t>
      </w:r>
    </w:p>
    <w:p w14:paraId="7725B5A0">
      <w:pPr>
        <w:spacing w:line="578" w:lineRule="exact"/>
        <w:ind w:firstLine="640"/>
        <w:rPr>
          <w:rFonts w:ascii="楷体_GB2312" w:hAnsi="宋体" w:eastAsia="楷体_GB2312"/>
          <w:b/>
          <w:lang w:val="zh-CN"/>
        </w:rPr>
      </w:pPr>
      <w:r>
        <w:rPr>
          <w:rFonts w:hint="eastAsia" w:ascii="楷体_GB2312" w:hAnsi="宋体" w:eastAsia="楷体_GB2312"/>
          <w:b/>
          <w:lang w:val="zh-CN"/>
        </w:rPr>
        <w:t>（四）评价方法</w:t>
      </w:r>
    </w:p>
    <w:p w14:paraId="2291FAE3">
      <w:pPr>
        <w:spacing w:line="578" w:lineRule="exact"/>
        <w:ind w:firstLine="640"/>
      </w:pPr>
      <w:r>
        <w:rPr>
          <w:rFonts w:hint="eastAsia"/>
        </w:rPr>
        <w:t>根据项目情况和评价重点，采用单位自评法、实地勘察法、问卷调查法等多种方法对</w:t>
      </w:r>
      <w:r>
        <w:rPr>
          <w:rFonts w:hint="eastAsia" w:ascii="仿宋_GB2312" w:hAnsi="仿宋_GB2312" w:cs="仿宋_GB2312"/>
          <w:kern w:val="0"/>
          <w:shd w:val="clear" w:color="auto" w:fill="FFFFFF"/>
          <w:lang w:val="en-US" w:eastAsia="zh-CN"/>
        </w:rPr>
        <w:t>电梯安装</w:t>
      </w:r>
      <w:r>
        <w:rPr>
          <w:rFonts w:hint="eastAsia" w:ascii="仿宋_GB2312" w:hAnsi="仿宋_GB2312" w:cs="仿宋_GB2312"/>
          <w:kern w:val="0"/>
          <w:shd w:val="clear" w:color="auto" w:fill="FFFFFF"/>
          <w:lang w:val="zh-CN"/>
        </w:rPr>
        <w:t>项目</w:t>
      </w:r>
      <w:r>
        <w:rPr>
          <w:rFonts w:hint="eastAsia"/>
        </w:rPr>
        <w:t>绩效完成情况进行评价。</w:t>
      </w:r>
    </w:p>
    <w:p w14:paraId="55FE7B30">
      <w:pPr>
        <w:spacing w:line="578" w:lineRule="exact"/>
        <w:ind w:firstLine="640"/>
        <w:rPr>
          <w:rFonts w:ascii="楷体_GB2312" w:hAnsi="宋体" w:eastAsia="楷体_GB2312"/>
          <w:b/>
          <w:lang w:val="zh-CN"/>
        </w:rPr>
      </w:pPr>
      <w:r>
        <w:rPr>
          <w:rFonts w:hint="eastAsia" w:ascii="楷体_GB2312" w:hAnsi="宋体" w:eastAsia="楷体_GB2312"/>
          <w:b/>
          <w:lang w:val="zh-CN"/>
        </w:rPr>
        <w:t>（五）评价组织</w:t>
      </w:r>
    </w:p>
    <w:p w14:paraId="5322869F">
      <w:pPr>
        <w:spacing w:line="578" w:lineRule="exact"/>
        <w:ind w:firstLine="640"/>
        <w:rPr>
          <w:bCs/>
        </w:rPr>
      </w:pPr>
      <w:r>
        <w:rPr>
          <w:rFonts w:hint="eastAsia"/>
        </w:rPr>
        <w:t>评价组人员由项目管理人员和财务人员组成，项目管理人员主要负责对项目决策、项目管理、项目实施、项目结果等涉及指标进行评价；财务人员主要负责对资金用途合规性、程序合规性、标准合规性等涉及指标进行评价。</w:t>
      </w:r>
    </w:p>
    <w:p w14:paraId="19ECBDA5">
      <w:pPr>
        <w:adjustRightInd w:val="0"/>
        <w:snapToGrid w:val="0"/>
        <w:spacing w:line="578" w:lineRule="exact"/>
        <w:ind w:firstLine="640" w:firstLineChars="200"/>
        <w:rPr>
          <w:rFonts w:ascii="仿宋_GB2312" w:hAnsi="宋体"/>
          <w:lang w:val="zh-CN"/>
        </w:rPr>
      </w:pPr>
      <w:r>
        <w:rPr>
          <w:rFonts w:hint="eastAsia" w:ascii="黑体" w:hAnsi="宋体" w:eastAsia="黑体"/>
        </w:rPr>
        <w:t>三、绩效分析</w:t>
      </w:r>
    </w:p>
    <w:p w14:paraId="4ECD2884">
      <w:pPr>
        <w:spacing w:line="578" w:lineRule="exact"/>
        <w:ind w:firstLine="640"/>
        <w:rPr>
          <w:rFonts w:ascii="楷体_GB2312" w:hAnsi="宋体" w:eastAsia="楷体_GB2312"/>
          <w:b/>
        </w:rPr>
      </w:pPr>
      <w:r>
        <w:rPr>
          <w:rFonts w:hint="eastAsia" w:ascii="楷体_GB2312" w:hAnsi="宋体" w:eastAsia="楷体_GB2312"/>
          <w:b/>
          <w:lang w:val="zh-CN"/>
        </w:rPr>
        <w:t>（一）</w:t>
      </w:r>
      <w:r>
        <w:rPr>
          <w:rFonts w:hint="eastAsia" w:ascii="楷体_GB2312" w:hAnsi="宋体" w:eastAsia="楷体_GB2312"/>
          <w:b/>
        </w:rPr>
        <w:t>通用指标</w:t>
      </w:r>
      <w:r>
        <w:rPr>
          <w:rFonts w:eastAsia="楷体_GB2312"/>
          <w:b/>
          <w:bCs/>
          <w:color w:val="000000"/>
          <w:kern w:val="0"/>
          <w:shd w:val="clear" w:color="auto" w:fill="FFFFFF"/>
          <w:lang w:val="zh-CN"/>
        </w:rPr>
        <w:t>绩效分析</w:t>
      </w:r>
    </w:p>
    <w:p w14:paraId="78BB10A3">
      <w:pPr>
        <w:spacing w:line="578" w:lineRule="exact"/>
        <w:ind w:firstLine="640"/>
      </w:pPr>
      <w:r>
        <w:rPr>
          <w:rFonts w:hint="eastAsia" w:ascii="楷体_GB2312" w:hAnsi="楷体_GB2312" w:eastAsia="楷体_GB2312" w:cs="楷体_GB2312"/>
        </w:rPr>
        <w:t>1.项目决策。</w:t>
      </w:r>
      <w:r>
        <w:rPr>
          <w:rFonts w:hint="eastAsia" w:ascii="仿宋_GB2312" w:hAnsi="仿宋_GB2312" w:cs="仿宋_GB2312"/>
          <w:kern w:val="0"/>
          <w:shd w:val="clear" w:color="auto" w:fill="FFFFFF"/>
          <w:lang w:val="en-US" w:eastAsia="zh-CN"/>
        </w:rPr>
        <w:t>电梯安装</w:t>
      </w:r>
      <w:r>
        <w:rPr>
          <w:rFonts w:hint="eastAsia" w:ascii="仿宋_GB2312" w:hAnsi="仿宋_GB2312" w:cs="仿宋_GB2312"/>
          <w:kern w:val="0"/>
          <w:shd w:val="clear" w:color="auto" w:fill="FFFFFF"/>
          <w:lang w:val="zh-CN"/>
        </w:rPr>
        <w:t>项目</w:t>
      </w:r>
      <w:r>
        <w:rPr>
          <w:rFonts w:hint="eastAsia"/>
        </w:rPr>
        <w:t>设立符合资金管理基本规范和决策程序要求，项目决策程序严密；项目规划符合中央、省、市、县有关决策部署安排，项目绩效目标设置科学合理；项目资金与项目总体规划、相关行业事业发展相匹配。</w:t>
      </w:r>
    </w:p>
    <w:p w14:paraId="391609C4">
      <w:pPr>
        <w:spacing w:line="578" w:lineRule="exact"/>
        <w:ind w:firstLine="640"/>
      </w:pPr>
      <w:r>
        <w:rPr>
          <w:rFonts w:hint="eastAsia" w:ascii="楷体_GB2312" w:hAnsi="楷体_GB2312" w:eastAsia="楷体_GB2312" w:cs="楷体_GB2312"/>
        </w:rPr>
        <w:t>2.项目管理。</w:t>
      </w:r>
      <w:r>
        <w:rPr>
          <w:rFonts w:hint="eastAsia"/>
        </w:rPr>
        <w:t>项目制度办法体系健全、要素完备，保障了项目顺利实施；项目管理、审批符合管理要求，能够对项目绩效进行监管。</w:t>
      </w:r>
    </w:p>
    <w:p w14:paraId="4C3FD341">
      <w:pPr>
        <w:spacing w:line="578" w:lineRule="exact"/>
        <w:ind w:firstLine="640" w:firstLineChars="200"/>
      </w:pPr>
      <w:r>
        <w:rPr>
          <w:rFonts w:hint="eastAsia" w:ascii="楷体_GB2312" w:hAnsi="楷体_GB2312" w:eastAsia="楷体_GB2312" w:cs="楷体_GB2312"/>
        </w:rPr>
        <w:t>3.项目实施。</w:t>
      </w:r>
      <w:r>
        <w:rPr>
          <w:rFonts w:hint="eastAsia"/>
        </w:rPr>
        <w:t>本项目资金预算申报</w:t>
      </w:r>
      <w:r>
        <w:rPr>
          <w:rFonts w:hint="eastAsia"/>
          <w:lang w:val="en-US" w:eastAsia="zh-CN"/>
        </w:rPr>
        <w:t>78.13</w:t>
      </w:r>
      <w:r>
        <w:rPr>
          <w:rFonts w:hint="eastAsia"/>
        </w:rPr>
        <w:t>万元，实际到位</w:t>
      </w:r>
      <w:r>
        <w:rPr>
          <w:rFonts w:hint="eastAsia"/>
          <w:lang w:val="en-US" w:eastAsia="zh-CN"/>
        </w:rPr>
        <w:t>78.13</w:t>
      </w:r>
      <w:r>
        <w:rPr>
          <w:rFonts w:hint="eastAsia"/>
        </w:rPr>
        <w:t>万元，资金到位率100%；截至202</w:t>
      </w:r>
      <w:r>
        <w:rPr>
          <w:rFonts w:hint="eastAsia"/>
          <w:lang w:val="en-US" w:eastAsia="zh-CN"/>
        </w:rPr>
        <w:t>4</w:t>
      </w:r>
      <w:r>
        <w:rPr>
          <w:rFonts w:hint="eastAsia"/>
        </w:rPr>
        <w:t>年12月31日，本项目实际支出资金</w:t>
      </w:r>
      <w:r>
        <w:rPr>
          <w:rFonts w:hint="eastAsia"/>
          <w:lang w:val="en-US" w:eastAsia="zh-CN"/>
        </w:rPr>
        <w:t>78.13</w:t>
      </w:r>
      <w:r>
        <w:rPr>
          <w:rFonts w:hint="eastAsia"/>
        </w:rPr>
        <w:t>万元，预算执行率100%。</w:t>
      </w:r>
    </w:p>
    <w:p w14:paraId="5CBD2F35">
      <w:pPr>
        <w:adjustRightInd w:val="0"/>
        <w:snapToGrid w:val="0"/>
        <w:spacing w:line="578" w:lineRule="exact"/>
        <w:ind w:firstLine="640" w:firstLineChars="200"/>
        <w:rPr>
          <w:rFonts w:ascii="仿宋_GB2312" w:hAnsi="仿宋_GB2312" w:cs="仿宋_GB2312"/>
          <w:kern w:val="0"/>
          <w:shd w:val="clear" w:color="auto" w:fill="FFFFFF"/>
          <w:lang w:val="zh-CN"/>
        </w:rPr>
      </w:pPr>
      <w:r>
        <w:rPr>
          <w:rFonts w:hint="eastAsia" w:ascii="楷体_GB2312" w:hAnsi="楷体_GB2312" w:eastAsia="楷体_GB2312" w:cs="楷体_GB2312"/>
        </w:rPr>
        <w:t>4.项目结果。</w:t>
      </w:r>
      <w:r>
        <w:rPr>
          <w:rFonts w:hint="eastAsia"/>
        </w:rPr>
        <w:t>本单位围绕项目绩效目标认真履职，</w:t>
      </w:r>
      <w:r>
        <w:rPr>
          <w:rFonts w:hint="eastAsia" w:ascii="仿宋_GB2312" w:hAnsi="仿宋_GB2312" w:cs="仿宋_GB2312"/>
          <w:kern w:val="0"/>
          <w:shd w:val="clear" w:color="auto" w:fill="FFFFFF"/>
          <w:lang w:val="en-US" w:eastAsia="zh-CN"/>
        </w:rPr>
        <w:t>电梯安装</w:t>
      </w:r>
      <w:r>
        <w:rPr>
          <w:rFonts w:hint="eastAsia" w:ascii="仿宋_GB2312" w:hAnsi="仿宋_GB2312" w:cs="仿宋_GB2312"/>
          <w:kern w:val="0"/>
          <w:shd w:val="clear" w:color="auto" w:fill="FFFFFF"/>
          <w:lang w:val="zh-CN"/>
        </w:rPr>
        <w:t>项目</w:t>
      </w:r>
      <w:r>
        <w:rPr>
          <w:rFonts w:hint="eastAsia"/>
        </w:rPr>
        <w:t>按计划实施，完成</w:t>
      </w:r>
      <w:r>
        <w:rPr>
          <w:rFonts w:hint="eastAsia"/>
          <w:lang w:val="en-US" w:eastAsia="zh-CN"/>
        </w:rPr>
        <w:t>3部电梯安装（因场地受限进行调整）</w:t>
      </w:r>
      <w:r>
        <w:rPr>
          <w:rFonts w:hint="eastAsia"/>
        </w:rPr>
        <w:t>，</w:t>
      </w:r>
      <w:r>
        <w:rPr>
          <w:rFonts w:hint="eastAsia"/>
          <w:lang w:val="en-US" w:eastAsia="zh-CN"/>
        </w:rPr>
        <w:t>电梯合格率100%，办公环境得到有效改善，使用者满意度98%以上。</w:t>
      </w:r>
    </w:p>
    <w:p w14:paraId="0B533D44">
      <w:pPr>
        <w:spacing w:line="578" w:lineRule="exact"/>
        <w:ind w:firstLine="643" w:firstLineChars="200"/>
        <w:rPr>
          <w:rFonts w:eastAsia="楷体_GB2312"/>
          <w:b/>
          <w:bCs/>
          <w:color w:val="000000"/>
          <w:kern w:val="0"/>
          <w:shd w:val="clear" w:color="auto" w:fill="FFFFFF"/>
          <w:lang w:val="zh-CN"/>
        </w:rPr>
      </w:pPr>
      <w:r>
        <w:rPr>
          <w:rFonts w:hint="eastAsia" w:ascii="楷体_GB2312" w:hAnsi="宋体" w:eastAsia="楷体_GB2312"/>
          <w:b/>
          <w:lang w:val="zh-CN"/>
        </w:rPr>
        <w:t>（二）</w:t>
      </w:r>
      <w:r>
        <w:rPr>
          <w:rFonts w:hint="eastAsia" w:ascii="楷体_GB2312" w:hAnsi="宋体" w:eastAsia="楷体_GB2312"/>
          <w:b/>
        </w:rPr>
        <w:t>专用指标</w:t>
      </w:r>
      <w:r>
        <w:rPr>
          <w:rFonts w:eastAsia="楷体_GB2312"/>
          <w:b/>
          <w:bCs/>
          <w:color w:val="000000"/>
          <w:kern w:val="0"/>
          <w:shd w:val="clear" w:color="auto" w:fill="FFFFFF"/>
          <w:lang w:val="zh-CN"/>
        </w:rPr>
        <w:t>绩效分析</w:t>
      </w:r>
    </w:p>
    <w:p w14:paraId="3FF40837">
      <w:pPr>
        <w:spacing w:line="578" w:lineRule="exact"/>
        <w:ind w:firstLine="640" w:firstLineChars="200"/>
      </w:pPr>
      <w:r>
        <w:rPr>
          <w:rFonts w:hint="eastAsia" w:ascii="楷体_GB2312" w:hAnsi="楷体_GB2312" w:eastAsia="楷体_GB2312" w:cs="楷体_GB2312"/>
          <w:lang w:val="zh-CN"/>
        </w:rPr>
        <w:t>行政运转。</w:t>
      </w:r>
      <w:r>
        <w:rPr>
          <w:rFonts w:hint="eastAsia"/>
          <w:lang w:val="zh-CN"/>
        </w:rPr>
        <w:t>本项目资金均在规定用途、适用范围内进行资金分配，资金管理程序符合专项资金管理要求，资金分配标准符合专项资金管理要求，未发现资金管理和使用过程中不符合专项资金管理要求的情况。</w:t>
      </w:r>
    </w:p>
    <w:p w14:paraId="5BA970C8">
      <w:pPr>
        <w:pStyle w:val="12"/>
        <w:tabs>
          <w:tab w:val="left" w:pos="2160"/>
        </w:tabs>
        <w:spacing w:line="600" w:lineRule="exact"/>
        <w:ind w:firstLine="640" w:firstLineChars="200"/>
        <w:rPr>
          <w:rFonts w:ascii="黑体" w:hAnsi="宋体"/>
          <w:sz w:val="32"/>
          <w:szCs w:val="32"/>
          <w:lang w:eastAsia="zh-CN"/>
        </w:rPr>
      </w:pPr>
      <w:r>
        <w:rPr>
          <w:rFonts w:hint="eastAsia" w:ascii="黑体" w:hAnsi="宋体"/>
          <w:sz w:val="32"/>
          <w:szCs w:val="32"/>
          <w:lang w:eastAsia="zh-CN"/>
        </w:rPr>
        <w:t>四、评价结论</w:t>
      </w:r>
    </w:p>
    <w:p w14:paraId="113BE977">
      <w:pPr>
        <w:pStyle w:val="12"/>
        <w:tabs>
          <w:tab w:val="left" w:pos="2160"/>
        </w:tabs>
        <w:spacing w:line="600" w:lineRule="exact"/>
        <w:ind w:firstLine="640" w:firstLineChars="200"/>
        <w:rPr>
          <w:rFonts w:ascii="黑体" w:hAnsi="黑体" w:cs="黑体"/>
          <w:kern w:val="2"/>
          <w:position w:val="0"/>
          <w:sz w:val="32"/>
          <w:szCs w:val="32"/>
          <w:lang w:eastAsia="zh-CN"/>
        </w:rPr>
      </w:pPr>
      <w:r>
        <w:rPr>
          <w:rFonts w:hint="eastAsia" w:ascii="仿宋_GB2312" w:hAnsi="仿宋_GB2312" w:eastAsia="仿宋_GB2312" w:cs="仿宋_GB2312"/>
          <w:position w:val="0"/>
          <w:sz w:val="32"/>
          <w:szCs w:val="32"/>
          <w:lang w:val="en-US" w:eastAsia="zh-CN"/>
        </w:rPr>
        <w:t>电梯安装</w:t>
      </w:r>
      <w:r>
        <w:rPr>
          <w:rFonts w:hint="eastAsia" w:ascii="仿宋_GB2312" w:hAnsi="仿宋_GB2312" w:eastAsia="仿宋_GB2312" w:cs="仿宋_GB2312"/>
          <w:position w:val="0"/>
          <w:sz w:val="32"/>
          <w:szCs w:val="32"/>
          <w:lang w:val="zh-CN" w:eastAsia="zh-CN"/>
        </w:rPr>
        <w:t>项目</w:t>
      </w:r>
      <w:r>
        <w:rPr>
          <w:rFonts w:hint="eastAsia" w:ascii="仿宋_GB2312" w:hAnsi="仿宋_GB2312" w:eastAsia="仿宋_GB2312" w:cs="仿宋_GB2312"/>
          <w:position w:val="0"/>
          <w:sz w:val="32"/>
          <w:szCs w:val="32"/>
          <w:lang w:eastAsia="zh-CN"/>
        </w:rPr>
        <w:t>决策依据充分，目标明确；项目实施过程资金管理科学，财务控制和业务控制规范；项目绩效目标完成情况达到预期效果，绩效自评得分为100分</w:t>
      </w:r>
      <w:r>
        <w:rPr>
          <w:rFonts w:hint="eastAsia" w:ascii="仿宋_GB2312" w:hAnsi="仿宋_GB2312" w:eastAsia="仿宋_GB2312" w:cs="仿宋_GB2312"/>
          <w:sz w:val="32"/>
          <w:szCs w:val="32"/>
          <w:lang w:val="zh-CN" w:eastAsia="zh-CN"/>
        </w:rPr>
        <w:t>。</w:t>
      </w:r>
    </w:p>
    <w:p w14:paraId="7696B4BB">
      <w:pPr>
        <w:pStyle w:val="12"/>
        <w:tabs>
          <w:tab w:val="left" w:pos="2160"/>
        </w:tabs>
        <w:spacing w:line="600" w:lineRule="exact"/>
        <w:ind w:firstLine="640" w:firstLineChars="200"/>
        <w:rPr>
          <w:rFonts w:ascii="黑体" w:hAnsi="宋体"/>
          <w:sz w:val="32"/>
          <w:szCs w:val="32"/>
          <w:lang w:eastAsia="zh-CN"/>
        </w:rPr>
      </w:pPr>
      <w:r>
        <w:rPr>
          <w:rFonts w:hint="eastAsia" w:ascii="黑体" w:hAnsi="宋体"/>
          <w:sz w:val="32"/>
          <w:szCs w:val="32"/>
          <w:lang w:eastAsia="zh-CN"/>
        </w:rPr>
        <w:t>五、存在主要问题</w:t>
      </w:r>
    </w:p>
    <w:p w14:paraId="0F09AFEA">
      <w:pPr>
        <w:pStyle w:val="12"/>
        <w:tabs>
          <w:tab w:val="left" w:pos="2160"/>
        </w:tabs>
        <w:spacing w:line="600" w:lineRule="exact"/>
        <w:ind w:firstLine="640" w:firstLineChars="200"/>
        <w:rPr>
          <w:rFonts w:ascii="黑体" w:hAnsi="黑体" w:cs="黑体"/>
          <w:kern w:val="2"/>
          <w:position w:val="0"/>
          <w:sz w:val="32"/>
          <w:szCs w:val="32"/>
          <w:lang w:eastAsia="zh-CN"/>
        </w:rPr>
      </w:pPr>
      <w:r>
        <w:rPr>
          <w:rFonts w:hint="eastAsia" w:ascii="仿宋_GB2312" w:hAnsi="仿宋_GB2312" w:eastAsia="仿宋_GB2312" w:cs="仿宋_GB2312"/>
          <w:position w:val="0"/>
          <w:sz w:val="32"/>
          <w:szCs w:val="32"/>
          <w:lang w:eastAsia="zh-CN"/>
        </w:rPr>
        <w:t>无。</w:t>
      </w:r>
    </w:p>
    <w:p w14:paraId="18B2B60A">
      <w:pPr>
        <w:pStyle w:val="12"/>
        <w:tabs>
          <w:tab w:val="left" w:pos="2160"/>
        </w:tabs>
        <w:spacing w:line="600" w:lineRule="exact"/>
        <w:ind w:firstLine="640" w:firstLineChars="200"/>
        <w:rPr>
          <w:rFonts w:ascii="黑体" w:hAnsi="宋体"/>
          <w:sz w:val="32"/>
          <w:szCs w:val="32"/>
          <w:lang w:val="zh-CN" w:eastAsia="zh-CN"/>
        </w:rPr>
      </w:pPr>
      <w:r>
        <w:rPr>
          <w:rFonts w:hint="eastAsia" w:ascii="黑体" w:hAnsi="宋体"/>
          <w:sz w:val="32"/>
          <w:szCs w:val="32"/>
          <w:lang w:val="zh-CN" w:eastAsia="zh-CN"/>
        </w:rPr>
        <w:t>六、改进建议</w:t>
      </w:r>
    </w:p>
    <w:p w14:paraId="4D21C7E5">
      <w:pPr>
        <w:pStyle w:val="12"/>
        <w:tabs>
          <w:tab w:val="left" w:pos="2160"/>
        </w:tabs>
        <w:spacing w:line="600" w:lineRule="exact"/>
        <w:ind w:firstLine="640" w:firstLineChars="200"/>
        <w:rPr>
          <w:rFonts w:hint="eastAsia" w:ascii="仿宋_GB2312" w:hAnsi="仿宋_GB2312" w:eastAsia="仿宋_GB2312" w:cs="仿宋_GB2312"/>
          <w:position w:val="0"/>
          <w:sz w:val="32"/>
          <w:szCs w:val="32"/>
          <w:lang w:eastAsia="zh-CN"/>
        </w:rPr>
      </w:pPr>
      <w:r>
        <w:rPr>
          <w:rFonts w:hint="eastAsia" w:ascii="仿宋_GB2312" w:hAnsi="仿宋_GB2312" w:eastAsia="仿宋_GB2312" w:cs="仿宋_GB2312"/>
          <w:position w:val="0"/>
          <w:sz w:val="32"/>
          <w:szCs w:val="32"/>
          <w:lang w:eastAsia="zh-CN"/>
        </w:rPr>
        <w:t>无。</w:t>
      </w:r>
    </w:p>
    <w:p w14:paraId="563448CB">
      <w:pPr>
        <w:snapToGrid w:val="0"/>
        <w:spacing w:line="578" w:lineRule="exact"/>
        <w:ind w:firstLine="640" w:firstLineChars="200"/>
        <w:rPr>
          <w:rFonts w:hint="eastAsia"/>
          <w:color w:val="000000"/>
          <w:kern w:val="0"/>
          <w:shd w:val="clear" w:color="auto" w:fill="FFFFFF"/>
        </w:rPr>
      </w:pPr>
    </w:p>
    <w:p w14:paraId="4598DB64">
      <w:pPr>
        <w:widowControl/>
        <w:adjustRightInd w:val="0"/>
        <w:snapToGrid w:val="0"/>
        <w:spacing w:line="578" w:lineRule="exact"/>
        <w:contextualSpacing/>
        <w:jc w:val="left"/>
        <w:rPr>
          <w:rFonts w:hint="eastAsia" w:ascii="黑体" w:hAnsi="黑体" w:eastAsia="黑体" w:cs="黑体"/>
          <w:kern w:val="0"/>
          <w:shd w:val="clear" w:color="auto" w:fill="FFFFFF"/>
          <w:lang w:val="zh-CN"/>
        </w:rPr>
      </w:pPr>
    </w:p>
    <w:p w14:paraId="57F51BD0">
      <w:pPr>
        <w:pStyle w:val="2"/>
        <w:rPr>
          <w:rFonts w:hint="eastAsia"/>
          <w:lang w:val="zh-CN"/>
        </w:rPr>
      </w:pPr>
    </w:p>
    <w:p w14:paraId="36BE0AC0">
      <w:pPr>
        <w:widowControl/>
        <w:adjustRightInd w:val="0"/>
        <w:snapToGrid w:val="0"/>
        <w:spacing w:line="578" w:lineRule="exact"/>
        <w:contextualSpacing/>
        <w:jc w:val="left"/>
        <w:rPr>
          <w:rFonts w:hint="eastAsia" w:ascii="黑体" w:hAnsi="黑体" w:eastAsia="黑体" w:cs="黑体"/>
          <w:kern w:val="0"/>
          <w:shd w:val="clear" w:color="auto" w:fill="FFFFFF"/>
          <w:lang w:val="zh-CN"/>
        </w:rPr>
      </w:pPr>
    </w:p>
    <w:p w14:paraId="3A291E99">
      <w:pPr>
        <w:widowControl/>
        <w:adjustRightInd w:val="0"/>
        <w:snapToGrid w:val="0"/>
        <w:spacing w:line="578" w:lineRule="exact"/>
        <w:contextualSpacing/>
        <w:jc w:val="left"/>
        <w:rPr>
          <w:rFonts w:hint="eastAsia" w:ascii="黑体" w:hAnsi="黑体" w:eastAsia="黑体" w:cs="黑体"/>
          <w:kern w:val="0"/>
          <w:shd w:val="clear" w:color="auto" w:fill="FFFFFF"/>
          <w:lang w:val="zh-CN"/>
        </w:rPr>
      </w:pPr>
    </w:p>
    <w:p w14:paraId="73BD8135">
      <w:pPr>
        <w:widowControl/>
        <w:adjustRightInd w:val="0"/>
        <w:snapToGrid w:val="0"/>
        <w:spacing w:line="578" w:lineRule="exact"/>
        <w:contextualSpacing/>
        <w:jc w:val="left"/>
        <w:rPr>
          <w:rFonts w:hint="eastAsia" w:ascii="黑体" w:hAnsi="黑体" w:eastAsia="黑体" w:cs="黑体"/>
          <w:kern w:val="0"/>
          <w:shd w:val="clear" w:color="auto" w:fill="FFFFFF"/>
          <w:lang w:val="zh-CN"/>
        </w:rPr>
      </w:pPr>
    </w:p>
    <w:p w14:paraId="7507DDAF">
      <w:pPr>
        <w:rPr>
          <w:rFonts w:hint="eastAsia" w:ascii="黑体" w:hAnsi="黑体" w:eastAsia="黑体" w:cs="黑体"/>
          <w:kern w:val="0"/>
          <w:shd w:val="clear" w:color="auto" w:fill="FFFFFF"/>
          <w:lang w:val="zh-CN"/>
        </w:rPr>
      </w:pPr>
      <w:r>
        <w:rPr>
          <w:rFonts w:hint="eastAsia" w:ascii="黑体" w:hAnsi="黑体" w:eastAsia="黑体" w:cs="黑体"/>
          <w:kern w:val="0"/>
          <w:shd w:val="clear" w:color="auto" w:fill="FFFFFF"/>
          <w:lang w:val="zh-CN"/>
        </w:rPr>
        <w:br w:type="page"/>
      </w:r>
    </w:p>
    <w:p w14:paraId="7083081F">
      <w:pPr>
        <w:pStyle w:val="2"/>
        <w:rPr>
          <w:rFonts w:hint="eastAsia"/>
          <w:lang w:val="en-US" w:eastAsia="zh-CN"/>
        </w:rPr>
      </w:pPr>
    </w:p>
    <w:p w14:paraId="571BF40F">
      <w:pPr>
        <w:pStyle w:val="3"/>
        <w:rPr>
          <w:rFonts w:hint="eastAsia"/>
          <w:lang w:val="en-US" w:eastAsia="zh-CN"/>
        </w:rPr>
      </w:pPr>
    </w:p>
    <w:tbl>
      <w:tblPr>
        <w:tblStyle w:val="22"/>
        <w:tblW w:w="5000" w:type="pct"/>
        <w:jc w:val="center"/>
        <w:tblLayout w:type="autofit"/>
        <w:tblCellMar>
          <w:top w:w="15" w:type="dxa"/>
          <w:left w:w="15" w:type="dxa"/>
          <w:bottom w:w="15" w:type="dxa"/>
          <w:right w:w="15" w:type="dxa"/>
        </w:tblCellMar>
      </w:tblPr>
      <w:tblGrid>
        <w:gridCol w:w="564"/>
        <w:gridCol w:w="941"/>
        <w:gridCol w:w="1083"/>
        <w:gridCol w:w="1140"/>
        <w:gridCol w:w="976"/>
        <w:gridCol w:w="841"/>
        <w:gridCol w:w="921"/>
        <w:gridCol w:w="811"/>
        <w:gridCol w:w="1598"/>
      </w:tblGrid>
      <w:tr w14:paraId="59E43DEF">
        <w:tblPrEx>
          <w:tblCellMar>
            <w:top w:w="15" w:type="dxa"/>
            <w:left w:w="15" w:type="dxa"/>
            <w:bottom w:w="15" w:type="dxa"/>
            <w:right w:w="15" w:type="dxa"/>
          </w:tblCellMar>
        </w:tblPrEx>
        <w:trPr>
          <w:trHeight w:val="576" w:hRule="atLeast"/>
          <w:jc w:val="center"/>
        </w:trPr>
        <w:tc>
          <w:tcPr>
            <w:tcW w:w="5000" w:type="pct"/>
            <w:gridSpan w:val="9"/>
            <w:shd w:val="clear" w:color="auto" w:fill="auto"/>
            <w:vAlign w:val="center"/>
          </w:tcPr>
          <w:p w14:paraId="6FF12D83">
            <w:pPr>
              <w:widowControl/>
              <w:spacing w:line="600" w:lineRule="exact"/>
              <w:jc w:val="center"/>
              <w:textAlignment w:val="center"/>
              <w:rPr>
                <w:rFonts w:hint="eastAsia" w:ascii="方正仿宋_GB2312" w:hAnsi="方正仿宋_GB2312" w:eastAsia="方正仿宋_GB2312" w:cs="方正仿宋_GB2312"/>
                <w:color w:val="000000"/>
                <w:kern w:val="0"/>
                <w:sz w:val="40"/>
                <w:szCs w:val="40"/>
                <w:lang w:bidi="ar"/>
              </w:rPr>
            </w:pPr>
            <w:r>
              <w:rPr>
                <w:rFonts w:hint="eastAsia" w:ascii="方正仿宋_GB2312" w:hAnsi="方正仿宋_GB2312" w:eastAsia="方正仿宋_GB2312" w:cs="方正仿宋_GB2312"/>
                <w:color w:val="000000"/>
                <w:kern w:val="0"/>
                <w:sz w:val="40"/>
                <w:szCs w:val="40"/>
                <w:lang w:bidi="ar"/>
              </w:rPr>
              <w:t>专项预算项目绩效目标完成情况自评表</w:t>
            </w:r>
          </w:p>
          <w:p w14:paraId="0C2A11C7">
            <w:pPr>
              <w:pStyle w:val="2"/>
              <w:rPr>
                <w:rFonts w:hint="eastAsia" w:ascii="方正仿宋_GB2312" w:hAnsi="方正仿宋_GB2312" w:eastAsia="方正仿宋_GB2312" w:cs="方正仿宋_GB2312"/>
              </w:rPr>
            </w:pPr>
          </w:p>
        </w:tc>
      </w:tr>
      <w:tr w14:paraId="694F05BA">
        <w:tblPrEx>
          <w:tblCellMar>
            <w:top w:w="15" w:type="dxa"/>
            <w:left w:w="15" w:type="dxa"/>
            <w:bottom w:w="15" w:type="dxa"/>
            <w:right w:w="15" w:type="dxa"/>
          </w:tblCellMar>
        </w:tblPrEx>
        <w:trPr>
          <w:trHeight w:val="23" w:hRule="atLeast"/>
          <w:jc w:val="center"/>
        </w:trPr>
        <w:tc>
          <w:tcPr>
            <w:tcW w:w="2100"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ED034D2">
            <w:pPr>
              <w:widowControl/>
              <w:spacing w:line="300" w:lineRule="exact"/>
              <w:jc w:val="left"/>
              <w:textAlignment w:val="center"/>
              <w:rPr>
                <w:rFonts w:ascii="宋体" w:hAnsi="宋体" w:eastAsia="宋体" w:cs="宋体"/>
                <w:color w:val="000000"/>
                <w:kern w:val="0"/>
                <w:sz w:val="24"/>
                <w:szCs w:val="24"/>
                <w:lang w:bidi="ar"/>
              </w:rPr>
            </w:pPr>
            <w:r>
              <w:rPr>
                <w:rFonts w:ascii="宋体" w:hAnsi="宋体" w:eastAsia="宋体" w:cs="宋体"/>
                <w:color w:val="000000"/>
                <w:kern w:val="0"/>
                <w:sz w:val="24"/>
                <w:szCs w:val="24"/>
                <w:lang w:bidi="ar"/>
              </w:rPr>
              <w:t>项目名称</w:t>
            </w:r>
          </w:p>
        </w:tc>
        <w:tc>
          <w:tcPr>
            <w:tcW w:w="2899"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01386BF">
            <w:pPr>
              <w:widowControl/>
              <w:spacing w:line="300" w:lineRule="exact"/>
              <w:jc w:val="left"/>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val="en-US" w:eastAsia="zh-CN" w:bidi="ar"/>
              </w:rPr>
              <w:t>电梯安装</w:t>
            </w:r>
            <w:r>
              <w:rPr>
                <w:rFonts w:hint="eastAsia" w:ascii="宋体" w:hAnsi="宋体" w:eastAsia="宋体" w:cs="宋体"/>
                <w:color w:val="000000"/>
                <w:kern w:val="0"/>
                <w:sz w:val="24"/>
                <w:szCs w:val="24"/>
                <w:lang w:val="zh-CN" w:bidi="ar"/>
              </w:rPr>
              <w:t>项目</w:t>
            </w:r>
          </w:p>
        </w:tc>
      </w:tr>
      <w:tr w14:paraId="19D57B35">
        <w:tblPrEx>
          <w:tblCellMar>
            <w:top w:w="15" w:type="dxa"/>
            <w:left w:w="15" w:type="dxa"/>
            <w:bottom w:w="15" w:type="dxa"/>
            <w:right w:w="15" w:type="dxa"/>
          </w:tblCellMar>
        </w:tblPrEx>
        <w:trPr>
          <w:trHeight w:val="23" w:hRule="atLeast"/>
          <w:jc w:val="center"/>
        </w:trPr>
        <w:tc>
          <w:tcPr>
            <w:tcW w:w="2100"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773D55A">
            <w:pPr>
              <w:widowControl/>
              <w:spacing w:line="300" w:lineRule="exact"/>
              <w:jc w:val="left"/>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预算单位</w:t>
            </w:r>
          </w:p>
        </w:tc>
        <w:tc>
          <w:tcPr>
            <w:tcW w:w="2899"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AE6A856">
            <w:pPr>
              <w:spacing w:line="300" w:lineRule="exact"/>
              <w:rPr>
                <w:rFonts w:ascii="宋体" w:hAnsi="宋体" w:eastAsia="宋体" w:cs="宋体"/>
                <w:color w:val="000000"/>
                <w:sz w:val="24"/>
                <w:szCs w:val="24"/>
              </w:rPr>
            </w:pPr>
            <w:r>
              <w:rPr>
                <w:rFonts w:hint="eastAsia" w:ascii="宋体" w:hAnsi="宋体" w:eastAsia="宋体" w:cs="宋体"/>
                <w:color w:val="000000"/>
                <w:sz w:val="24"/>
                <w:szCs w:val="24"/>
                <w:lang w:val="en-US" w:eastAsia="zh-CN"/>
              </w:rPr>
              <w:t>渠县人民政府</w:t>
            </w:r>
            <w:r>
              <w:rPr>
                <w:rFonts w:hint="eastAsia" w:ascii="宋体" w:hAnsi="宋体" w:eastAsia="宋体" w:cs="宋体"/>
                <w:color w:val="000000"/>
                <w:sz w:val="24"/>
                <w:szCs w:val="24"/>
              </w:rPr>
              <w:t>办公室</w:t>
            </w:r>
          </w:p>
        </w:tc>
      </w:tr>
      <w:tr w14:paraId="7E2DBA76">
        <w:tblPrEx>
          <w:tblCellMar>
            <w:top w:w="15" w:type="dxa"/>
            <w:left w:w="15" w:type="dxa"/>
            <w:bottom w:w="15" w:type="dxa"/>
            <w:right w:w="15" w:type="dxa"/>
          </w:tblCellMar>
        </w:tblPrEx>
        <w:trPr>
          <w:trHeight w:val="23" w:hRule="atLeast"/>
          <w:jc w:val="center"/>
        </w:trPr>
        <w:tc>
          <w:tcPr>
            <w:tcW w:w="2100"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A648E9C">
            <w:pPr>
              <w:widowControl/>
              <w:spacing w:line="300" w:lineRule="exact"/>
              <w:jc w:val="left"/>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项目类型</w:t>
            </w:r>
          </w:p>
        </w:tc>
        <w:tc>
          <w:tcPr>
            <w:tcW w:w="2899"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0045D6A">
            <w:pPr>
              <w:spacing w:line="300" w:lineRule="exact"/>
              <w:jc w:val="left"/>
              <w:rPr>
                <w:rFonts w:ascii="宋体" w:hAnsi="宋体" w:eastAsia="宋体" w:cs="宋体"/>
                <w:color w:val="000000"/>
                <w:sz w:val="24"/>
                <w:szCs w:val="24"/>
              </w:rPr>
            </w:pPr>
          </w:p>
        </w:tc>
      </w:tr>
      <w:tr w14:paraId="639F7035">
        <w:tblPrEx>
          <w:tblCellMar>
            <w:top w:w="15" w:type="dxa"/>
            <w:left w:w="15" w:type="dxa"/>
            <w:bottom w:w="15" w:type="dxa"/>
            <w:right w:w="15" w:type="dxa"/>
          </w:tblCellMar>
        </w:tblPrEx>
        <w:trPr>
          <w:trHeight w:val="23" w:hRule="atLeast"/>
          <w:jc w:val="center"/>
        </w:trPr>
        <w:tc>
          <w:tcPr>
            <w:tcW w:w="31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E83FD0">
            <w:pPr>
              <w:widowControl/>
              <w:spacing w:line="30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项目 概况</w:t>
            </w:r>
          </w:p>
        </w:tc>
        <w:tc>
          <w:tcPr>
            <w:tcW w:w="178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C90F3F1">
            <w:pPr>
              <w:widowControl/>
              <w:spacing w:line="300" w:lineRule="exact"/>
              <w:jc w:val="left"/>
              <w:textAlignment w:val="center"/>
              <w:rPr>
                <w:rFonts w:ascii="宋体" w:hAnsi="宋体" w:eastAsia="宋体" w:cs="宋体"/>
                <w:color w:val="000000"/>
                <w:kern w:val="0"/>
                <w:sz w:val="24"/>
                <w:szCs w:val="24"/>
                <w:lang w:bidi="ar"/>
              </w:rPr>
            </w:pPr>
            <w:r>
              <w:rPr>
                <w:rFonts w:ascii="宋体" w:hAnsi="宋体" w:eastAsia="宋体" w:cs="宋体"/>
                <w:color w:val="000000"/>
                <w:kern w:val="0"/>
                <w:sz w:val="24"/>
                <w:szCs w:val="24"/>
                <w:lang w:bidi="ar"/>
              </w:rPr>
              <w:t>中长期规划（名称、文号，仅指常年项目）</w:t>
            </w:r>
          </w:p>
        </w:tc>
        <w:tc>
          <w:tcPr>
            <w:tcW w:w="2899"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72FA1D2">
            <w:pPr>
              <w:spacing w:line="300" w:lineRule="exact"/>
              <w:jc w:val="left"/>
              <w:rPr>
                <w:rFonts w:ascii="宋体" w:hAnsi="宋体" w:eastAsia="宋体" w:cs="宋体"/>
                <w:color w:val="000000"/>
                <w:sz w:val="24"/>
                <w:szCs w:val="24"/>
              </w:rPr>
            </w:pPr>
          </w:p>
        </w:tc>
      </w:tr>
      <w:tr w14:paraId="666F68B0">
        <w:tblPrEx>
          <w:tblCellMar>
            <w:top w:w="15" w:type="dxa"/>
            <w:left w:w="15" w:type="dxa"/>
            <w:bottom w:w="15" w:type="dxa"/>
            <w:right w:w="15" w:type="dxa"/>
          </w:tblCellMar>
        </w:tblPrEx>
        <w:trPr>
          <w:trHeight w:val="23" w:hRule="atLeast"/>
          <w:jc w:val="center"/>
        </w:trPr>
        <w:tc>
          <w:tcPr>
            <w:tcW w:w="3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C34D13">
            <w:pPr>
              <w:spacing w:line="300" w:lineRule="exact"/>
              <w:rPr>
                <w:rFonts w:ascii="宋体" w:hAnsi="宋体" w:eastAsia="宋体" w:cs="宋体"/>
                <w:color w:val="000000"/>
                <w:sz w:val="24"/>
                <w:szCs w:val="24"/>
              </w:rPr>
            </w:pPr>
          </w:p>
        </w:tc>
        <w:tc>
          <w:tcPr>
            <w:tcW w:w="178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138F323">
            <w:pPr>
              <w:widowControl/>
              <w:spacing w:line="300" w:lineRule="exact"/>
              <w:jc w:val="left"/>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资金管理办法（名称、文号）</w:t>
            </w:r>
          </w:p>
        </w:tc>
        <w:tc>
          <w:tcPr>
            <w:tcW w:w="2899"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7B3CF2E">
            <w:pPr>
              <w:spacing w:line="300" w:lineRule="exact"/>
              <w:jc w:val="left"/>
              <w:rPr>
                <w:rFonts w:ascii="宋体" w:hAnsi="宋体" w:eastAsia="宋体" w:cs="宋体"/>
                <w:color w:val="000000"/>
                <w:sz w:val="24"/>
                <w:szCs w:val="24"/>
              </w:rPr>
            </w:pPr>
          </w:p>
        </w:tc>
      </w:tr>
      <w:tr w14:paraId="5641DE40">
        <w:tblPrEx>
          <w:tblCellMar>
            <w:top w:w="15" w:type="dxa"/>
            <w:left w:w="15" w:type="dxa"/>
            <w:bottom w:w="15" w:type="dxa"/>
            <w:right w:w="15" w:type="dxa"/>
          </w:tblCellMar>
        </w:tblPrEx>
        <w:trPr>
          <w:trHeight w:val="23" w:hRule="atLeast"/>
          <w:jc w:val="center"/>
        </w:trPr>
        <w:tc>
          <w:tcPr>
            <w:tcW w:w="3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FB0E78">
            <w:pPr>
              <w:spacing w:line="300" w:lineRule="exact"/>
              <w:rPr>
                <w:rFonts w:ascii="宋体" w:hAnsi="宋体" w:eastAsia="宋体" w:cs="宋体"/>
                <w:color w:val="000000"/>
                <w:sz w:val="24"/>
                <w:szCs w:val="24"/>
              </w:rPr>
            </w:pPr>
          </w:p>
        </w:tc>
        <w:tc>
          <w:tcPr>
            <w:tcW w:w="178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4683368">
            <w:pPr>
              <w:widowControl/>
              <w:spacing w:line="300" w:lineRule="exact"/>
              <w:jc w:val="left"/>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绩效分配方式</w:t>
            </w:r>
          </w:p>
        </w:tc>
        <w:tc>
          <w:tcPr>
            <w:tcW w:w="5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AE714F">
            <w:pPr>
              <w:widowControl/>
              <w:spacing w:line="300" w:lineRule="exact"/>
              <w:jc w:val="left"/>
              <w:textAlignment w:val="center"/>
              <w:rPr>
                <w:rFonts w:ascii="Wingdings 2" w:hAnsi="Wingdings 2" w:eastAsia="Wingdings 2" w:cs="Wingdings 2"/>
                <w:color w:val="000000"/>
                <w:sz w:val="24"/>
                <w:szCs w:val="24"/>
              </w:rPr>
            </w:pPr>
            <w:r>
              <w:rPr>
                <w:rFonts w:ascii="Wingdings 2" w:hAnsi="Wingdings 2" w:eastAsia="Wingdings 2" w:cs="Wingdings 2"/>
                <w:color w:val="000000"/>
                <w:kern w:val="0"/>
                <w:sz w:val="24"/>
                <w:szCs w:val="24"/>
                <w:lang w:bidi="ar"/>
              </w:rPr>
              <w:t>£</w:t>
            </w:r>
            <w:r>
              <w:rPr>
                <w:rFonts w:ascii="宋体" w:hAnsi="宋体" w:eastAsia="宋体" w:cs="宋体"/>
                <w:color w:val="000000"/>
                <w:kern w:val="0"/>
                <w:sz w:val="24"/>
                <w:szCs w:val="24"/>
                <w:lang w:bidi="ar"/>
              </w:rPr>
              <w:t>因素法</w:t>
            </w:r>
          </w:p>
        </w:tc>
        <w:tc>
          <w:tcPr>
            <w:tcW w:w="99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0A565B">
            <w:pPr>
              <w:widowControl/>
              <w:spacing w:line="300" w:lineRule="exact"/>
              <w:jc w:val="center"/>
              <w:textAlignment w:val="center"/>
              <w:rPr>
                <w:rFonts w:ascii="Wingdings 2" w:hAnsi="Wingdings 2" w:eastAsia="Wingdings 2" w:cs="Wingdings 2"/>
                <w:color w:val="000000"/>
                <w:sz w:val="24"/>
                <w:szCs w:val="24"/>
              </w:rPr>
            </w:pPr>
            <w:r>
              <w:rPr>
                <w:rFonts w:ascii="Wingdings 2" w:hAnsi="Wingdings 2" w:eastAsia="Wingdings 2" w:cs="Wingdings 2"/>
                <w:color w:val="000000"/>
                <w:kern w:val="0"/>
                <w:sz w:val="24"/>
                <w:szCs w:val="24"/>
                <w:lang w:bidi="ar"/>
              </w:rPr>
              <w:sym w:font="Wingdings 2" w:char="0052"/>
            </w:r>
            <w:r>
              <w:rPr>
                <w:rFonts w:ascii="Wingdings 2" w:hAnsi="Wingdings 2" w:eastAsia="Wingdings 2" w:cs="Wingdings 2"/>
                <w:color w:val="000000"/>
                <w:kern w:val="0"/>
                <w:sz w:val="24"/>
                <w:szCs w:val="24"/>
                <w:lang w:bidi="ar"/>
              </w:rPr>
              <w:t>项目法</w:t>
            </w:r>
          </w:p>
        </w:tc>
        <w:tc>
          <w:tcPr>
            <w:tcW w:w="4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CB508B">
            <w:pPr>
              <w:widowControl/>
              <w:spacing w:line="300" w:lineRule="exact"/>
              <w:jc w:val="center"/>
              <w:textAlignment w:val="center"/>
              <w:rPr>
                <w:rFonts w:ascii="Wingdings 2" w:hAnsi="Wingdings 2" w:eastAsia="Wingdings 2" w:cs="Wingdings 2"/>
                <w:color w:val="000000"/>
                <w:sz w:val="24"/>
                <w:szCs w:val="24"/>
              </w:rPr>
            </w:pPr>
            <w:r>
              <w:rPr>
                <w:rFonts w:ascii="Wingdings 2" w:hAnsi="Wingdings 2" w:eastAsia="Wingdings 2" w:cs="Wingdings 2"/>
                <w:color w:val="000000"/>
                <w:kern w:val="0"/>
                <w:sz w:val="24"/>
                <w:szCs w:val="24"/>
                <w:lang w:bidi="ar"/>
              </w:rPr>
              <w:sym w:font="Wingdings 2" w:char="00A3"/>
            </w:r>
            <w:r>
              <w:rPr>
                <w:rFonts w:ascii="宋体" w:hAnsi="宋体" w:eastAsia="宋体" w:cs="宋体"/>
                <w:color w:val="000000"/>
                <w:kern w:val="0"/>
                <w:sz w:val="24"/>
                <w:szCs w:val="24"/>
                <w:lang w:bidi="ar"/>
              </w:rPr>
              <w:t>据实据效</w:t>
            </w:r>
          </w:p>
        </w:tc>
        <w:tc>
          <w:tcPr>
            <w:tcW w:w="8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841F0D">
            <w:pPr>
              <w:widowControl/>
              <w:spacing w:line="300" w:lineRule="exact"/>
              <w:jc w:val="center"/>
              <w:textAlignment w:val="center"/>
              <w:rPr>
                <w:rFonts w:ascii="Wingdings 2" w:hAnsi="Wingdings 2" w:eastAsia="Wingdings 2" w:cs="Wingdings 2"/>
                <w:color w:val="000000"/>
                <w:sz w:val="24"/>
                <w:szCs w:val="24"/>
              </w:rPr>
            </w:pPr>
            <w:r>
              <w:rPr>
                <w:rFonts w:ascii="Wingdings 2" w:hAnsi="Wingdings 2" w:eastAsia="Wingdings 2" w:cs="Wingdings 2"/>
                <w:color w:val="000000"/>
                <w:kern w:val="0"/>
                <w:sz w:val="24"/>
                <w:szCs w:val="24"/>
                <w:lang w:bidi="ar"/>
              </w:rPr>
              <w:t>£</w:t>
            </w:r>
            <w:r>
              <w:rPr>
                <w:rFonts w:ascii="宋体" w:hAnsi="宋体" w:eastAsia="宋体" w:cs="宋体"/>
                <w:color w:val="000000"/>
                <w:kern w:val="0"/>
                <w:sz w:val="24"/>
                <w:szCs w:val="24"/>
                <w:lang w:bidi="ar"/>
              </w:rPr>
              <w:t>因素法与项目法相结合</w:t>
            </w:r>
          </w:p>
        </w:tc>
      </w:tr>
      <w:tr w14:paraId="3E153E3A">
        <w:tblPrEx>
          <w:tblCellMar>
            <w:top w:w="15" w:type="dxa"/>
            <w:left w:w="15" w:type="dxa"/>
            <w:bottom w:w="15" w:type="dxa"/>
            <w:right w:w="15" w:type="dxa"/>
          </w:tblCellMar>
        </w:tblPrEx>
        <w:trPr>
          <w:trHeight w:val="23" w:hRule="atLeast"/>
          <w:jc w:val="center"/>
        </w:trPr>
        <w:tc>
          <w:tcPr>
            <w:tcW w:w="3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58DDFC">
            <w:pPr>
              <w:spacing w:line="300" w:lineRule="exact"/>
              <w:rPr>
                <w:rFonts w:ascii="宋体" w:hAnsi="宋体" w:eastAsia="宋体" w:cs="宋体"/>
                <w:color w:val="000000"/>
                <w:sz w:val="24"/>
                <w:szCs w:val="24"/>
              </w:rPr>
            </w:pPr>
          </w:p>
        </w:tc>
        <w:tc>
          <w:tcPr>
            <w:tcW w:w="178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722C4CF">
            <w:pPr>
              <w:widowControl/>
              <w:spacing w:line="300" w:lineRule="exact"/>
              <w:jc w:val="left"/>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立项依据</w:t>
            </w:r>
          </w:p>
        </w:tc>
        <w:tc>
          <w:tcPr>
            <w:tcW w:w="2899"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85C9D5B">
            <w:pPr>
              <w:spacing w:line="300" w:lineRule="exact"/>
              <w:jc w:val="left"/>
              <w:rPr>
                <w:rFonts w:ascii="宋体" w:hAnsi="宋体" w:eastAsia="宋体" w:cs="宋体"/>
                <w:color w:val="000000"/>
                <w:sz w:val="24"/>
                <w:szCs w:val="24"/>
              </w:rPr>
            </w:pPr>
          </w:p>
        </w:tc>
      </w:tr>
      <w:tr w14:paraId="47FEFF3B">
        <w:tblPrEx>
          <w:tblCellMar>
            <w:top w:w="15" w:type="dxa"/>
            <w:left w:w="15" w:type="dxa"/>
            <w:bottom w:w="15" w:type="dxa"/>
            <w:right w:w="15" w:type="dxa"/>
          </w:tblCellMar>
        </w:tblPrEx>
        <w:trPr>
          <w:trHeight w:val="23" w:hRule="atLeast"/>
          <w:jc w:val="center"/>
        </w:trPr>
        <w:tc>
          <w:tcPr>
            <w:tcW w:w="3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00BCD7">
            <w:pPr>
              <w:spacing w:line="300" w:lineRule="exact"/>
              <w:rPr>
                <w:rFonts w:ascii="宋体" w:hAnsi="宋体" w:eastAsia="宋体" w:cs="宋体"/>
                <w:color w:val="000000"/>
                <w:sz w:val="24"/>
                <w:szCs w:val="24"/>
              </w:rPr>
            </w:pPr>
          </w:p>
        </w:tc>
        <w:tc>
          <w:tcPr>
            <w:tcW w:w="178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EE0EC4B">
            <w:pPr>
              <w:widowControl/>
              <w:spacing w:line="300" w:lineRule="exact"/>
              <w:jc w:val="left"/>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使用范围</w:t>
            </w:r>
          </w:p>
        </w:tc>
        <w:tc>
          <w:tcPr>
            <w:tcW w:w="2899"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628BB85">
            <w:pPr>
              <w:spacing w:line="300" w:lineRule="exact"/>
              <w:jc w:val="left"/>
              <w:rPr>
                <w:rFonts w:ascii="宋体" w:hAnsi="宋体" w:eastAsia="宋体" w:cs="宋体"/>
                <w:color w:val="000000"/>
                <w:sz w:val="24"/>
                <w:szCs w:val="24"/>
              </w:rPr>
            </w:pPr>
          </w:p>
        </w:tc>
      </w:tr>
      <w:tr w14:paraId="54CB1652">
        <w:tblPrEx>
          <w:tblCellMar>
            <w:top w:w="15" w:type="dxa"/>
            <w:left w:w="15" w:type="dxa"/>
            <w:bottom w:w="15" w:type="dxa"/>
            <w:right w:w="15" w:type="dxa"/>
          </w:tblCellMar>
        </w:tblPrEx>
        <w:trPr>
          <w:trHeight w:val="23" w:hRule="atLeast"/>
          <w:jc w:val="center"/>
        </w:trPr>
        <w:tc>
          <w:tcPr>
            <w:tcW w:w="3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2BC715">
            <w:pPr>
              <w:spacing w:line="300" w:lineRule="exact"/>
              <w:rPr>
                <w:rFonts w:ascii="宋体" w:hAnsi="宋体" w:eastAsia="宋体" w:cs="宋体"/>
                <w:color w:val="000000"/>
                <w:sz w:val="24"/>
                <w:szCs w:val="24"/>
              </w:rPr>
            </w:pPr>
          </w:p>
        </w:tc>
        <w:tc>
          <w:tcPr>
            <w:tcW w:w="178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5B5A2E7">
            <w:pPr>
              <w:widowControl/>
              <w:spacing w:line="300" w:lineRule="exact"/>
              <w:jc w:val="left"/>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申报（补助）条件</w:t>
            </w:r>
          </w:p>
        </w:tc>
        <w:tc>
          <w:tcPr>
            <w:tcW w:w="2899"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E150C1B">
            <w:pPr>
              <w:spacing w:line="300" w:lineRule="exact"/>
              <w:jc w:val="left"/>
              <w:rPr>
                <w:rFonts w:ascii="宋体" w:hAnsi="宋体" w:eastAsia="宋体" w:cs="宋体"/>
                <w:color w:val="000000"/>
                <w:sz w:val="24"/>
                <w:szCs w:val="24"/>
              </w:rPr>
            </w:pPr>
          </w:p>
        </w:tc>
      </w:tr>
      <w:tr w14:paraId="39CC7F64">
        <w:tblPrEx>
          <w:tblCellMar>
            <w:top w:w="15" w:type="dxa"/>
            <w:left w:w="15" w:type="dxa"/>
            <w:bottom w:w="15" w:type="dxa"/>
            <w:right w:w="15" w:type="dxa"/>
          </w:tblCellMar>
        </w:tblPrEx>
        <w:trPr>
          <w:trHeight w:val="23" w:hRule="atLeast"/>
          <w:jc w:val="center"/>
        </w:trPr>
        <w:tc>
          <w:tcPr>
            <w:tcW w:w="3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382C80">
            <w:pPr>
              <w:spacing w:line="300" w:lineRule="exact"/>
              <w:rPr>
                <w:rFonts w:ascii="宋体" w:hAnsi="宋体" w:eastAsia="宋体" w:cs="宋体"/>
                <w:color w:val="000000"/>
                <w:sz w:val="24"/>
                <w:szCs w:val="24"/>
              </w:rPr>
            </w:pPr>
          </w:p>
        </w:tc>
        <w:tc>
          <w:tcPr>
            <w:tcW w:w="178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D34728A">
            <w:pPr>
              <w:widowControl/>
              <w:spacing w:line="300" w:lineRule="exact"/>
              <w:jc w:val="left"/>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项目起止年限</w:t>
            </w:r>
          </w:p>
        </w:tc>
        <w:tc>
          <w:tcPr>
            <w:tcW w:w="2899"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C430102">
            <w:pPr>
              <w:spacing w:line="300" w:lineRule="exact"/>
              <w:rPr>
                <w:rFonts w:ascii="宋体" w:hAnsi="宋体" w:eastAsia="宋体" w:cs="宋体"/>
                <w:color w:val="000000"/>
                <w:sz w:val="24"/>
                <w:szCs w:val="24"/>
              </w:rPr>
            </w:pPr>
            <w:r>
              <w:rPr>
                <w:rFonts w:hint="eastAsia" w:ascii="宋体" w:hAnsi="宋体" w:eastAsia="宋体" w:cs="宋体"/>
                <w:color w:val="000000"/>
                <w:sz w:val="24"/>
                <w:szCs w:val="24"/>
              </w:rPr>
              <w:t>202</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年</w:t>
            </w:r>
          </w:p>
        </w:tc>
      </w:tr>
      <w:tr w14:paraId="3A410C14">
        <w:tblPrEx>
          <w:tblCellMar>
            <w:top w:w="15" w:type="dxa"/>
            <w:left w:w="15" w:type="dxa"/>
            <w:bottom w:w="15" w:type="dxa"/>
            <w:right w:w="15" w:type="dxa"/>
          </w:tblCellMar>
        </w:tblPrEx>
        <w:trPr>
          <w:trHeight w:val="23" w:hRule="atLeast"/>
          <w:jc w:val="center"/>
        </w:trPr>
        <w:tc>
          <w:tcPr>
            <w:tcW w:w="848"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B93ABD">
            <w:pPr>
              <w:widowControl/>
              <w:spacing w:line="300" w:lineRule="exact"/>
              <w:jc w:val="center"/>
              <w:textAlignment w:val="center"/>
              <w:rPr>
                <w:rFonts w:ascii="宋体" w:hAnsi="宋体" w:eastAsia="宋体" w:cs="宋体"/>
                <w:color w:val="000000"/>
                <w:kern w:val="0"/>
                <w:sz w:val="24"/>
                <w:szCs w:val="24"/>
                <w:lang w:bidi="ar"/>
              </w:rPr>
            </w:pPr>
            <w:r>
              <w:rPr>
                <w:rFonts w:ascii="宋体" w:hAnsi="宋体" w:eastAsia="宋体" w:cs="宋体"/>
                <w:color w:val="000000"/>
                <w:kern w:val="0"/>
                <w:sz w:val="24"/>
                <w:szCs w:val="24"/>
                <w:lang w:bidi="ar"/>
              </w:rPr>
              <w:t>项目资金</w:t>
            </w:r>
          </w:p>
          <w:p w14:paraId="1598EFE0">
            <w:pPr>
              <w:widowControl/>
              <w:spacing w:line="30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（万元）</w:t>
            </w:r>
          </w:p>
        </w:tc>
        <w:tc>
          <w:tcPr>
            <w:tcW w:w="125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C7F91B">
            <w:pPr>
              <w:widowControl/>
              <w:spacing w:line="300" w:lineRule="exact"/>
              <w:jc w:val="left"/>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 xml:space="preserve">  年度资金总额：</w:t>
            </w:r>
          </w:p>
        </w:tc>
        <w:tc>
          <w:tcPr>
            <w:tcW w:w="2899"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13FEE0E">
            <w:pPr>
              <w:spacing w:line="300" w:lineRule="exact"/>
              <w:jc w:val="cente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78.13</w:t>
            </w:r>
          </w:p>
        </w:tc>
      </w:tr>
      <w:tr w14:paraId="3DC11EA7">
        <w:tblPrEx>
          <w:tblCellMar>
            <w:top w:w="15" w:type="dxa"/>
            <w:left w:w="15" w:type="dxa"/>
            <w:bottom w:w="15" w:type="dxa"/>
            <w:right w:w="15" w:type="dxa"/>
          </w:tblCellMar>
        </w:tblPrEx>
        <w:trPr>
          <w:trHeight w:val="23" w:hRule="atLeast"/>
          <w:jc w:val="center"/>
        </w:trPr>
        <w:tc>
          <w:tcPr>
            <w:tcW w:w="84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DFE300">
            <w:pPr>
              <w:spacing w:line="300" w:lineRule="exact"/>
              <w:rPr>
                <w:rFonts w:ascii="宋体" w:hAnsi="宋体" w:eastAsia="宋体" w:cs="宋体"/>
                <w:color w:val="000000"/>
                <w:sz w:val="24"/>
                <w:szCs w:val="24"/>
              </w:rPr>
            </w:pPr>
          </w:p>
        </w:tc>
        <w:tc>
          <w:tcPr>
            <w:tcW w:w="125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2A5D3F">
            <w:pPr>
              <w:widowControl/>
              <w:spacing w:line="300" w:lineRule="exact"/>
              <w:jc w:val="left"/>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 xml:space="preserve">    其中：财政拨款</w:t>
            </w:r>
          </w:p>
        </w:tc>
        <w:tc>
          <w:tcPr>
            <w:tcW w:w="2899"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3C9170A">
            <w:pPr>
              <w:spacing w:line="300" w:lineRule="exact"/>
              <w:jc w:val="cente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78.13</w:t>
            </w:r>
          </w:p>
        </w:tc>
      </w:tr>
      <w:tr w14:paraId="10FF5FC9">
        <w:tblPrEx>
          <w:tblCellMar>
            <w:top w:w="15" w:type="dxa"/>
            <w:left w:w="15" w:type="dxa"/>
            <w:bottom w:w="15" w:type="dxa"/>
            <w:right w:w="15" w:type="dxa"/>
          </w:tblCellMar>
        </w:tblPrEx>
        <w:trPr>
          <w:trHeight w:val="23" w:hRule="atLeast"/>
          <w:jc w:val="center"/>
        </w:trPr>
        <w:tc>
          <w:tcPr>
            <w:tcW w:w="84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C33155">
            <w:pPr>
              <w:spacing w:line="300" w:lineRule="exact"/>
              <w:rPr>
                <w:rFonts w:ascii="宋体" w:hAnsi="宋体" w:eastAsia="宋体" w:cs="宋体"/>
                <w:color w:val="000000"/>
                <w:sz w:val="24"/>
                <w:szCs w:val="24"/>
              </w:rPr>
            </w:pPr>
          </w:p>
        </w:tc>
        <w:tc>
          <w:tcPr>
            <w:tcW w:w="125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A35D8D">
            <w:pPr>
              <w:widowControl/>
              <w:spacing w:line="300" w:lineRule="exact"/>
              <w:jc w:val="left"/>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 xml:space="preserve">         其他资金</w:t>
            </w:r>
          </w:p>
        </w:tc>
        <w:tc>
          <w:tcPr>
            <w:tcW w:w="2899"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31EC907">
            <w:pPr>
              <w:spacing w:line="300" w:lineRule="exact"/>
              <w:jc w:val="right"/>
              <w:rPr>
                <w:rFonts w:ascii="宋体" w:hAnsi="宋体" w:eastAsia="宋体" w:cs="宋体"/>
                <w:color w:val="000000"/>
                <w:sz w:val="24"/>
                <w:szCs w:val="24"/>
              </w:rPr>
            </w:pPr>
          </w:p>
        </w:tc>
      </w:tr>
      <w:tr w14:paraId="483C2675">
        <w:tblPrEx>
          <w:tblCellMar>
            <w:top w:w="15" w:type="dxa"/>
            <w:left w:w="15" w:type="dxa"/>
            <w:bottom w:w="15" w:type="dxa"/>
            <w:right w:w="15" w:type="dxa"/>
          </w:tblCellMar>
        </w:tblPrEx>
        <w:trPr>
          <w:trHeight w:val="23" w:hRule="atLeast"/>
          <w:jc w:val="center"/>
        </w:trPr>
        <w:tc>
          <w:tcPr>
            <w:tcW w:w="31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27C8A0">
            <w:pPr>
              <w:widowControl/>
              <w:spacing w:line="30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总体 目标</w:t>
            </w:r>
          </w:p>
        </w:tc>
        <w:tc>
          <w:tcPr>
            <w:tcW w:w="4681"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794A13E">
            <w:pPr>
              <w:widowControl/>
              <w:spacing w:line="30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年度目标</w:t>
            </w:r>
          </w:p>
        </w:tc>
      </w:tr>
      <w:tr w14:paraId="490F27FE">
        <w:tblPrEx>
          <w:tblCellMar>
            <w:top w:w="15" w:type="dxa"/>
            <w:left w:w="15" w:type="dxa"/>
            <w:bottom w:w="15" w:type="dxa"/>
            <w:right w:w="15" w:type="dxa"/>
          </w:tblCellMar>
        </w:tblPrEx>
        <w:trPr>
          <w:trHeight w:val="23" w:hRule="atLeast"/>
          <w:jc w:val="center"/>
        </w:trPr>
        <w:tc>
          <w:tcPr>
            <w:tcW w:w="3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F29ADD">
            <w:pPr>
              <w:spacing w:line="300" w:lineRule="exact"/>
              <w:rPr>
                <w:rFonts w:ascii="宋体" w:hAnsi="宋体" w:eastAsia="宋体" w:cs="宋体"/>
                <w:color w:val="000000"/>
                <w:sz w:val="24"/>
                <w:szCs w:val="24"/>
              </w:rPr>
            </w:pPr>
          </w:p>
        </w:tc>
        <w:tc>
          <w:tcPr>
            <w:tcW w:w="4681"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7DF4B26">
            <w:pPr>
              <w:spacing w:line="300" w:lineRule="exact"/>
              <w:rPr>
                <w:rFonts w:ascii="宋体" w:hAnsi="宋体" w:eastAsia="宋体" w:cs="宋体"/>
                <w:color w:val="000000"/>
                <w:sz w:val="24"/>
                <w:szCs w:val="24"/>
              </w:rPr>
            </w:pPr>
            <w:r>
              <w:rPr>
                <w:rFonts w:hint="eastAsia" w:ascii="宋体" w:hAnsi="宋体" w:eastAsia="宋体" w:cs="宋体"/>
                <w:color w:val="000000"/>
                <w:sz w:val="24"/>
                <w:szCs w:val="24"/>
              </w:rPr>
              <w:t>派驻纪检组工作经费</w:t>
            </w:r>
          </w:p>
        </w:tc>
      </w:tr>
      <w:tr w14:paraId="0370F10B">
        <w:tblPrEx>
          <w:tblCellMar>
            <w:top w:w="15" w:type="dxa"/>
            <w:left w:w="15" w:type="dxa"/>
            <w:bottom w:w="15" w:type="dxa"/>
            <w:right w:w="15" w:type="dxa"/>
          </w:tblCellMar>
        </w:tblPrEx>
        <w:trPr>
          <w:trHeight w:val="23" w:hRule="atLeast"/>
          <w:jc w:val="center"/>
        </w:trPr>
        <w:tc>
          <w:tcPr>
            <w:tcW w:w="318" w:type="pct"/>
            <w:vMerge w:val="restart"/>
            <w:tcBorders>
              <w:top w:val="single" w:color="000000" w:sz="4" w:space="0"/>
              <w:left w:val="single" w:color="000000" w:sz="4" w:space="0"/>
              <w:bottom w:val="single" w:color="000000" w:sz="4" w:space="0"/>
            </w:tcBorders>
            <w:shd w:val="clear" w:color="auto" w:fill="auto"/>
            <w:vAlign w:val="center"/>
          </w:tcPr>
          <w:p w14:paraId="70387628">
            <w:pPr>
              <w:widowControl/>
              <w:spacing w:line="30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绩效 指标</w:t>
            </w:r>
          </w:p>
        </w:tc>
        <w:tc>
          <w:tcPr>
            <w:tcW w:w="5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2CE70C">
            <w:pPr>
              <w:widowControl/>
              <w:spacing w:line="30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一级指标</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8D4D99">
            <w:pPr>
              <w:widowControl/>
              <w:spacing w:line="30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二级指标</w:t>
            </w:r>
          </w:p>
        </w:tc>
        <w:tc>
          <w:tcPr>
            <w:tcW w:w="640" w:type="pct"/>
            <w:tcBorders>
              <w:top w:val="single" w:color="000000" w:sz="4" w:space="0"/>
              <w:left w:val="single" w:color="000000" w:sz="4" w:space="0"/>
              <w:bottom w:val="single" w:color="auto" w:sz="4" w:space="0"/>
              <w:right w:val="single" w:color="000000" w:sz="4" w:space="0"/>
            </w:tcBorders>
            <w:shd w:val="clear" w:color="auto" w:fill="auto"/>
            <w:vAlign w:val="center"/>
          </w:tcPr>
          <w:p w14:paraId="1FE8A283">
            <w:pPr>
              <w:widowControl/>
              <w:spacing w:line="30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三级指标</w:t>
            </w:r>
          </w:p>
        </w:tc>
        <w:tc>
          <w:tcPr>
            <w:tcW w:w="550" w:type="pct"/>
            <w:tcBorders>
              <w:top w:val="single" w:color="000000" w:sz="4" w:space="0"/>
              <w:left w:val="single" w:color="000000" w:sz="4" w:space="0"/>
              <w:bottom w:val="single" w:color="auto" w:sz="4" w:space="0"/>
              <w:right w:val="single" w:color="000000" w:sz="4" w:space="0"/>
            </w:tcBorders>
            <w:shd w:val="clear" w:color="auto" w:fill="auto"/>
            <w:vAlign w:val="center"/>
          </w:tcPr>
          <w:p w14:paraId="22CC1312">
            <w:pPr>
              <w:widowControl/>
              <w:spacing w:line="30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指标性质</w:t>
            </w:r>
          </w:p>
        </w:tc>
        <w:tc>
          <w:tcPr>
            <w:tcW w:w="474" w:type="pct"/>
            <w:tcBorders>
              <w:top w:val="single" w:color="000000" w:sz="4" w:space="0"/>
              <w:left w:val="single" w:color="000000" w:sz="4" w:space="0"/>
              <w:bottom w:val="single" w:color="auto" w:sz="4" w:space="0"/>
              <w:right w:val="single" w:color="000000" w:sz="4" w:space="0"/>
            </w:tcBorders>
            <w:shd w:val="clear" w:color="auto" w:fill="auto"/>
            <w:vAlign w:val="center"/>
          </w:tcPr>
          <w:p w14:paraId="5CDEF2BD">
            <w:pPr>
              <w:widowControl/>
              <w:spacing w:line="30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指标值</w:t>
            </w:r>
          </w:p>
        </w:tc>
        <w:tc>
          <w:tcPr>
            <w:tcW w:w="519" w:type="pct"/>
            <w:tcBorders>
              <w:top w:val="single" w:color="000000" w:sz="4" w:space="0"/>
              <w:left w:val="single" w:color="000000" w:sz="4" w:space="0"/>
              <w:bottom w:val="single" w:color="auto" w:sz="4" w:space="0"/>
              <w:right w:val="single" w:color="000000" w:sz="4" w:space="0"/>
            </w:tcBorders>
            <w:shd w:val="clear" w:color="auto" w:fill="auto"/>
            <w:vAlign w:val="center"/>
          </w:tcPr>
          <w:p w14:paraId="1760A996">
            <w:pPr>
              <w:widowControl/>
              <w:spacing w:line="30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度量单位</w:t>
            </w:r>
          </w:p>
        </w:tc>
        <w:tc>
          <w:tcPr>
            <w:tcW w:w="4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31E0A1">
            <w:pPr>
              <w:widowControl/>
              <w:spacing w:line="30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权重</w:t>
            </w:r>
          </w:p>
        </w:tc>
        <w:tc>
          <w:tcPr>
            <w:tcW w:w="8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139C17">
            <w:pPr>
              <w:widowControl/>
              <w:spacing w:line="30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实际完成指标值</w:t>
            </w:r>
          </w:p>
        </w:tc>
      </w:tr>
      <w:tr w14:paraId="0E0D67A6">
        <w:tblPrEx>
          <w:tblCellMar>
            <w:top w:w="15" w:type="dxa"/>
            <w:left w:w="15" w:type="dxa"/>
            <w:bottom w:w="15" w:type="dxa"/>
            <w:right w:w="15" w:type="dxa"/>
          </w:tblCellMar>
        </w:tblPrEx>
        <w:trPr>
          <w:trHeight w:val="23" w:hRule="atLeast"/>
          <w:jc w:val="center"/>
        </w:trPr>
        <w:tc>
          <w:tcPr>
            <w:tcW w:w="318" w:type="pct"/>
            <w:vMerge w:val="continue"/>
            <w:tcBorders>
              <w:top w:val="single" w:color="000000" w:sz="4" w:space="0"/>
              <w:left w:val="single" w:color="000000" w:sz="4" w:space="0"/>
              <w:bottom w:val="single" w:color="000000" w:sz="4" w:space="0"/>
            </w:tcBorders>
            <w:shd w:val="clear" w:color="auto" w:fill="auto"/>
            <w:vAlign w:val="center"/>
          </w:tcPr>
          <w:p w14:paraId="66F7BC17">
            <w:pPr>
              <w:spacing w:line="300" w:lineRule="exact"/>
              <w:jc w:val="center"/>
              <w:rPr>
                <w:rFonts w:ascii="宋体" w:hAnsi="宋体" w:eastAsia="宋体" w:cs="宋体"/>
                <w:color w:val="000000"/>
                <w:sz w:val="24"/>
                <w:szCs w:val="24"/>
              </w:rPr>
            </w:pPr>
          </w:p>
        </w:tc>
        <w:tc>
          <w:tcPr>
            <w:tcW w:w="52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B96B65">
            <w:pPr>
              <w:widowControl/>
              <w:spacing w:line="30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产出指标</w:t>
            </w:r>
          </w:p>
        </w:tc>
        <w:tc>
          <w:tcPr>
            <w:tcW w:w="610" w:type="pct"/>
            <w:tcBorders>
              <w:top w:val="single" w:color="000000" w:sz="4" w:space="0"/>
              <w:left w:val="single" w:color="000000" w:sz="4" w:space="0"/>
              <w:bottom w:val="single" w:color="000000" w:sz="4" w:space="0"/>
              <w:right w:val="single" w:color="auto" w:sz="4" w:space="0"/>
            </w:tcBorders>
            <w:shd w:val="clear" w:color="auto" w:fill="auto"/>
            <w:vAlign w:val="center"/>
          </w:tcPr>
          <w:p w14:paraId="0A88F02D">
            <w:pPr>
              <w:widowControl/>
              <w:spacing w:line="30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数量指标</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233DB2">
            <w:pPr>
              <w:widowControl/>
              <w:jc w:val="center"/>
              <w:rPr>
                <w:rFonts w:hint="default" w:ascii="宋体" w:hAnsi="宋体" w:eastAsia="宋体"/>
                <w:color w:val="000000"/>
                <w:kern w:val="0"/>
                <w:sz w:val="24"/>
                <w:szCs w:val="24"/>
                <w:lang w:val="en-US" w:eastAsia="zh-CN"/>
              </w:rPr>
            </w:pPr>
            <w:r>
              <w:rPr>
                <w:rFonts w:hint="eastAsia" w:ascii="宋体" w:hAnsi="宋体" w:eastAsia="宋体"/>
                <w:color w:val="000000"/>
                <w:sz w:val="24"/>
                <w:szCs w:val="24"/>
                <w:lang w:val="en-US" w:eastAsia="zh-CN"/>
              </w:rPr>
              <w:t>安装电梯</w:t>
            </w:r>
          </w:p>
        </w:tc>
        <w:tc>
          <w:tcPr>
            <w:tcW w:w="550" w:type="pct"/>
            <w:tcBorders>
              <w:top w:val="single" w:color="000000" w:sz="4" w:space="0"/>
              <w:left w:val="nil"/>
              <w:bottom w:val="single" w:color="000000" w:sz="4" w:space="0"/>
              <w:right w:val="single" w:color="000000" w:sz="4" w:space="0"/>
            </w:tcBorders>
            <w:shd w:val="clear" w:color="auto" w:fill="auto"/>
            <w:vAlign w:val="center"/>
          </w:tcPr>
          <w:p w14:paraId="3A2F933E">
            <w:pPr>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w:t>
            </w:r>
          </w:p>
        </w:tc>
        <w:tc>
          <w:tcPr>
            <w:tcW w:w="474" w:type="pct"/>
            <w:tcBorders>
              <w:top w:val="single" w:color="000000" w:sz="4" w:space="0"/>
              <w:left w:val="nil"/>
              <w:bottom w:val="single" w:color="000000" w:sz="4" w:space="0"/>
              <w:right w:val="single" w:color="000000" w:sz="4" w:space="0"/>
            </w:tcBorders>
            <w:shd w:val="clear" w:color="auto" w:fill="auto"/>
            <w:vAlign w:val="center"/>
          </w:tcPr>
          <w:p w14:paraId="251AE0E7">
            <w:pPr>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4</w:t>
            </w:r>
          </w:p>
        </w:tc>
        <w:tc>
          <w:tcPr>
            <w:tcW w:w="519" w:type="pct"/>
            <w:tcBorders>
              <w:top w:val="single" w:color="000000" w:sz="4" w:space="0"/>
              <w:left w:val="nil"/>
              <w:bottom w:val="single" w:color="000000" w:sz="4" w:space="0"/>
              <w:right w:val="single" w:color="000000" w:sz="4" w:space="0"/>
            </w:tcBorders>
            <w:shd w:val="clear" w:color="auto" w:fill="auto"/>
            <w:vAlign w:val="center"/>
          </w:tcPr>
          <w:p w14:paraId="22AE3495">
            <w:pPr>
              <w:jc w:val="center"/>
              <w:rPr>
                <w:rFonts w:hint="eastAsia" w:ascii="宋体" w:hAnsi="宋体" w:eastAsia="宋体"/>
                <w:color w:val="000000"/>
                <w:sz w:val="24"/>
                <w:szCs w:val="24"/>
                <w:lang w:eastAsia="zh-CN"/>
              </w:rPr>
            </w:pPr>
            <w:r>
              <w:rPr>
                <w:rFonts w:hint="eastAsia" w:ascii="宋体" w:hAnsi="宋体" w:eastAsia="宋体"/>
                <w:color w:val="000000"/>
                <w:sz w:val="24"/>
                <w:szCs w:val="24"/>
                <w:lang w:val="en-US" w:eastAsia="zh-CN"/>
              </w:rPr>
              <w:t>部</w:t>
            </w:r>
          </w:p>
        </w:tc>
        <w:tc>
          <w:tcPr>
            <w:tcW w:w="4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E494F7">
            <w:pPr>
              <w:widowControl/>
              <w:jc w:val="center"/>
              <w:rPr>
                <w:rFonts w:eastAsia="宋体"/>
                <w:color w:val="000000"/>
                <w:kern w:val="0"/>
                <w:sz w:val="24"/>
                <w:szCs w:val="24"/>
              </w:rPr>
            </w:pPr>
            <w:r>
              <w:rPr>
                <w:rFonts w:hint="eastAsia"/>
                <w:color w:val="000000"/>
                <w:sz w:val="24"/>
                <w:szCs w:val="24"/>
              </w:rPr>
              <w:t>10</w:t>
            </w:r>
          </w:p>
        </w:tc>
        <w:tc>
          <w:tcPr>
            <w:tcW w:w="8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50467E">
            <w:pPr>
              <w:spacing w:line="300" w:lineRule="exact"/>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val="en-US" w:eastAsia="zh-CN"/>
              </w:rPr>
              <w:t>3</w:t>
            </w:r>
          </w:p>
        </w:tc>
      </w:tr>
      <w:tr w14:paraId="2FFDF07F">
        <w:tblPrEx>
          <w:tblCellMar>
            <w:top w:w="15" w:type="dxa"/>
            <w:left w:w="15" w:type="dxa"/>
            <w:bottom w:w="15" w:type="dxa"/>
            <w:right w:w="15" w:type="dxa"/>
          </w:tblCellMar>
        </w:tblPrEx>
        <w:trPr>
          <w:trHeight w:val="23" w:hRule="atLeast"/>
          <w:jc w:val="center"/>
        </w:trPr>
        <w:tc>
          <w:tcPr>
            <w:tcW w:w="318" w:type="pct"/>
            <w:vMerge w:val="continue"/>
            <w:tcBorders>
              <w:top w:val="single" w:color="000000" w:sz="4" w:space="0"/>
              <w:left w:val="single" w:color="000000" w:sz="4" w:space="0"/>
              <w:bottom w:val="single" w:color="000000" w:sz="4" w:space="0"/>
            </w:tcBorders>
            <w:shd w:val="clear" w:color="auto" w:fill="auto"/>
            <w:vAlign w:val="center"/>
          </w:tcPr>
          <w:p w14:paraId="283C0A9A">
            <w:pPr>
              <w:spacing w:line="300" w:lineRule="exact"/>
              <w:jc w:val="center"/>
              <w:rPr>
                <w:rFonts w:ascii="宋体" w:hAnsi="宋体" w:eastAsia="宋体" w:cs="宋体"/>
                <w:color w:val="000000"/>
                <w:sz w:val="24"/>
                <w:szCs w:val="24"/>
              </w:rPr>
            </w:pPr>
          </w:p>
        </w:tc>
        <w:tc>
          <w:tcPr>
            <w:tcW w:w="5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8B5D0E">
            <w:pPr>
              <w:spacing w:line="300" w:lineRule="exact"/>
              <w:jc w:val="center"/>
              <w:rPr>
                <w:rFonts w:ascii="宋体" w:hAnsi="宋体" w:eastAsia="宋体" w:cs="宋体"/>
                <w:color w:val="000000"/>
                <w:sz w:val="24"/>
                <w:szCs w:val="24"/>
              </w:rPr>
            </w:pPr>
          </w:p>
        </w:tc>
        <w:tc>
          <w:tcPr>
            <w:tcW w:w="610" w:type="pct"/>
            <w:tcBorders>
              <w:top w:val="single" w:color="000000" w:sz="4" w:space="0"/>
              <w:left w:val="single" w:color="000000" w:sz="4" w:space="0"/>
              <w:bottom w:val="single" w:color="000000" w:sz="4" w:space="0"/>
              <w:right w:val="single" w:color="auto" w:sz="4" w:space="0"/>
            </w:tcBorders>
            <w:shd w:val="clear" w:color="auto" w:fill="auto"/>
            <w:vAlign w:val="center"/>
          </w:tcPr>
          <w:p w14:paraId="4B991C42">
            <w:pPr>
              <w:widowControl/>
              <w:spacing w:line="30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质量指标</w:t>
            </w:r>
          </w:p>
        </w:tc>
        <w:tc>
          <w:tcPr>
            <w:tcW w:w="640" w:type="pct"/>
            <w:tcBorders>
              <w:top w:val="nil"/>
              <w:left w:val="single" w:color="000000" w:sz="4" w:space="0"/>
              <w:bottom w:val="single" w:color="000000" w:sz="4" w:space="0"/>
              <w:right w:val="single" w:color="000000" w:sz="4" w:space="0"/>
            </w:tcBorders>
            <w:shd w:val="clear" w:color="auto" w:fill="auto"/>
            <w:vAlign w:val="center"/>
          </w:tcPr>
          <w:p w14:paraId="1748B73A">
            <w:pPr>
              <w:jc w:val="center"/>
              <w:rPr>
                <w:rFonts w:ascii="宋体" w:hAnsi="宋体" w:eastAsia="宋体"/>
                <w:color w:val="000000"/>
                <w:sz w:val="24"/>
                <w:szCs w:val="24"/>
              </w:rPr>
            </w:pPr>
            <w:r>
              <w:rPr>
                <w:rFonts w:hint="eastAsia" w:ascii="宋体" w:hAnsi="宋体" w:eastAsia="宋体"/>
                <w:color w:val="000000"/>
                <w:sz w:val="24"/>
                <w:szCs w:val="24"/>
                <w:lang w:val="en-US" w:eastAsia="zh-CN"/>
              </w:rPr>
              <w:t>电梯合格</w:t>
            </w:r>
            <w:r>
              <w:rPr>
                <w:rFonts w:hint="eastAsia" w:ascii="宋体" w:hAnsi="宋体" w:eastAsia="宋体"/>
                <w:color w:val="000000"/>
                <w:sz w:val="24"/>
                <w:szCs w:val="24"/>
              </w:rPr>
              <w:t>率</w:t>
            </w:r>
          </w:p>
        </w:tc>
        <w:tc>
          <w:tcPr>
            <w:tcW w:w="550" w:type="pct"/>
            <w:tcBorders>
              <w:top w:val="nil"/>
              <w:left w:val="nil"/>
              <w:bottom w:val="single" w:color="000000" w:sz="4" w:space="0"/>
              <w:right w:val="single" w:color="000000" w:sz="4" w:space="0"/>
            </w:tcBorders>
            <w:shd w:val="clear" w:color="auto" w:fill="auto"/>
            <w:vAlign w:val="center"/>
          </w:tcPr>
          <w:p w14:paraId="5EEC7D5F">
            <w:pPr>
              <w:jc w:val="center"/>
              <w:rPr>
                <w:rFonts w:hint="eastAsia" w:ascii="宋体" w:hAnsi="宋体" w:eastAsia="宋体"/>
                <w:color w:val="000000"/>
                <w:sz w:val="24"/>
                <w:szCs w:val="24"/>
                <w:lang w:eastAsia="zh-CN"/>
              </w:rPr>
            </w:pPr>
            <w:r>
              <w:rPr>
                <w:rFonts w:hint="eastAsia" w:ascii="宋体" w:hAnsi="宋体" w:eastAsia="宋体"/>
                <w:color w:val="000000"/>
                <w:sz w:val="24"/>
                <w:szCs w:val="24"/>
                <w:lang w:val="en-US" w:eastAsia="zh-CN"/>
              </w:rPr>
              <w:t>=</w:t>
            </w:r>
          </w:p>
        </w:tc>
        <w:tc>
          <w:tcPr>
            <w:tcW w:w="474" w:type="pct"/>
            <w:tcBorders>
              <w:top w:val="nil"/>
              <w:left w:val="nil"/>
              <w:bottom w:val="single" w:color="000000" w:sz="4" w:space="0"/>
              <w:right w:val="single" w:color="000000" w:sz="4" w:space="0"/>
            </w:tcBorders>
            <w:shd w:val="clear" w:color="auto" w:fill="auto"/>
            <w:vAlign w:val="center"/>
          </w:tcPr>
          <w:p w14:paraId="2319E533">
            <w:pPr>
              <w:jc w:val="center"/>
              <w:rPr>
                <w:rFonts w:ascii="宋体" w:hAnsi="宋体" w:eastAsia="宋体"/>
                <w:color w:val="000000"/>
                <w:sz w:val="24"/>
                <w:szCs w:val="24"/>
              </w:rPr>
            </w:pPr>
            <w:r>
              <w:rPr>
                <w:rFonts w:hint="eastAsia" w:ascii="宋体" w:hAnsi="宋体" w:eastAsia="宋体"/>
                <w:color w:val="000000"/>
                <w:sz w:val="24"/>
                <w:szCs w:val="24"/>
              </w:rPr>
              <w:t>100</w:t>
            </w:r>
          </w:p>
        </w:tc>
        <w:tc>
          <w:tcPr>
            <w:tcW w:w="519" w:type="pct"/>
            <w:tcBorders>
              <w:top w:val="nil"/>
              <w:left w:val="nil"/>
              <w:bottom w:val="single" w:color="000000" w:sz="4" w:space="0"/>
              <w:right w:val="single" w:color="000000" w:sz="4" w:space="0"/>
            </w:tcBorders>
            <w:shd w:val="clear" w:color="auto" w:fill="auto"/>
            <w:vAlign w:val="center"/>
          </w:tcPr>
          <w:p w14:paraId="6969F250">
            <w:pPr>
              <w:jc w:val="center"/>
              <w:rPr>
                <w:rFonts w:ascii="宋体" w:hAnsi="宋体" w:eastAsia="宋体"/>
                <w:color w:val="000000"/>
                <w:sz w:val="24"/>
                <w:szCs w:val="24"/>
              </w:rPr>
            </w:pPr>
            <w:r>
              <w:rPr>
                <w:rFonts w:hint="eastAsia" w:ascii="宋体" w:hAnsi="宋体" w:eastAsia="宋体"/>
                <w:color w:val="000000"/>
                <w:sz w:val="24"/>
                <w:szCs w:val="24"/>
              </w:rPr>
              <w:t>%</w:t>
            </w:r>
          </w:p>
        </w:tc>
        <w:tc>
          <w:tcPr>
            <w:tcW w:w="457" w:type="pct"/>
            <w:tcBorders>
              <w:top w:val="nil"/>
              <w:left w:val="single" w:color="000000" w:sz="4" w:space="0"/>
              <w:bottom w:val="single" w:color="000000" w:sz="4" w:space="0"/>
              <w:right w:val="single" w:color="000000" w:sz="4" w:space="0"/>
            </w:tcBorders>
            <w:shd w:val="clear" w:color="auto" w:fill="auto"/>
            <w:vAlign w:val="center"/>
          </w:tcPr>
          <w:p w14:paraId="0A0F641E">
            <w:pPr>
              <w:jc w:val="center"/>
              <w:rPr>
                <w:rFonts w:hint="default" w:eastAsia="仿宋_GB2312"/>
                <w:color w:val="000000"/>
                <w:sz w:val="24"/>
                <w:szCs w:val="24"/>
                <w:lang w:val="en-US" w:eastAsia="zh-CN"/>
              </w:rPr>
            </w:pPr>
            <w:r>
              <w:rPr>
                <w:rFonts w:hint="eastAsia"/>
                <w:color w:val="000000"/>
                <w:sz w:val="24"/>
                <w:szCs w:val="24"/>
                <w:lang w:val="en-US" w:eastAsia="zh-CN"/>
              </w:rPr>
              <w:t>20</w:t>
            </w:r>
          </w:p>
        </w:tc>
        <w:tc>
          <w:tcPr>
            <w:tcW w:w="8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36BD1E">
            <w:pPr>
              <w:spacing w:line="300" w:lineRule="exact"/>
              <w:jc w:val="center"/>
              <w:rPr>
                <w:rFonts w:ascii="宋体" w:hAnsi="宋体" w:eastAsia="宋体" w:cs="宋体"/>
                <w:color w:val="000000"/>
                <w:sz w:val="24"/>
                <w:szCs w:val="24"/>
              </w:rPr>
            </w:pPr>
            <w:r>
              <w:rPr>
                <w:rFonts w:hint="eastAsia" w:ascii="宋体" w:hAnsi="宋体" w:eastAsia="宋体" w:cs="宋体"/>
                <w:color w:val="000000"/>
                <w:sz w:val="24"/>
                <w:szCs w:val="24"/>
              </w:rPr>
              <w:t>100</w:t>
            </w:r>
          </w:p>
        </w:tc>
      </w:tr>
      <w:tr w14:paraId="4C38A52C">
        <w:tblPrEx>
          <w:tblCellMar>
            <w:top w:w="15" w:type="dxa"/>
            <w:left w:w="15" w:type="dxa"/>
            <w:bottom w:w="15" w:type="dxa"/>
            <w:right w:w="15" w:type="dxa"/>
          </w:tblCellMar>
        </w:tblPrEx>
        <w:trPr>
          <w:trHeight w:val="23" w:hRule="atLeast"/>
          <w:jc w:val="center"/>
        </w:trPr>
        <w:tc>
          <w:tcPr>
            <w:tcW w:w="318" w:type="pct"/>
            <w:vMerge w:val="continue"/>
            <w:tcBorders>
              <w:top w:val="single" w:color="000000" w:sz="4" w:space="0"/>
              <w:left w:val="single" w:color="000000" w:sz="4" w:space="0"/>
              <w:bottom w:val="single" w:color="000000" w:sz="4" w:space="0"/>
            </w:tcBorders>
            <w:shd w:val="clear" w:color="auto" w:fill="auto"/>
            <w:vAlign w:val="center"/>
          </w:tcPr>
          <w:p w14:paraId="665B24BB">
            <w:pPr>
              <w:spacing w:line="300" w:lineRule="exact"/>
              <w:jc w:val="center"/>
              <w:rPr>
                <w:rFonts w:ascii="宋体" w:hAnsi="宋体" w:eastAsia="宋体" w:cs="宋体"/>
                <w:color w:val="000000"/>
                <w:sz w:val="24"/>
                <w:szCs w:val="24"/>
              </w:rPr>
            </w:pPr>
          </w:p>
        </w:tc>
        <w:tc>
          <w:tcPr>
            <w:tcW w:w="5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02D6C0">
            <w:pPr>
              <w:spacing w:line="300" w:lineRule="exact"/>
              <w:jc w:val="center"/>
              <w:rPr>
                <w:rFonts w:ascii="宋体" w:hAnsi="宋体" w:eastAsia="宋体" w:cs="宋体"/>
                <w:color w:val="000000"/>
                <w:sz w:val="24"/>
                <w:szCs w:val="24"/>
              </w:rPr>
            </w:pPr>
          </w:p>
        </w:tc>
        <w:tc>
          <w:tcPr>
            <w:tcW w:w="610" w:type="pct"/>
            <w:tcBorders>
              <w:top w:val="single" w:color="000000" w:sz="4" w:space="0"/>
              <w:left w:val="single" w:color="000000" w:sz="4" w:space="0"/>
              <w:bottom w:val="single" w:color="000000" w:sz="4" w:space="0"/>
              <w:right w:val="single" w:color="auto" w:sz="4" w:space="0"/>
            </w:tcBorders>
            <w:shd w:val="clear" w:color="auto" w:fill="auto"/>
            <w:vAlign w:val="center"/>
          </w:tcPr>
          <w:p w14:paraId="122EE410">
            <w:pPr>
              <w:widowControl/>
              <w:spacing w:line="30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时效指标</w:t>
            </w:r>
          </w:p>
        </w:tc>
        <w:tc>
          <w:tcPr>
            <w:tcW w:w="640" w:type="pct"/>
            <w:tcBorders>
              <w:top w:val="nil"/>
              <w:left w:val="single" w:color="000000" w:sz="4" w:space="0"/>
              <w:bottom w:val="single" w:color="000000" w:sz="4" w:space="0"/>
              <w:right w:val="single" w:color="000000" w:sz="4" w:space="0"/>
            </w:tcBorders>
            <w:shd w:val="clear" w:color="auto" w:fill="auto"/>
            <w:vAlign w:val="center"/>
          </w:tcPr>
          <w:p w14:paraId="7BE6BC16">
            <w:pPr>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竣工时限</w:t>
            </w:r>
          </w:p>
        </w:tc>
        <w:tc>
          <w:tcPr>
            <w:tcW w:w="550" w:type="pct"/>
            <w:tcBorders>
              <w:top w:val="nil"/>
              <w:left w:val="nil"/>
              <w:bottom w:val="single" w:color="000000" w:sz="4" w:space="0"/>
              <w:right w:val="single" w:color="000000" w:sz="4" w:space="0"/>
            </w:tcBorders>
            <w:shd w:val="clear" w:color="auto" w:fill="auto"/>
            <w:vAlign w:val="center"/>
          </w:tcPr>
          <w:p w14:paraId="09087888">
            <w:pPr>
              <w:jc w:val="center"/>
              <w:rPr>
                <w:rFonts w:hint="eastAsia" w:ascii="宋体" w:hAnsi="宋体" w:eastAsia="宋体"/>
                <w:color w:val="000000"/>
                <w:sz w:val="24"/>
                <w:szCs w:val="24"/>
                <w:lang w:eastAsia="zh-CN"/>
              </w:rPr>
            </w:pPr>
            <w:r>
              <w:rPr>
                <w:rFonts w:hint="eastAsia" w:ascii="宋体" w:hAnsi="宋体" w:eastAsia="宋体"/>
                <w:color w:val="000000"/>
                <w:sz w:val="24"/>
                <w:szCs w:val="24"/>
                <w:lang w:val="en-US" w:eastAsia="zh-CN"/>
              </w:rPr>
              <w:t>定性</w:t>
            </w:r>
          </w:p>
        </w:tc>
        <w:tc>
          <w:tcPr>
            <w:tcW w:w="474" w:type="pct"/>
            <w:tcBorders>
              <w:top w:val="nil"/>
              <w:left w:val="nil"/>
              <w:bottom w:val="single" w:color="000000" w:sz="4" w:space="0"/>
              <w:right w:val="single" w:color="000000" w:sz="4" w:space="0"/>
            </w:tcBorders>
            <w:shd w:val="clear" w:color="auto" w:fill="auto"/>
            <w:vAlign w:val="center"/>
          </w:tcPr>
          <w:p w14:paraId="24722911">
            <w:pPr>
              <w:jc w:val="center"/>
              <w:rPr>
                <w:rFonts w:hint="eastAsia" w:ascii="宋体" w:hAnsi="宋体" w:eastAsia="宋体"/>
                <w:color w:val="000000"/>
                <w:sz w:val="24"/>
                <w:szCs w:val="24"/>
                <w:lang w:val="en-US" w:eastAsia="zh-CN"/>
              </w:rPr>
            </w:pPr>
          </w:p>
        </w:tc>
        <w:tc>
          <w:tcPr>
            <w:tcW w:w="519" w:type="pct"/>
            <w:tcBorders>
              <w:top w:val="nil"/>
              <w:left w:val="nil"/>
              <w:bottom w:val="single" w:color="000000" w:sz="4" w:space="0"/>
              <w:right w:val="single" w:color="000000" w:sz="4" w:space="0"/>
            </w:tcBorders>
            <w:shd w:val="clear" w:color="auto" w:fill="auto"/>
            <w:vAlign w:val="center"/>
          </w:tcPr>
          <w:p w14:paraId="3BB2B255">
            <w:pPr>
              <w:jc w:val="center"/>
              <w:rPr>
                <w:rFonts w:ascii="宋体" w:hAnsi="宋体" w:eastAsia="宋体"/>
                <w:color w:val="000000"/>
                <w:sz w:val="24"/>
                <w:szCs w:val="24"/>
              </w:rPr>
            </w:pPr>
          </w:p>
        </w:tc>
        <w:tc>
          <w:tcPr>
            <w:tcW w:w="457" w:type="pct"/>
            <w:tcBorders>
              <w:top w:val="nil"/>
              <w:left w:val="single" w:color="000000" w:sz="4" w:space="0"/>
              <w:bottom w:val="single" w:color="000000" w:sz="4" w:space="0"/>
              <w:right w:val="single" w:color="000000" w:sz="4" w:space="0"/>
            </w:tcBorders>
            <w:shd w:val="clear" w:color="auto" w:fill="auto"/>
            <w:vAlign w:val="center"/>
          </w:tcPr>
          <w:p w14:paraId="2CA1ACB6">
            <w:pPr>
              <w:jc w:val="center"/>
              <w:rPr>
                <w:rFonts w:hint="default" w:eastAsia="仿宋_GB2312"/>
                <w:color w:val="000000"/>
                <w:sz w:val="24"/>
                <w:szCs w:val="24"/>
                <w:lang w:val="en-US" w:eastAsia="zh-CN"/>
              </w:rPr>
            </w:pPr>
            <w:r>
              <w:rPr>
                <w:rFonts w:hint="eastAsia"/>
                <w:color w:val="000000"/>
                <w:sz w:val="24"/>
                <w:szCs w:val="24"/>
                <w:lang w:val="en-US" w:eastAsia="zh-CN"/>
              </w:rPr>
              <w:t>20</w:t>
            </w:r>
          </w:p>
        </w:tc>
        <w:tc>
          <w:tcPr>
            <w:tcW w:w="8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6B5FFE">
            <w:pPr>
              <w:spacing w:line="300" w:lineRule="exact"/>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val="en-US" w:eastAsia="zh-CN"/>
              </w:rPr>
              <w:t>合同期内</w:t>
            </w:r>
          </w:p>
        </w:tc>
      </w:tr>
      <w:tr w14:paraId="58F83361">
        <w:tblPrEx>
          <w:tblCellMar>
            <w:top w:w="15" w:type="dxa"/>
            <w:left w:w="15" w:type="dxa"/>
            <w:bottom w:w="15" w:type="dxa"/>
            <w:right w:w="15" w:type="dxa"/>
          </w:tblCellMar>
        </w:tblPrEx>
        <w:trPr>
          <w:trHeight w:val="23" w:hRule="atLeast"/>
          <w:jc w:val="center"/>
        </w:trPr>
        <w:tc>
          <w:tcPr>
            <w:tcW w:w="318" w:type="pct"/>
            <w:vMerge w:val="continue"/>
            <w:tcBorders>
              <w:top w:val="single" w:color="000000" w:sz="4" w:space="0"/>
              <w:left w:val="single" w:color="000000" w:sz="4" w:space="0"/>
              <w:bottom w:val="single" w:color="000000" w:sz="4" w:space="0"/>
            </w:tcBorders>
            <w:shd w:val="clear" w:color="auto" w:fill="auto"/>
            <w:vAlign w:val="center"/>
          </w:tcPr>
          <w:p w14:paraId="798278B5">
            <w:pPr>
              <w:spacing w:line="300" w:lineRule="exact"/>
              <w:jc w:val="center"/>
              <w:rPr>
                <w:rFonts w:ascii="宋体" w:hAnsi="宋体" w:eastAsia="宋体" w:cs="宋体"/>
                <w:color w:val="000000"/>
                <w:sz w:val="24"/>
                <w:szCs w:val="24"/>
              </w:rPr>
            </w:pPr>
          </w:p>
        </w:tc>
        <w:tc>
          <w:tcPr>
            <w:tcW w:w="5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DE2B0F">
            <w:pPr>
              <w:widowControl/>
              <w:spacing w:line="30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效益指标</w:t>
            </w:r>
          </w:p>
        </w:tc>
        <w:tc>
          <w:tcPr>
            <w:tcW w:w="610" w:type="pct"/>
            <w:tcBorders>
              <w:top w:val="single" w:color="000000" w:sz="4" w:space="0"/>
              <w:left w:val="single" w:color="000000" w:sz="4" w:space="0"/>
              <w:bottom w:val="single" w:color="000000" w:sz="4" w:space="0"/>
              <w:right w:val="single" w:color="auto" w:sz="4" w:space="0"/>
            </w:tcBorders>
            <w:shd w:val="clear" w:color="auto" w:fill="auto"/>
            <w:vAlign w:val="center"/>
          </w:tcPr>
          <w:p w14:paraId="58F05288">
            <w:pPr>
              <w:widowControl/>
              <w:spacing w:line="30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社会</w:t>
            </w:r>
            <w:r>
              <w:rPr>
                <w:rFonts w:ascii="宋体" w:hAnsi="宋体" w:eastAsia="宋体" w:cs="宋体"/>
                <w:color w:val="000000"/>
                <w:kern w:val="0"/>
                <w:sz w:val="24"/>
                <w:szCs w:val="24"/>
                <w:lang w:bidi="ar"/>
              </w:rPr>
              <w:t>效益</w:t>
            </w:r>
          </w:p>
          <w:p w14:paraId="3F86DB01">
            <w:pPr>
              <w:widowControl/>
              <w:spacing w:line="30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指标</w:t>
            </w:r>
          </w:p>
        </w:tc>
        <w:tc>
          <w:tcPr>
            <w:tcW w:w="640" w:type="pct"/>
            <w:tcBorders>
              <w:top w:val="nil"/>
              <w:left w:val="single" w:color="000000" w:sz="4" w:space="0"/>
              <w:bottom w:val="single" w:color="000000" w:sz="4" w:space="0"/>
              <w:right w:val="single" w:color="000000" w:sz="4" w:space="0"/>
            </w:tcBorders>
            <w:shd w:val="clear" w:color="auto" w:fill="auto"/>
            <w:vAlign w:val="center"/>
          </w:tcPr>
          <w:p w14:paraId="6CE46BE0">
            <w:pPr>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出行环境</w:t>
            </w:r>
          </w:p>
        </w:tc>
        <w:tc>
          <w:tcPr>
            <w:tcW w:w="550" w:type="pct"/>
            <w:tcBorders>
              <w:top w:val="nil"/>
              <w:left w:val="nil"/>
              <w:bottom w:val="single" w:color="000000" w:sz="4" w:space="0"/>
              <w:right w:val="single" w:color="000000" w:sz="4" w:space="0"/>
            </w:tcBorders>
            <w:shd w:val="clear" w:color="auto" w:fill="auto"/>
            <w:vAlign w:val="center"/>
          </w:tcPr>
          <w:p w14:paraId="33EADD27">
            <w:pPr>
              <w:jc w:val="center"/>
              <w:rPr>
                <w:rFonts w:hint="eastAsia" w:ascii="宋体" w:hAnsi="宋体" w:eastAsia="宋体"/>
                <w:color w:val="000000"/>
                <w:sz w:val="24"/>
                <w:szCs w:val="24"/>
                <w:lang w:eastAsia="zh-CN"/>
              </w:rPr>
            </w:pPr>
            <w:r>
              <w:rPr>
                <w:rFonts w:hint="eastAsia" w:ascii="宋体" w:hAnsi="宋体" w:eastAsia="宋体"/>
                <w:color w:val="000000"/>
                <w:sz w:val="24"/>
                <w:szCs w:val="24"/>
                <w:lang w:val="en-US" w:eastAsia="zh-CN"/>
              </w:rPr>
              <w:t>定性</w:t>
            </w:r>
          </w:p>
        </w:tc>
        <w:tc>
          <w:tcPr>
            <w:tcW w:w="474" w:type="pct"/>
            <w:tcBorders>
              <w:top w:val="nil"/>
              <w:left w:val="nil"/>
              <w:bottom w:val="single" w:color="000000" w:sz="4" w:space="0"/>
              <w:right w:val="single" w:color="000000" w:sz="4" w:space="0"/>
            </w:tcBorders>
            <w:shd w:val="clear" w:color="auto" w:fill="auto"/>
            <w:vAlign w:val="center"/>
          </w:tcPr>
          <w:p w14:paraId="205C52A4">
            <w:pPr>
              <w:jc w:val="center"/>
              <w:rPr>
                <w:rFonts w:hint="default" w:ascii="宋体" w:hAnsi="宋体" w:eastAsia="宋体"/>
                <w:color w:val="000000"/>
                <w:sz w:val="24"/>
                <w:szCs w:val="24"/>
                <w:lang w:val="en-US" w:eastAsia="zh-CN"/>
              </w:rPr>
            </w:pPr>
          </w:p>
        </w:tc>
        <w:tc>
          <w:tcPr>
            <w:tcW w:w="519" w:type="pct"/>
            <w:tcBorders>
              <w:top w:val="nil"/>
              <w:left w:val="nil"/>
              <w:bottom w:val="single" w:color="000000" w:sz="4" w:space="0"/>
              <w:right w:val="single" w:color="000000" w:sz="4" w:space="0"/>
            </w:tcBorders>
            <w:shd w:val="clear" w:color="auto" w:fill="auto"/>
            <w:vAlign w:val="center"/>
          </w:tcPr>
          <w:p w14:paraId="3D40ED0E">
            <w:pPr>
              <w:jc w:val="center"/>
              <w:rPr>
                <w:rFonts w:hint="eastAsia" w:ascii="宋体" w:hAnsi="宋体" w:eastAsia="宋体"/>
                <w:color w:val="000000"/>
                <w:sz w:val="24"/>
                <w:szCs w:val="24"/>
                <w:lang w:eastAsia="zh-CN"/>
              </w:rPr>
            </w:pPr>
          </w:p>
        </w:tc>
        <w:tc>
          <w:tcPr>
            <w:tcW w:w="457" w:type="pct"/>
            <w:tcBorders>
              <w:top w:val="nil"/>
              <w:left w:val="single" w:color="000000" w:sz="4" w:space="0"/>
              <w:bottom w:val="single" w:color="000000" w:sz="4" w:space="0"/>
              <w:right w:val="single" w:color="000000" w:sz="4" w:space="0"/>
            </w:tcBorders>
            <w:shd w:val="clear" w:color="auto" w:fill="auto"/>
            <w:vAlign w:val="center"/>
          </w:tcPr>
          <w:p w14:paraId="5477DE5E">
            <w:pPr>
              <w:jc w:val="center"/>
              <w:rPr>
                <w:rFonts w:hint="default" w:eastAsia="仿宋_GB2312"/>
                <w:color w:val="000000"/>
                <w:sz w:val="24"/>
                <w:szCs w:val="24"/>
                <w:lang w:val="en-US" w:eastAsia="zh-CN"/>
              </w:rPr>
            </w:pPr>
            <w:r>
              <w:rPr>
                <w:rFonts w:hint="eastAsia"/>
                <w:color w:val="000000"/>
                <w:sz w:val="24"/>
                <w:szCs w:val="24"/>
                <w:lang w:val="en-US" w:eastAsia="zh-CN"/>
              </w:rPr>
              <w:t>20</w:t>
            </w:r>
          </w:p>
        </w:tc>
        <w:tc>
          <w:tcPr>
            <w:tcW w:w="8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F40F98">
            <w:pPr>
              <w:spacing w:line="300" w:lineRule="exact"/>
              <w:jc w:val="cente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持续改善</w:t>
            </w:r>
          </w:p>
        </w:tc>
      </w:tr>
      <w:tr w14:paraId="254E9AE5">
        <w:tblPrEx>
          <w:tblCellMar>
            <w:top w:w="15" w:type="dxa"/>
            <w:left w:w="15" w:type="dxa"/>
            <w:bottom w:w="15" w:type="dxa"/>
            <w:right w:w="15" w:type="dxa"/>
          </w:tblCellMar>
        </w:tblPrEx>
        <w:trPr>
          <w:trHeight w:val="23" w:hRule="atLeast"/>
          <w:jc w:val="center"/>
        </w:trPr>
        <w:tc>
          <w:tcPr>
            <w:tcW w:w="318" w:type="pct"/>
            <w:vMerge w:val="continue"/>
            <w:tcBorders>
              <w:top w:val="single" w:color="000000" w:sz="4" w:space="0"/>
              <w:left w:val="single" w:color="000000" w:sz="4" w:space="0"/>
              <w:bottom w:val="single" w:color="000000" w:sz="4" w:space="0"/>
            </w:tcBorders>
            <w:shd w:val="clear" w:color="auto" w:fill="auto"/>
            <w:vAlign w:val="center"/>
          </w:tcPr>
          <w:p w14:paraId="5E77D58D">
            <w:pPr>
              <w:spacing w:line="300" w:lineRule="exact"/>
              <w:jc w:val="center"/>
              <w:rPr>
                <w:rFonts w:ascii="宋体" w:hAnsi="宋体" w:eastAsia="宋体" w:cs="宋体"/>
                <w:color w:val="000000"/>
                <w:sz w:val="24"/>
                <w:szCs w:val="24"/>
              </w:rPr>
            </w:pPr>
          </w:p>
        </w:tc>
        <w:tc>
          <w:tcPr>
            <w:tcW w:w="884" w:type="dxa"/>
            <w:tcBorders>
              <w:top w:val="single" w:color="000000" w:sz="4" w:space="0"/>
              <w:left w:val="single" w:color="000000" w:sz="4" w:space="0"/>
              <w:right w:val="single" w:color="000000" w:sz="4" w:space="0"/>
            </w:tcBorders>
            <w:shd w:val="clear" w:color="auto" w:fill="auto"/>
            <w:vAlign w:val="center"/>
          </w:tcPr>
          <w:p w14:paraId="4FBAD447">
            <w:pPr>
              <w:widowControl/>
              <w:spacing w:line="30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效益指标</w:t>
            </w:r>
          </w:p>
        </w:tc>
        <w:tc>
          <w:tcPr>
            <w:tcW w:w="1018" w:type="dxa"/>
            <w:tcBorders>
              <w:top w:val="single" w:color="000000" w:sz="4" w:space="0"/>
              <w:left w:val="single" w:color="000000" w:sz="4" w:space="0"/>
              <w:right w:val="single" w:color="auto" w:sz="4" w:space="0"/>
            </w:tcBorders>
            <w:shd w:val="clear" w:color="auto" w:fill="auto"/>
            <w:vAlign w:val="center"/>
          </w:tcPr>
          <w:p w14:paraId="658CE7FD">
            <w:pPr>
              <w:widowControl/>
              <w:spacing w:line="30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社会</w:t>
            </w:r>
            <w:r>
              <w:rPr>
                <w:rFonts w:ascii="宋体" w:hAnsi="宋体" w:eastAsia="宋体" w:cs="宋体"/>
                <w:color w:val="000000"/>
                <w:kern w:val="0"/>
                <w:sz w:val="24"/>
                <w:szCs w:val="24"/>
                <w:lang w:bidi="ar"/>
              </w:rPr>
              <w:t>效益</w:t>
            </w:r>
          </w:p>
          <w:p w14:paraId="414FA554">
            <w:pPr>
              <w:widowControl/>
              <w:spacing w:line="30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指标</w:t>
            </w:r>
          </w:p>
        </w:tc>
        <w:tc>
          <w:tcPr>
            <w:tcW w:w="640" w:type="pct"/>
            <w:tcBorders>
              <w:top w:val="nil"/>
              <w:left w:val="single" w:color="000000" w:sz="4" w:space="0"/>
              <w:bottom w:val="single" w:color="000000" w:sz="4" w:space="0"/>
              <w:right w:val="single" w:color="000000" w:sz="4" w:space="0"/>
            </w:tcBorders>
            <w:shd w:val="clear" w:color="auto" w:fill="auto"/>
            <w:vAlign w:val="center"/>
          </w:tcPr>
          <w:p w14:paraId="7C7F41B9">
            <w:pPr>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方便群众办事</w:t>
            </w:r>
          </w:p>
        </w:tc>
        <w:tc>
          <w:tcPr>
            <w:tcW w:w="550" w:type="pct"/>
            <w:tcBorders>
              <w:top w:val="nil"/>
              <w:left w:val="nil"/>
              <w:bottom w:val="single" w:color="000000" w:sz="4" w:space="0"/>
              <w:right w:val="single" w:color="000000" w:sz="4" w:space="0"/>
            </w:tcBorders>
            <w:shd w:val="clear" w:color="auto" w:fill="auto"/>
            <w:vAlign w:val="center"/>
          </w:tcPr>
          <w:p w14:paraId="12662CA4">
            <w:pPr>
              <w:jc w:val="center"/>
              <w:rPr>
                <w:rFonts w:hint="eastAsia" w:ascii="宋体" w:hAnsi="宋体" w:eastAsia="宋体" w:cs="宋体"/>
                <w:color w:val="000000"/>
                <w:sz w:val="24"/>
                <w:szCs w:val="24"/>
                <w:lang w:eastAsia="zh-CN"/>
              </w:rPr>
            </w:pPr>
            <w:r>
              <w:rPr>
                <w:rFonts w:hint="eastAsia" w:ascii="宋体" w:hAnsi="宋体" w:eastAsia="宋体"/>
                <w:color w:val="000000"/>
                <w:sz w:val="24"/>
                <w:szCs w:val="24"/>
                <w:lang w:val="en-US" w:eastAsia="zh-CN"/>
              </w:rPr>
              <w:t>定性</w:t>
            </w:r>
          </w:p>
        </w:tc>
        <w:tc>
          <w:tcPr>
            <w:tcW w:w="474" w:type="pct"/>
            <w:tcBorders>
              <w:top w:val="nil"/>
              <w:left w:val="nil"/>
              <w:bottom w:val="single" w:color="000000" w:sz="4" w:space="0"/>
              <w:right w:val="single" w:color="000000" w:sz="4" w:space="0"/>
            </w:tcBorders>
            <w:shd w:val="clear" w:color="auto" w:fill="auto"/>
            <w:vAlign w:val="center"/>
          </w:tcPr>
          <w:p w14:paraId="3776F665">
            <w:pPr>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 xml:space="preserve"> </w:t>
            </w:r>
          </w:p>
        </w:tc>
        <w:tc>
          <w:tcPr>
            <w:tcW w:w="519" w:type="pct"/>
            <w:tcBorders>
              <w:top w:val="nil"/>
              <w:left w:val="nil"/>
              <w:bottom w:val="single" w:color="000000" w:sz="4" w:space="0"/>
              <w:right w:val="single" w:color="000000" w:sz="4" w:space="0"/>
            </w:tcBorders>
            <w:shd w:val="clear" w:color="auto" w:fill="auto"/>
            <w:vAlign w:val="center"/>
          </w:tcPr>
          <w:p w14:paraId="1482A77F">
            <w:pPr>
              <w:jc w:val="center"/>
              <w:rPr>
                <w:rFonts w:hint="eastAsia" w:ascii="宋体" w:hAnsi="宋体" w:eastAsia="宋体"/>
                <w:color w:val="000000"/>
                <w:sz w:val="24"/>
                <w:szCs w:val="24"/>
                <w:lang w:eastAsia="zh-CN"/>
              </w:rPr>
            </w:pPr>
            <w:r>
              <w:rPr>
                <w:rFonts w:hint="eastAsia" w:ascii="宋体" w:hAnsi="宋体" w:eastAsia="宋体"/>
                <w:color w:val="000000"/>
                <w:sz w:val="24"/>
                <w:szCs w:val="24"/>
                <w:lang w:val="en-US" w:eastAsia="zh-CN"/>
              </w:rPr>
              <w:t xml:space="preserve"> </w:t>
            </w:r>
          </w:p>
        </w:tc>
        <w:tc>
          <w:tcPr>
            <w:tcW w:w="457" w:type="pct"/>
            <w:tcBorders>
              <w:top w:val="nil"/>
              <w:left w:val="single" w:color="000000" w:sz="4" w:space="0"/>
              <w:bottom w:val="single" w:color="000000" w:sz="4" w:space="0"/>
              <w:right w:val="single" w:color="000000" w:sz="4" w:space="0"/>
            </w:tcBorders>
            <w:shd w:val="clear" w:color="auto" w:fill="auto"/>
            <w:vAlign w:val="center"/>
          </w:tcPr>
          <w:p w14:paraId="7A27FB6D">
            <w:pPr>
              <w:spacing w:line="300" w:lineRule="exact"/>
              <w:ind w:firstLine="240" w:firstLineChars="100"/>
              <w:jc w:val="both"/>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20</w:t>
            </w:r>
          </w:p>
        </w:tc>
        <w:tc>
          <w:tcPr>
            <w:tcW w:w="8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E8B2E9">
            <w:pPr>
              <w:spacing w:line="300" w:lineRule="exact"/>
              <w:jc w:val="cente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出行方便</w:t>
            </w:r>
          </w:p>
        </w:tc>
      </w:tr>
      <w:tr w14:paraId="114AD624">
        <w:tblPrEx>
          <w:tblCellMar>
            <w:top w:w="15" w:type="dxa"/>
            <w:left w:w="15" w:type="dxa"/>
            <w:bottom w:w="15" w:type="dxa"/>
            <w:right w:w="15" w:type="dxa"/>
          </w:tblCellMar>
        </w:tblPrEx>
        <w:trPr>
          <w:trHeight w:val="23" w:hRule="atLeast"/>
          <w:jc w:val="center"/>
        </w:trPr>
        <w:tc>
          <w:tcPr>
            <w:tcW w:w="318" w:type="pct"/>
            <w:vMerge w:val="continue"/>
            <w:tcBorders>
              <w:top w:val="single" w:color="000000" w:sz="4" w:space="0"/>
              <w:left w:val="single" w:color="000000" w:sz="4" w:space="0"/>
              <w:bottom w:val="single" w:color="000000" w:sz="4" w:space="0"/>
            </w:tcBorders>
            <w:shd w:val="clear" w:color="auto" w:fill="auto"/>
            <w:vAlign w:val="center"/>
          </w:tcPr>
          <w:p w14:paraId="431D40AB">
            <w:pPr>
              <w:spacing w:line="300" w:lineRule="exact"/>
              <w:jc w:val="center"/>
              <w:rPr>
                <w:rFonts w:ascii="宋体" w:hAnsi="宋体" w:eastAsia="宋体" w:cs="宋体"/>
                <w:color w:val="000000"/>
                <w:sz w:val="24"/>
                <w:szCs w:val="24"/>
              </w:rPr>
            </w:pP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3558A">
            <w:pPr>
              <w:widowControl/>
              <w:spacing w:line="300" w:lineRule="exact"/>
              <w:jc w:val="center"/>
              <w:textAlignment w:val="center"/>
              <w:rPr>
                <w:rFonts w:ascii="宋体" w:hAnsi="宋体" w:eastAsia="宋体" w:cs="宋体"/>
                <w:color w:val="000000"/>
                <w:kern w:val="0"/>
                <w:sz w:val="24"/>
                <w:szCs w:val="24"/>
                <w:lang w:bidi="ar"/>
              </w:rPr>
            </w:pPr>
            <w:r>
              <w:rPr>
                <w:rFonts w:ascii="宋体" w:hAnsi="宋体" w:eastAsia="宋体" w:cs="宋体"/>
                <w:color w:val="000000"/>
                <w:kern w:val="0"/>
                <w:sz w:val="24"/>
                <w:szCs w:val="24"/>
                <w:lang w:bidi="ar"/>
              </w:rPr>
              <w:t>满意度</w:t>
            </w:r>
          </w:p>
          <w:p w14:paraId="1F0A655E">
            <w:pPr>
              <w:widowControl/>
              <w:spacing w:line="30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指标</w:t>
            </w:r>
          </w:p>
        </w:tc>
        <w:tc>
          <w:tcPr>
            <w:tcW w:w="1018" w:type="dxa"/>
            <w:tcBorders>
              <w:top w:val="single" w:color="000000" w:sz="4" w:space="0"/>
              <w:left w:val="single" w:color="000000" w:sz="4" w:space="0"/>
              <w:bottom w:val="single" w:color="000000" w:sz="4" w:space="0"/>
              <w:right w:val="single" w:color="auto" w:sz="4" w:space="0"/>
            </w:tcBorders>
            <w:shd w:val="clear" w:color="auto" w:fill="auto"/>
            <w:vAlign w:val="center"/>
          </w:tcPr>
          <w:p w14:paraId="53A0F9D0">
            <w:pPr>
              <w:widowControl/>
              <w:spacing w:line="300" w:lineRule="exact"/>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val="en-US" w:eastAsia="zh-CN" w:bidi="ar"/>
              </w:rPr>
              <w:t>使用者</w:t>
            </w:r>
            <w:r>
              <w:rPr>
                <w:rFonts w:ascii="宋体" w:hAnsi="宋体" w:eastAsia="宋体" w:cs="宋体"/>
                <w:color w:val="000000"/>
                <w:kern w:val="0"/>
                <w:sz w:val="24"/>
                <w:szCs w:val="24"/>
                <w:lang w:bidi="ar"/>
              </w:rPr>
              <w:t>满意度指标</w:t>
            </w:r>
          </w:p>
        </w:tc>
        <w:tc>
          <w:tcPr>
            <w:tcW w:w="1071" w:type="dxa"/>
            <w:tcBorders>
              <w:top w:val="nil"/>
              <w:left w:val="single" w:color="000000" w:sz="4" w:space="0"/>
              <w:bottom w:val="single" w:color="000000" w:sz="4" w:space="0"/>
              <w:right w:val="single" w:color="000000" w:sz="4" w:space="0"/>
            </w:tcBorders>
            <w:shd w:val="clear" w:color="auto" w:fill="auto"/>
            <w:vAlign w:val="center"/>
          </w:tcPr>
          <w:p w14:paraId="11C9D4D7">
            <w:pPr>
              <w:jc w:val="center"/>
              <w:rPr>
                <w:rFonts w:ascii="宋体" w:hAnsi="宋体" w:eastAsia="宋体"/>
                <w:color w:val="000000"/>
                <w:sz w:val="24"/>
                <w:szCs w:val="24"/>
              </w:rPr>
            </w:pPr>
            <w:r>
              <w:rPr>
                <w:rFonts w:hint="eastAsia" w:ascii="宋体" w:hAnsi="宋体" w:eastAsia="宋体"/>
                <w:color w:val="000000"/>
                <w:sz w:val="24"/>
                <w:szCs w:val="24"/>
                <w:lang w:val="en-US" w:eastAsia="zh-CN"/>
              </w:rPr>
              <w:t xml:space="preserve">使用电梯满意度 </w:t>
            </w:r>
          </w:p>
        </w:tc>
        <w:tc>
          <w:tcPr>
            <w:tcW w:w="918" w:type="dxa"/>
            <w:tcBorders>
              <w:top w:val="nil"/>
              <w:left w:val="nil"/>
              <w:bottom w:val="single" w:color="000000" w:sz="4" w:space="0"/>
              <w:right w:val="single" w:color="000000" w:sz="4" w:space="0"/>
            </w:tcBorders>
            <w:shd w:val="clear" w:color="auto" w:fill="auto"/>
            <w:vAlign w:val="center"/>
          </w:tcPr>
          <w:p w14:paraId="47BC8E9D">
            <w:pPr>
              <w:jc w:val="center"/>
              <w:rPr>
                <w:rFonts w:hint="eastAsia" w:ascii="宋体" w:hAnsi="宋体" w:eastAsia="宋体" w:cs="宋体"/>
                <w:color w:val="000000"/>
                <w:sz w:val="24"/>
                <w:szCs w:val="24"/>
              </w:rPr>
            </w:pPr>
            <w:r>
              <w:rPr>
                <w:rFonts w:hint="eastAsia" w:ascii="宋体" w:hAnsi="宋体" w:eastAsia="宋体"/>
                <w:color w:val="000000"/>
                <w:sz w:val="24"/>
                <w:szCs w:val="24"/>
                <w:lang w:val="en-US" w:eastAsia="zh-CN"/>
              </w:rPr>
              <w:t xml:space="preserve"> </w:t>
            </w:r>
            <w:r>
              <w:rPr>
                <w:rFonts w:hint="default" w:ascii="Arial" w:hAnsi="Arial" w:eastAsia="宋体" w:cs="Arial"/>
                <w:color w:val="000000"/>
                <w:sz w:val="24"/>
                <w:szCs w:val="24"/>
                <w:lang w:val="en-US" w:eastAsia="zh-CN"/>
              </w:rPr>
              <w:t>≥</w:t>
            </w:r>
          </w:p>
        </w:tc>
        <w:tc>
          <w:tcPr>
            <w:tcW w:w="791" w:type="dxa"/>
            <w:tcBorders>
              <w:top w:val="nil"/>
              <w:left w:val="nil"/>
              <w:bottom w:val="single" w:color="000000" w:sz="4" w:space="0"/>
              <w:right w:val="single" w:color="000000" w:sz="4" w:space="0"/>
            </w:tcBorders>
            <w:shd w:val="clear" w:color="auto" w:fill="auto"/>
            <w:vAlign w:val="center"/>
          </w:tcPr>
          <w:p w14:paraId="1F5CB25C">
            <w:pPr>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98</w:t>
            </w:r>
          </w:p>
        </w:tc>
        <w:tc>
          <w:tcPr>
            <w:tcW w:w="866" w:type="dxa"/>
            <w:tcBorders>
              <w:top w:val="nil"/>
              <w:left w:val="nil"/>
              <w:bottom w:val="single" w:color="000000" w:sz="4" w:space="0"/>
              <w:right w:val="single" w:color="000000" w:sz="4" w:space="0"/>
            </w:tcBorders>
            <w:shd w:val="clear" w:color="auto" w:fill="auto"/>
            <w:vAlign w:val="center"/>
          </w:tcPr>
          <w:p w14:paraId="75CE7BE5">
            <w:pPr>
              <w:jc w:val="center"/>
              <w:rPr>
                <w:rFonts w:ascii="宋体" w:hAnsi="宋体" w:eastAsia="宋体"/>
                <w:color w:val="000000"/>
                <w:sz w:val="24"/>
                <w:szCs w:val="24"/>
              </w:rPr>
            </w:pPr>
            <w:r>
              <w:rPr>
                <w:rFonts w:hint="eastAsia" w:ascii="宋体" w:hAnsi="宋体" w:eastAsia="宋体"/>
                <w:color w:val="000000"/>
                <w:sz w:val="24"/>
                <w:szCs w:val="24"/>
                <w:lang w:val="en-US" w:eastAsia="zh-CN"/>
              </w:rPr>
              <w:t>%</w:t>
            </w:r>
          </w:p>
        </w:tc>
        <w:tc>
          <w:tcPr>
            <w:tcW w:w="762" w:type="dxa"/>
            <w:tcBorders>
              <w:top w:val="nil"/>
              <w:left w:val="single" w:color="000000" w:sz="4" w:space="0"/>
              <w:bottom w:val="single" w:color="000000" w:sz="4" w:space="0"/>
              <w:right w:val="single" w:color="000000" w:sz="4" w:space="0"/>
            </w:tcBorders>
            <w:shd w:val="clear" w:color="auto" w:fill="auto"/>
            <w:vAlign w:val="center"/>
          </w:tcPr>
          <w:p w14:paraId="0F8AAB2D">
            <w:pPr>
              <w:jc w:val="center"/>
              <w:rPr>
                <w:color w:val="000000"/>
                <w:sz w:val="24"/>
                <w:szCs w:val="24"/>
              </w:rPr>
            </w:pPr>
            <w:r>
              <w:rPr>
                <w:rFonts w:hint="eastAsia"/>
                <w:color w:val="000000"/>
                <w:sz w:val="24"/>
                <w:szCs w:val="24"/>
              </w:rPr>
              <w:t>10</w:t>
            </w:r>
          </w:p>
        </w:tc>
        <w:tc>
          <w:tcPr>
            <w:tcW w:w="15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9ED80">
            <w:pPr>
              <w:spacing w:line="300" w:lineRule="exact"/>
              <w:jc w:val="cente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98</w:t>
            </w:r>
          </w:p>
        </w:tc>
      </w:tr>
    </w:tbl>
    <w:p w14:paraId="62823A76">
      <w:pPr>
        <w:spacing w:line="578" w:lineRule="atLeast"/>
        <w:ind w:right="-170" w:rightChars="-53"/>
        <w:rPr>
          <w:rFonts w:ascii="黑体" w:hAnsi="黑体" w:eastAsia="黑体" w:cs="黑体"/>
          <w:sz w:val="24"/>
          <w:szCs w:val="24"/>
        </w:rPr>
      </w:pPr>
    </w:p>
    <w:p w14:paraId="4CE88121">
      <w:pPr>
        <w:pStyle w:val="25"/>
        <w:spacing w:line="578" w:lineRule="exact"/>
        <w:ind w:firstLine="640" w:firstLineChars="200"/>
        <w:jc w:val="both"/>
        <w:rPr>
          <w:rFonts w:hint="eastAsia" w:ascii="黑体" w:hAnsi="黑体" w:eastAsia="黑体" w:cs="黑体"/>
          <w:color w:val="auto"/>
          <w:kern w:val="2"/>
          <w:sz w:val="32"/>
          <w:szCs w:val="32"/>
          <w:lang w:val="en-US" w:eastAsia="zh-CN"/>
        </w:rPr>
      </w:pPr>
    </w:p>
    <w:p w14:paraId="6719B0BD">
      <w:pPr>
        <w:rPr>
          <w:rFonts w:hint="eastAsia" w:ascii="黑体" w:hAnsi="黑体" w:eastAsia="黑体" w:cs="黑体"/>
          <w:color w:val="auto"/>
          <w:kern w:val="2"/>
          <w:sz w:val="32"/>
          <w:szCs w:val="32"/>
          <w:lang w:val="en-US" w:eastAsia="zh-CN"/>
        </w:rPr>
      </w:pPr>
      <w:r>
        <w:rPr>
          <w:rFonts w:hint="eastAsia" w:ascii="黑体" w:hAnsi="黑体" w:eastAsia="黑体" w:cs="黑体"/>
          <w:color w:val="auto"/>
          <w:kern w:val="2"/>
          <w:sz w:val="32"/>
          <w:szCs w:val="32"/>
          <w:lang w:val="en-US" w:eastAsia="zh-CN"/>
        </w:rPr>
        <w:br w:type="page"/>
      </w:r>
    </w:p>
    <w:p w14:paraId="24985FEE">
      <w:pPr>
        <w:pStyle w:val="25"/>
        <w:spacing w:line="578" w:lineRule="exact"/>
        <w:ind w:firstLine="880" w:firstLineChars="200"/>
        <w:jc w:val="both"/>
        <w:rPr>
          <w:rFonts w:hint="eastAsia" w:ascii="方正小标宋_GBK" w:hAnsi="方正小标宋_GBK" w:eastAsia="方正小标宋_GBK" w:cs="方正小标宋_GBK"/>
          <w:color w:val="auto"/>
          <w:kern w:val="2"/>
          <w:sz w:val="44"/>
          <w:szCs w:val="44"/>
          <w:lang w:val="en-US" w:eastAsia="zh-CN"/>
        </w:rPr>
      </w:pPr>
    </w:p>
    <w:p w14:paraId="6BC05696">
      <w:pPr>
        <w:pStyle w:val="25"/>
        <w:spacing w:line="578" w:lineRule="exact"/>
        <w:ind w:firstLine="880" w:firstLineChars="200"/>
        <w:jc w:val="both"/>
        <w:rPr>
          <w:rFonts w:hint="eastAsia" w:ascii="方正小标宋_GBK" w:hAnsi="方正小标宋_GBK" w:eastAsia="方正小标宋_GBK" w:cs="方正小标宋_GBK"/>
          <w:color w:val="auto"/>
          <w:kern w:val="2"/>
          <w:sz w:val="44"/>
          <w:szCs w:val="44"/>
          <w:lang w:val="en-US" w:eastAsia="zh-CN"/>
        </w:rPr>
      </w:pPr>
    </w:p>
    <w:p w14:paraId="6145B777">
      <w:pPr>
        <w:pStyle w:val="25"/>
        <w:spacing w:line="578" w:lineRule="exact"/>
        <w:ind w:firstLine="880" w:firstLineChars="200"/>
        <w:jc w:val="both"/>
        <w:rPr>
          <w:rFonts w:hint="eastAsia" w:ascii="方正小标宋_GBK" w:hAnsi="方正小标宋_GBK" w:eastAsia="方正小标宋_GBK" w:cs="方正小标宋_GBK"/>
          <w:color w:val="auto"/>
          <w:kern w:val="2"/>
          <w:sz w:val="44"/>
          <w:szCs w:val="44"/>
          <w:lang w:val="en-US"/>
        </w:rPr>
      </w:pPr>
      <w:r>
        <w:rPr>
          <w:rFonts w:hint="eastAsia" w:ascii="方正小标宋_GBK" w:hAnsi="方正小标宋_GBK" w:eastAsia="方正小标宋_GBK" w:cs="方正小标宋_GBK"/>
          <w:color w:val="auto"/>
          <w:kern w:val="2"/>
          <w:sz w:val="44"/>
          <w:szCs w:val="44"/>
          <w:lang w:val="en-US" w:eastAsia="zh-CN"/>
        </w:rPr>
        <w:t>416专班</w:t>
      </w:r>
      <w:r>
        <w:rPr>
          <w:rFonts w:hint="eastAsia" w:ascii="方正小标宋_GBK" w:hAnsi="方正小标宋_GBK" w:eastAsia="方正小标宋_GBK" w:cs="方正小标宋_GBK"/>
          <w:color w:val="auto"/>
          <w:kern w:val="2"/>
          <w:sz w:val="44"/>
          <w:szCs w:val="44"/>
          <w:lang w:val="en-US"/>
        </w:rPr>
        <w:t>工作经费项目绩效评价报告</w:t>
      </w:r>
    </w:p>
    <w:p w14:paraId="7C8F876E">
      <w:pPr>
        <w:pStyle w:val="25"/>
        <w:spacing w:line="578" w:lineRule="exact"/>
        <w:ind w:firstLine="640"/>
        <w:jc w:val="center"/>
        <w:rPr>
          <w:rFonts w:ascii="宋体" w:hAnsi="宋体"/>
          <w:color w:val="auto"/>
          <w:kern w:val="2"/>
          <w:sz w:val="32"/>
          <w:szCs w:val="32"/>
        </w:rPr>
      </w:pPr>
    </w:p>
    <w:p w14:paraId="698DBC47">
      <w:pPr>
        <w:adjustRightInd w:val="0"/>
        <w:snapToGrid w:val="0"/>
        <w:spacing w:line="578" w:lineRule="exact"/>
        <w:ind w:firstLine="640" w:firstLineChars="200"/>
        <w:rPr>
          <w:rFonts w:ascii="黑体" w:hAnsi="宋体" w:eastAsia="黑体"/>
          <w:lang w:val="zh-CN"/>
        </w:rPr>
      </w:pPr>
      <w:r>
        <w:rPr>
          <w:rFonts w:hint="eastAsia" w:ascii="黑体" w:hAnsi="宋体" w:eastAsia="黑体"/>
        </w:rPr>
        <w:t>一、</w:t>
      </w:r>
      <w:r>
        <w:rPr>
          <w:rFonts w:hint="eastAsia" w:ascii="黑体" w:hAnsi="宋体" w:eastAsia="黑体"/>
          <w:lang w:val="zh-CN"/>
        </w:rPr>
        <w:t>项目概况</w:t>
      </w:r>
    </w:p>
    <w:p w14:paraId="7FE6933C">
      <w:pPr>
        <w:widowControl/>
        <w:adjustRightInd w:val="0"/>
        <w:snapToGrid w:val="0"/>
        <w:spacing w:line="578" w:lineRule="exact"/>
        <w:ind w:firstLine="643" w:firstLineChars="200"/>
        <w:contextualSpacing/>
        <w:jc w:val="left"/>
        <w:rPr>
          <w:rFonts w:ascii="楷体_GB2312" w:hAnsi="宋体" w:eastAsia="楷体_GB2312"/>
          <w:b/>
          <w:lang w:val="zh-CN"/>
        </w:rPr>
      </w:pPr>
      <w:r>
        <w:rPr>
          <w:rFonts w:hint="eastAsia" w:ascii="楷体_GB2312" w:hAnsi="宋体" w:eastAsia="楷体_GB2312"/>
          <w:b/>
          <w:lang w:val="zh-CN"/>
        </w:rPr>
        <w:t>（一）设立背景及基本情况</w:t>
      </w:r>
    </w:p>
    <w:p w14:paraId="00A55DC2">
      <w:pPr>
        <w:widowControl/>
        <w:adjustRightInd w:val="0"/>
        <w:snapToGrid w:val="0"/>
        <w:spacing w:line="578" w:lineRule="exact"/>
        <w:ind w:firstLine="640" w:firstLineChars="200"/>
        <w:contextualSpacing/>
        <w:jc w:val="left"/>
        <w:rPr>
          <w:rFonts w:ascii="仿宋_GB2312" w:hAnsi="仿宋_GB2312" w:cs="仿宋_GB2312"/>
          <w:kern w:val="0"/>
          <w:shd w:val="clear" w:color="auto" w:fill="FFFFFF"/>
          <w:lang w:val="zh-CN"/>
        </w:rPr>
      </w:pPr>
      <w:r>
        <w:rPr>
          <w:rFonts w:hint="eastAsia" w:ascii="仿宋_GB2312" w:hAnsi="仿宋_GB2312" w:cs="仿宋_GB2312"/>
          <w:kern w:val="0"/>
          <w:shd w:val="clear" w:color="auto" w:fill="FFFFFF"/>
          <w:lang w:val="zh-CN"/>
        </w:rPr>
        <w:t>按照相关文件规定，为更好地</w:t>
      </w:r>
      <w:r>
        <w:rPr>
          <w:rFonts w:hint="eastAsia" w:ascii="仿宋_GB2312" w:hAnsi="仿宋_GB2312" w:cs="仿宋_GB2312"/>
          <w:kern w:val="0"/>
          <w:shd w:val="clear" w:color="auto" w:fill="FFFFFF"/>
          <w:lang w:val="en-US" w:eastAsia="zh-CN"/>
        </w:rPr>
        <w:t>服务</w:t>
      </w:r>
      <w:r>
        <w:rPr>
          <w:rFonts w:hint="eastAsia" w:ascii="仿宋_GB2312" w:hAnsi="仿宋_GB2312" w:cs="仿宋_GB2312"/>
          <w:kern w:val="0"/>
          <w:shd w:val="clear" w:color="auto" w:fill="FFFFFF"/>
          <w:lang w:val="zh-CN"/>
        </w:rPr>
        <w:t>，开展</w:t>
      </w:r>
      <w:r>
        <w:rPr>
          <w:rFonts w:hint="eastAsia" w:ascii="仿宋_GB2312" w:hAnsi="仿宋_GB2312" w:cs="仿宋_GB2312"/>
          <w:kern w:val="0"/>
          <w:shd w:val="clear" w:color="auto" w:fill="FFFFFF"/>
          <w:lang w:val="en-US" w:eastAsia="zh-CN"/>
        </w:rPr>
        <w:t>416专班</w:t>
      </w:r>
      <w:r>
        <w:rPr>
          <w:rFonts w:hint="eastAsia" w:ascii="仿宋_GB2312" w:hAnsi="仿宋_GB2312" w:cs="仿宋_GB2312"/>
          <w:kern w:val="0"/>
          <w:shd w:val="clear" w:color="auto" w:fill="FFFFFF"/>
          <w:lang w:val="zh-CN"/>
        </w:rPr>
        <w:t>工作，该项经费纳入</w:t>
      </w:r>
      <w:r>
        <w:rPr>
          <w:rFonts w:hint="eastAsia" w:ascii="仿宋_GB2312" w:hAnsi="仿宋_GB2312" w:cs="仿宋_GB2312"/>
          <w:kern w:val="0"/>
          <w:shd w:val="clear" w:color="auto" w:fill="FFFFFF"/>
          <w:lang w:val="en-US" w:eastAsia="zh-CN"/>
        </w:rPr>
        <w:t>县政府</w:t>
      </w:r>
      <w:r>
        <w:rPr>
          <w:rFonts w:hint="eastAsia" w:ascii="仿宋_GB2312" w:hAnsi="仿宋_GB2312" w:cs="仿宋_GB2312"/>
          <w:kern w:val="0"/>
          <w:shd w:val="clear" w:color="auto" w:fill="FFFFFF"/>
          <w:lang w:val="zh-CN"/>
        </w:rPr>
        <w:t>办公室预算。</w:t>
      </w:r>
    </w:p>
    <w:p w14:paraId="36555949">
      <w:pPr>
        <w:adjustRightInd w:val="0"/>
        <w:snapToGrid w:val="0"/>
        <w:spacing w:line="578" w:lineRule="exact"/>
        <w:ind w:firstLine="643" w:firstLineChars="200"/>
        <w:rPr>
          <w:rFonts w:ascii="楷体_GB2312" w:hAnsi="宋体" w:eastAsia="楷体_GB2312"/>
          <w:b/>
        </w:rPr>
      </w:pPr>
      <w:r>
        <w:rPr>
          <w:rFonts w:hint="eastAsia" w:ascii="楷体_GB2312" w:hAnsi="宋体" w:eastAsia="楷体_GB2312"/>
          <w:b/>
          <w:lang w:val="zh-CN"/>
        </w:rPr>
        <w:t>（二）</w:t>
      </w:r>
      <w:r>
        <w:rPr>
          <w:rFonts w:ascii="楷体_GB2312" w:hAnsi="宋体" w:eastAsia="楷体_GB2312"/>
          <w:b/>
        </w:rPr>
        <w:t>实施目的及支持方向</w:t>
      </w:r>
    </w:p>
    <w:p w14:paraId="09F84B5C">
      <w:pPr>
        <w:adjustRightInd w:val="0"/>
        <w:snapToGrid w:val="0"/>
        <w:spacing w:line="578" w:lineRule="exact"/>
        <w:ind w:firstLine="640" w:firstLineChars="200"/>
        <w:rPr>
          <w:rFonts w:ascii="仿宋_GB2312" w:hAnsi="宋体"/>
          <w:bCs/>
          <w:lang w:val="zh-CN"/>
        </w:rPr>
      </w:pPr>
      <w:r>
        <w:rPr>
          <w:rFonts w:hint="eastAsia" w:ascii="仿宋_GB2312" w:hAnsi="宋体"/>
          <w:bCs/>
          <w:lang w:val="zh-CN"/>
        </w:rPr>
        <w:t>本项目主要工作任务是保障</w:t>
      </w:r>
      <w:r>
        <w:rPr>
          <w:rFonts w:hint="eastAsia" w:ascii="仿宋_GB2312" w:hAnsi="宋体"/>
          <w:bCs/>
          <w:lang w:val="en-US" w:eastAsia="zh-CN"/>
        </w:rPr>
        <w:t>416专班</w:t>
      </w:r>
      <w:r>
        <w:rPr>
          <w:rFonts w:hint="eastAsia" w:ascii="仿宋_GB2312" w:hAnsi="宋体"/>
          <w:bCs/>
          <w:lang w:val="zh-CN"/>
        </w:rPr>
        <w:t>日常运转，完成日常工作任务以及承担的</w:t>
      </w:r>
      <w:r>
        <w:rPr>
          <w:rFonts w:hint="eastAsia" w:ascii="仿宋_GB2312" w:hAnsi="宋体"/>
          <w:bCs/>
          <w:lang w:val="en-US" w:eastAsia="zh-CN"/>
        </w:rPr>
        <w:t>企业服务</w:t>
      </w:r>
      <w:r>
        <w:rPr>
          <w:rFonts w:hint="eastAsia" w:ascii="仿宋_GB2312" w:hAnsi="宋体"/>
          <w:bCs/>
          <w:lang w:val="zh-CN"/>
        </w:rPr>
        <w:t>等工作。</w:t>
      </w:r>
    </w:p>
    <w:p w14:paraId="553F2447">
      <w:pPr>
        <w:widowControl/>
        <w:adjustRightInd w:val="0"/>
        <w:snapToGrid w:val="0"/>
        <w:spacing w:line="578" w:lineRule="exact"/>
        <w:ind w:firstLine="643" w:firstLineChars="200"/>
        <w:contextualSpacing/>
        <w:jc w:val="left"/>
        <w:rPr>
          <w:rFonts w:ascii="楷体_GB2312" w:hAnsi="宋体" w:eastAsia="楷体_GB2312"/>
          <w:b/>
          <w:lang w:val="zh-CN"/>
        </w:rPr>
      </w:pPr>
      <w:r>
        <w:rPr>
          <w:rFonts w:hint="eastAsia" w:ascii="楷体_GB2312" w:hAnsi="宋体" w:eastAsia="楷体_GB2312"/>
          <w:b/>
          <w:lang w:val="zh-CN"/>
        </w:rPr>
        <w:t>（三）</w:t>
      </w:r>
      <w:r>
        <w:rPr>
          <w:rFonts w:ascii="楷体_GB2312" w:hAnsi="宋体" w:eastAsia="楷体_GB2312"/>
          <w:b/>
        </w:rPr>
        <w:t>预算安排及分配管理</w:t>
      </w:r>
    </w:p>
    <w:p w14:paraId="7DB43C97">
      <w:pPr>
        <w:widowControl/>
        <w:adjustRightInd w:val="0"/>
        <w:snapToGrid w:val="0"/>
        <w:spacing w:line="578" w:lineRule="exact"/>
        <w:ind w:firstLine="640" w:firstLineChars="200"/>
        <w:contextualSpacing/>
        <w:jc w:val="left"/>
        <w:rPr>
          <w:rFonts w:ascii="仿宋_GB2312" w:hAnsi="仿宋_GB2312" w:cs="仿宋_GB2312"/>
          <w:kern w:val="0"/>
          <w:shd w:val="clear" w:color="auto" w:fill="FFFFFF"/>
          <w:lang w:val="zh-CN"/>
        </w:rPr>
      </w:pPr>
      <w:r>
        <w:rPr>
          <w:rFonts w:hint="eastAsia" w:ascii="仿宋_GB2312" w:hAnsi="仿宋_GB2312" w:cs="仿宋_GB2312"/>
          <w:kern w:val="0"/>
          <w:shd w:val="clear" w:color="auto" w:fill="FFFFFF"/>
          <w:lang w:val="zh-CN"/>
        </w:rPr>
        <w:t>本单位202</w:t>
      </w:r>
      <w:r>
        <w:rPr>
          <w:rFonts w:hint="eastAsia" w:ascii="仿宋_GB2312" w:hAnsi="仿宋_GB2312" w:cs="仿宋_GB2312"/>
          <w:kern w:val="0"/>
          <w:shd w:val="clear" w:color="auto" w:fill="FFFFFF"/>
          <w:lang w:val="en-US" w:eastAsia="zh-CN"/>
        </w:rPr>
        <w:t>4年416专班</w:t>
      </w:r>
      <w:r>
        <w:rPr>
          <w:rFonts w:hint="eastAsia" w:ascii="仿宋_GB2312" w:hAnsi="仿宋_GB2312" w:cs="仿宋_GB2312"/>
          <w:kern w:val="0"/>
          <w:shd w:val="clear" w:color="auto" w:fill="FFFFFF"/>
          <w:lang w:val="zh-CN"/>
        </w:rPr>
        <w:t>项目预算</w:t>
      </w:r>
      <w:r>
        <w:rPr>
          <w:rFonts w:hint="eastAsia" w:ascii="仿宋_GB2312" w:hAnsi="仿宋_GB2312" w:cs="仿宋_GB2312"/>
          <w:kern w:val="0"/>
          <w:shd w:val="clear" w:color="auto" w:fill="FFFFFF"/>
          <w:lang w:val="en-US" w:eastAsia="zh-CN"/>
        </w:rPr>
        <w:t>18.6</w:t>
      </w:r>
      <w:r>
        <w:rPr>
          <w:rFonts w:hint="eastAsia" w:ascii="仿宋_GB2312" w:hAnsi="仿宋_GB2312" w:cs="仿宋_GB2312"/>
          <w:kern w:val="0"/>
          <w:shd w:val="clear" w:color="auto" w:fill="FFFFFF"/>
          <w:lang w:val="zh-CN"/>
        </w:rPr>
        <w:t>万元，由（渠财</w:t>
      </w:r>
      <w:r>
        <w:rPr>
          <w:rFonts w:hint="eastAsia" w:ascii="仿宋_GB2312" w:hAnsi="仿宋_GB2312" w:cs="仿宋_GB2312"/>
          <w:kern w:val="0"/>
          <w:shd w:val="clear" w:color="auto" w:fill="FFFFFF"/>
          <w:lang w:val="en-US" w:eastAsia="zh-CN"/>
        </w:rPr>
        <w:t>行</w:t>
      </w:r>
      <w:r>
        <w:rPr>
          <w:rFonts w:hint="eastAsia" w:ascii="仿宋_GB2312" w:hAnsi="仿宋_GB2312" w:cs="仿宋_GB2312"/>
          <w:kern w:val="0"/>
          <w:shd w:val="clear" w:color="auto" w:fill="FFFFFF"/>
          <w:lang w:val="zh-CN"/>
        </w:rPr>
        <w:t>〔202</w:t>
      </w:r>
      <w:r>
        <w:rPr>
          <w:rFonts w:hint="eastAsia" w:ascii="仿宋_GB2312" w:hAnsi="仿宋_GB2312" w:cs="仿宋_GB2312"/>
          <w:kern w:val="0"/>
          <w:shd w:val="clear" w:color="auto" w:fill="FFFFFF"/>
          <w:lang w:val="en-US" w:eastAsia="zh-CN"/>
        </w:rPr>
        <w:t>3</w:t>
      </w:r>
      <w:r>
        <w:rPr>
          <w:rFonts w:hint="eastAsia" w:ascii="仿宋_GB2312" w:hAnsi="仿宋_GB2312" w:cs="仿宋_GB2312"/>
          <w:kern w:val="0"/>
          <w:shd w:val="clear" w:color="auto" w:fill="FFFFFF"/>
          <w:lang w:val="zh-CN"/>
        </w:rPr>
        <w:t>〕</w:t>
      </w:r>
      <w:r>
        <w:rPr>
          <w:rFonts w:hint="eastAsia" w:ascii="仿宋_GB2312" w:hAnsi="仿宋_GB2312" w:cs="仿宋_GB2312"/>
          <w:kern w:val="0"/>
          <w:shd w:val="clear" w:color="auto" w:fill="FFFFFF"/>
          <w:lang w:val="en-US" w:eastAsia="zh-CN"/>
        </w:rPr>
        <w:t>127</w:t>
      </w:r>
      <w:r>
        <w:rPr>
          <w:rFonts w:hint="eastAsia" w:ascii="仿宋_GB2312" w:hAnsi="仿宋_GB2312" w:cs="仿宋_GB2312"/>
          <w:kern w:val="0"/>
          <w:shd w:val="clear" w:color="auto" w:fill="FFFFFF"/>
          <w:lang w:val="zh-CN"/>
        </w:rPr>
        <w:t>号）文</w:t>
      </w:r>
      <w:r>
        <w:rPr>
          <w:rFonts w:hint="eastAsia" w:ascii="仿宋_GB2312" w:hAnsi="仿宋_GB2312" w:cs="仿宋_GB2312"/>
          <w:kern w:val="0"/>
          <w:shd w:val="clear" w:color="auto" w:fill="FFFFFF"/>
          <w:lang w:val="en-US" w:eastAsia="zh-CN"/>
        </w:rPr>
        <w:t>件</w:t>
      </w:r>
      <w:r>
        <w:rPr>
          <w:rFonts w:hint="eastAsia" w:ascii="仿宋_GB2312" w:hAnsi="仿宋_GB2312" w:cs="仿宋_GB2312"/>
          <w:kern w:val="0"/>
          <w:shd w:val="clear" w:color="auto" w:fill="FFFFFF"/>
          <w:lang w:val="zh-CN"/>
        </w:rPr>
        <w:t>下达资金1</w:t>
      </w:r>
      <w:r>
        <w:rPr>
          <w:rFonts w:hint="eastAsia" w:ascii="仿宋_GB2312" w:hAnsi="仿宋_GB2312" w:cs="仿宋_GB2312"/>
          <w:kern w:val="0"/>
          <w:shd w:val="clear" w:color="auto" w:fill="FFFFFF"/>
          <w:lang w:val="en-US" w:eastAsia="zh-CN"/>
        </w:rPr>
        <w:t>8.6</w:t>
      </w:r>
      <w:r>
        <w:rPr>
          <w:rFonts w:hint="eastAsia" w:ascii="仿宋_GB2312" w:hAnsi="仿宋_GB2312" w:cs="仿宋_GB2312"/>
          <w:kern w:val="0"/>
          <w:shd w:val="clear" w:color="auto" w:fill="FFFFFF"/>
          <w:lang w:val="zh-CN"/>
        </w:rPr>
        <w:t>万元。</w:t>
      </w:r>
    </w:p>
    <w:p w14:paraId="2D2C60D6">
      <w:pPr>
        <w:adjustRightInd w:val="0"/>
        <w:snapToGrid w:val="0"/>
        <w:spacing w:line="578" w:lineRule="exact"/>
        <w:ind w:firstLine="643" w:firstLineChars="200"/>
        <w:rPr>
          <w:rFonts w:ascii="楷体_GB2312" w:hAnsi="宋体" w:eastAsia="楷体_GB2312"/>
          <w:b/>
          <w:lang w:val="zh-CN"/>
        </w:rPr>
      </w:pPr>
      <w:r>
        <w:rPr>
          <w:rFonts w:hint="eastAsia" w:ascii="楷体_GB2312" w:hAnsi="宋体" w:eastAsia="楷体_GB2312"/>
          <w:b/>
          <w:lang w:val="zh-CN"/>
        </w:rPr>
        <w:t>（四）项目绩效目标设置</w:t>
      </w:r>
    </w:p>
    <w:p w14:paraId="146C3416">
      <w:pPr>
        <w:adjustRightInd w:val="0"/>
        <w:snapToGrid w:val="0"/>
        <w:spacing w:line="578" w:lineRule="exact"/>
        <w:ind w:firstLine="640" w:firstLineChars="200"/>
        <w:rPr>
          <w:rFonts w:hint="eastAsia" w:ascii="仿宋_GB2312" w:hAnsi="仿宋_GB2312" w:cs="仿宋_GB2312"/>
          <w:kern w:val="0"/>
          <w:shd w:val="clear" w:color="auto" w:fill="FFFFFF"/>
          <w:lang w:val="zh-CN"/>
        </w:rPr>
      </w:pPr>
      <w:r>
        <w:rPr>
          <w:rFonts w:hint="eastAsia" w:ascii="仿宋_GB2312" w:hAnsi="仿宋_GB2312" w:cs="仿宋_GB2312"/>
          <w:kern w:val="0"/>
          <w:shd w:val="clear" w:color="auto" w:fill="FFFFFF"/>
          <w:lang w:val="zh-CN"/>
        </w:rPr>
        <w:t>项目年度目标：通过拨付工作经费，解决416专班工作人员差旅费，维持办公室日常工作运转。</w:t>
      </w:r>
    </w:p>
    <w:p w14:paraId="58A4E888">
      <w:pPr>
        <w:adjustRightInd w:val="0"/>
        <w:snapToGrid w:val="0"/>
        <w:spacing w:line="578" w:lineRule="exact"/>
        <w:ind w:firstLine="640" w:firstLineChars="200"/>
        <w:rPr>
          <w:rFonts w:ascii="仿宋_GB2312" w:hAnsi="仿宋_GB2312" w:cs="仿宋_GB2312"/>
          <w:kern w:val="0"/>
          <w:shd w:val="clear" w:color="auto" w:fill="FFFFFF"/>
          <w:lang w:val="zh-CN"/>
        </w:rPr>
      </w:pPr>
      <w:r>
        <w:rPr>
          <w:rFonts w:hint="eastAsia" w:ascii="仿宋_GB2312" w:hAnsi="仿宋_GB2312" w:cs="仿宋_GB2312"/>
          <w:kern w:val="0"/>
          <w:shd w:val="clear" w:color="auto" w:fill="FFFFFF"/>
          <w:lang w:val="zh-CN"/>
        </w:rPr>
        <w:t>项目具体绩效目标：本项目共设置</w:t>
      </w:r>
      <w:r>
        <w:rPr>
          <w:rFonts w:hint="eastAsia" w:ascii="仿宋_GB2312" w:hAnsi="仿宋_GB2312" w:cs="仿宋_GB2312"/>
          <w:kern w:val="0"/>
          <w:shd w:val="clear" w:color="auto" w:fill="FFFFFF"/>
          <w:lang w:val="en-US" w:eastAsia="zh-CN"/>
        </w:rPr>
        <w:t>8</w:t>
      </w:r>
      <w:r>
        <w:rPr>
          <w:rFonts w:hint="eastAsia" w:ascii="仿宋_GB2312" w:hAnsi="仿宋_GB2312" w:cs="仿宋_GB2312"/>
          <w:kern w:val="0"/>
          <w:shd w:val="clear" w:color="auto" w:fill="FFFFFF"/>
          <w:lang w:val="zh-CN"/>
        </w:rPr>
        <w:t>个三级指标。具体如下：数量指标：</w:t>
      </w:r>
      <w:r>
        <w:rPr>
          <w:rFonts w:hint="eastAsia" w:ascii="仿宋_GB2312" w:hAnsi="仿宋_GB2312" w:cs="仿宋_GB2312"/>
          <w:kern w:val="0"/>
          <w:shd w:val="clear" w:color="auto" w:fill="FFFFFF"/>
          <w:lang w:val="en-US" w:eastAsia="zh-CN"/>
        </w:rPr>
        <w:t>维护办公室日常运转=1处，打印资料</w:t>
      </w:r>
      <w:r>
        <w:rPr>
          <w:rFonts w:hint="default" w:ascii="Arial" w:hAnsi="Arial" w:cs="Arial"/>
          <w:kern w:val="0"/>
          <w:shd w:val="clear" w:color="auto" w:fill="FFFFFF"/>
          <w:lang w:val="en-US" w:eastAsia="zh-CN"/>
        </w:rPr>
        <w:t>≥</w:t>
      </w:r>
      <w:r>
        <w:rPr>
          <w:rFonts w:hint="eastAsia" w:ascii="仿宋_GB2312" w:hAnsi="仿宋_GB2312" w:cs="仿宋_GB2312"/>
          <w:kern w:val="0"/>
          <w:shd w:val="clear" w:color="auto" w:fill="FFFFFF"/>
          <w:lang w:val="en-US" w:eastAsia="zh-CN"/>
        </w:rPr>
        <w:t>1000余份，维护电脑设备=6台；</w:t>
      </w:r>
      <w:r>
        <w:rPr>
          <w:rFonts w:hint="eastAsia" w:ascii="仿宋_GB2312" w:hAnsi="仿宋_GB2312" w:cs="仿宋_GB2312"/>
          <w:kern w:val="0"/>
          <w:shd w:val="clear" w:color="auto" w:fill="FFFFFF"/>
          <w:lang w:val="zh-CN"/>
        </w:rPr>
        <w:t>质量指标：</w:t>
      </w:r>
      <w:r>
        <w:rPr>
          <w:rFonts w:hint="eastAsia" w:ascii="仿宋_GB2312" w:hAnsi="仿宋_GB2312" w:cs="仿宋_GB2312"/>
          <w:kern w:val="0"/>
          <w:shd w:val="clear" w:color="auto" w:fill="FFFFFF"/>
          <w:lang w:val="en-US" w:eastAsia="zh-CN"/>
        </w:rPr>
        <w:t>资金到位</w:t>
      </w:r>
      <w:r>
        <w:rPr>
          <w:rFonts w:hint="eastAsia" w:ascii="仿宋_GB2312" w:hAnsi="仿宋_GB2312" w:cs="仿宋_GB2312"/>
          <w:kern w:val="0"/>
          <w:shd w:val="clear" w:color="auto" w:fill="FFFFFF"/>
          <w:lang w:val="zh-CN"/>
        </w:rPr>
        <w:t>率</w:t>
      </w:r>
      <w:r>
        <w:rPr>
          <w:rFonts w:hint="eastAsia" w:ascii="仿宋_GB2312" w:hAnsi="仿宋_GB2312" w:cs="仿宋_GB2312"/>
          <w:kern w:val="0"/>
          <w:shd w:val="clear" w:color="auto" w:fill="FFFFFF"/>
          <w:lang w:val="en-US" w:eastAsia="zh-CN"/>
        </w:rPr>
        <w:t>=</w:t>
      </w:r>
      <w:r>
        <w:rPr>
          <w:rFonts w:hint="eastAsia" w:ascii="仿宋_GB2312" w:hAnsi="仿宋_GB2312" w:cs="仿宋_GB2312"/>
          <w:kern w:val="0"/>
          <w:shd w:val="clear" w:color="auto" w:fill="FFFFFF"/>
          <w:lang w:val="zh-CN"/>
        </w:rPr>
        <w:t>100%；时效指标：</w:t>
      </w:r>
      <w:r>
        <w:rPr>
          <w:rFonts w:hint="eastAsia" w:ascii="仿宋_GB2312" w:hAnsi="仿宋_GB2312" w:cs="仿宋_GB2312"/>
          <w:kern w:val="0"/>
          <w:shd w:val="clear" w:color="auto" w:fill="FFFFFF"/>
          <w:lang w:val="en-US" w:eastAsia="zh-CN"/>
        </w:rPr>
        <w:t>完成各项工作时限</w:t>
      </w:r>
      <w:r>
        <w:rPr>
          <w:rFonts w:hint="default" w:ascii="Arial" w:hAnsi="Arial" w:cs="Arial"/>
          <w:kern w:val="0"/>
          <w:shd w:val="clear" w:color="auto" w:fill="FFFFFF"/>
          <w:lang w:val="en-US" w:eastAsia="zh-CN"/>
        </w:rPr>
        <w:t>≤</w:t>
      </w:r>
      <w:r>
        <w:rPr>
          <w:rFonts w:hint="eastAsia" w:ascii="仿宋_GB2312" w:hAnsi="仿宋_GB2312" w:cs="仿宋_GB2312"/>
          <w:kern w:val="0"/>
          <w:shd w:val="clear" w:color="auto" w:fill="FFFFFF"/>
          <w:lang w:val="en-US" w:eastAsia="zh-CN"/>
        </w:rPr>
        <w:t>1年；</w:t>
      </w:r>
      <w:r>
        <w:rPr>
          <w:rFonts w:hint="eastAsia" w:ascii="仿宋_GB2312" w:hAnsi="仿宋_GB2312" w:cs="仿宋_GB2312"/>
          <w:kern w:val="0"/>
          <w:shd w:val="clear" w:color="auto" w:fill="FFFFFF"/>
          <w:lang w:val="zh-CN"/>
        </w:rPr>
        <w:t>效益指标：</w:t>
      </w:r>
      <w:r>
        <w:rPr>
          <w:rFonts w:hint="eastAsia" w:ascii="仿宋_GB2312" w:hAnsi="仿宋_GB2312" w:cs="仿宋_GB2312"/>
          <w:kern w:val="0"/>
          <w:shd w:val="clear" w:color="auto" w:fill="FFFFFF"/>
          <w:lang w:val="en-US" w:eastAsia="zh-CN"/>
        </w:rPr>
        <w:t>促进企业各项工作（定性）持续推进；</w:t>
      </w:r>
      <w:r>
        <w:rPr>
          <w:rFonts w:hint="eastAsia" w:ascii="仿宋_GB2312" w:hAnsi="仿宋_GB2312" w:cs="仿宋_GB2312"/>
          <w:kern w:val="0"/>
          <w:shd w:val="clear" w:color="auto" w:fill="FFFFFF"/>
          <w:lang w:val="zh-CN"/>
        </w:rPr>
        <w:t>满意度指标：</w:t>
      </w:r>
      <w:r>
        <w:rPr>
          <w:rFonts w:hint="eastAsia" w:ascii="仿宋_GB2312" w:hAnsi="仿宋_GB2312" w:cs="仿宋_GB2312"/>
          <w:kern w:val="0"/>
          <w:shd w:val="clear" w:color="auto" w:fill="FFFFFF"/>
          <w:lang w:val="en-US" w:eastAsia="zh-CN"/>
        </w:rPr>
        <w:t>企业满意度</w:t>
      </w:r>
      <w:r>
        <w:rPr>
          <w:rFonts w:hint="eastAsia" w:ascii="仿宋_GB2312" w:hAnsi="仿宋_GB2312" w:cs="仿宋_GB2312"/>
          <w:kern w:val="0"/>
          <w:shd w:val="clear" w:color="auto" w:fill="FFFFFF"/>
          <w:lang w:val="zh-CN"/>
        </w:rPr>
        <w:t>≥</w:t>
      </w:r>
      <w:r>
        <w:rPr>
          <w:rFonts w:hint="eastAsia" w:ascii="仿宋_GB2312" w:hAnsi="仿宋_GB2312" w:cs="仿宋_GB2312"/>
          <w:kern w:val="0"/>
          <w:shd w:val="clear" w:color="auto" w:fill="FFFFFF"/>
          <w:lang w:val="en-US" w:eastAsia="zh-CN"/>
        </w:rPr>
        <w:t>90%，</w:t>
      </w:r>
      <w:r>
        <w:rPr>
          <w:rFonts w:hint="eastAsia" w:ascii="仿宋_GB2312" w:hAnsi="仿宋_GB2312" w:cs="仿宋_GB2312"/>
          <w:kern w:val="0"/>
          <w:shd w:val="clear" w:color="auto" w:fill="FFFFFF"/>
          <w:lang w:val="zh-CN"/>
        </w:rPr>
        <w:t>经济成本指标：项目成本</w:t>
      </w:r>
      <w:r>
        <w:rPr>
          <w:rFonts w:hint="default" w:ascii="Arial" w:hAnsi="Arial" w:cs="Arial"/>
          <w:kern w:val="0"/>
          <w:shd w:val="clear" w:color="auto" w:fill="FFFFFF"/>
          <w:lang w:val="zh-CN"/>
        </w:rPr>
        <w:t>≤</w:t>
      </w:r>
      <w:r>
        <w:rPr>
          <w:rFonts w:hint="eastAsia" w:ascii="Arial" w:hAnsi="Arial" w:cs="Arial"/>
          <w:kern w:val="0"/>
          <w:shd w:val="clear" w:color="auto" w:fill="FFFFFF"/>
          <w:lang w:val="en-US" w:eastAsia="zh-CN"/>
        </w:rPr>
        <w:t>1</w:t>
      </w:r>
      <w:r>
        <w:rPr>
          <w:rFonts w:hint="eastAsia" w:ascii="仿宋_GB2312" w:hAnsi="仿宋_GB2312" w:cs="仿宋_GB2312"/>
          <w:kern w:val="0"/>
          <w:shd w:val="clear" w:color="auto" w:fill="FFFFFF"/>
          <w:lang w:val="en-US" w:eastAsia="zh-CN"/>
        </w:rPr>
        <w:t>8.6</w:t>
      </w:r>
      <w:r>
        <w:rPr>
          <w:rFonts w:hint="eastAsia" w:ascii="仿宋_GB2312" w:hAnsi="仿宋_GB2312" w:cs="仿宋_GB2312"/>
          <w:kern w:val="0"/>
          <w:shd w:val="clear" w:color="auto" w:fill="FFFFFF"/>
          <w:lang w:val="zh-CN"/>
        </w:rPr>
        <w:t>万。</w:t>
      </w:r>
    </w:p>
    <w:p w14:paraId="356E0E04">
      <w:pPr>
        <w:adjustRightInd w:val="0"/>
        <w:snapToGrid w:val="0"/>
        <w:spacing w:line="578" w:lineRule="exact"/>
        <w:ind w:firstLine="640" w:firstLineChars="200"/>
        <w:rPr>
          <w:rFonts w:ascii="仿宋_GB2312" w:hAnsi="仿宋_GB2312" w:cs="仿宋_GB2312"/>
          <w:kern w:val="0"/>
          <w:shd w:val="clear" w:color="auto" w:fill="FFFFFF"/>
          <w:lang w:val="zh-CN"/>
        </w:rPr>
      </w:pPr>
      <w:r>
        <w:rPr>
          <w:rFonts w:hint="eastAsia" w:ascii="仿宋_GB2312" w:hAnsi="仿宋_GB2312" w:cs="仿宋_GB2312"/>
          <w:kern w:val="0"/>
          <w:shd w:val="clear" w:color="auto" w:fill="FFFFFF"/>
          <w:lang w:val="zh-CN"/>
        </w:rPr>
        <w:t>项目自评工作开展情况。根据《渠县财政局关于开展202</w:t>
      </w:r>
      <w:r>
        <w:rPr>
          <w:rFonts w:hint="eastAsia" w:ascii="仿宋_GB2312" w:hAnsi="仿宋_GB2312" w:cs="仿宋_GB2312"/>
          <w:kern w:val="0"/>
          <w:shd w:val="clear" w:color="auto" w:fill="FFFFFF"/>
          <w:lang w:val="en-US" w:eastAsia="zh-CN"/>
        </w:rPr>
        <w:t>5</w:t>
      </w:r>
      <w:r>
        <w:rPr>
          <w:rFonts w:hint="eastAsia" w:ascii="仿宋_GB2312" w:hAnsi="仿宋_GB2312" w:cs="仿宋_GB2312"/>
          <w:kern w:val="0"/>
          <w:shd w:val="clear" w:color="auto" w:fill="FFFFFF"/>
          <w:lang w:val="zh-CN"/>
        </w:rPr>
        <w:t>年县级部门绩效自评工作的通知》（渠财绩〔202</w:t>
      </w:r>
      <w:r>
        <w:rPr>
          <w:rFonts w:hint="eastAsia" w:ascii="仿宋_GB2312" w:hAnsi="仿宋_GB2312" w:cs="仿宋_GB2312"/>
          <w:kern w:val="0"/>
          <w:shd w:val="clear" w:color="auto" w:fill="FFFFFF"/>
          <w:lang w:val="en-US" w:eastAsia="zh-CN"/>
        </w:rPr>
        <w:t>5</w:t>
      </w:r>
      <w:r>
        <w:rPr>
          <w:rFonts w:hint="eastAsia" w:ascii="仿宋_GB2312" w:hAnsi="仿宋_GB2312" w:cs="仿宋_GB2312"/>
          <w:kern w:val="0"/>
          <w:shd w:val="clear" w:color="auto" w:fill="FFFFFF"/>
          <w:lang w:val="zh-CN"/>
        </w:rPr>
        <w:t>〕</w:t>
      </w:r>
      <w:r>
        <w:rPr>
          <w:rFonts w:hint="eastAsia" w:ascii="仿宋_GB2312" w:hAnsi="仿宋_GB2312" w:cs="仿宋_GB2312"/>
          <w:kern w:val="0"/>
          <w:shd w:val="clear" w:color="auto" w:fill="FFFFFF"/>
          <w:lang w:val="en-US" w:eastAsia="zh-CN"/>
        </w:rPr>
        <w:t>5</w:t>
      </w:r>
      <w:r>
        <w:rPr>
          <w:rFonts w:hint="eastAsia" w:ascii="仿宋_GB2312" w:hAnsi="仿宋_GB2312" w:cs="仿宋_GB2312"/>
          <w:kern w:val="0"/>
          <w:shd w:val="clear" w:color="auto" w:fill="FFFFFF"/>
          <w:lang w:val="zh-CN"/>
        </w:rPr>
        <w:t>号）要求，本单位对202</w:t>
      </w:r>
      <w:r>
        <w:rPr>
          <w:rFonts w:hint="eastAsia" w:ascii="仿宋_GB2312" w:hAnsi="仿宋_GB2312" w:cs="仿宋_GB2312"/>
          <w:kern w:val="0"/>
          <w:shd w:val="clear" w:color="auto" w:fill="FFFFFF"/>
          <w:lang w:val="en-US" w:eastAsia="zh-CN"/>
        </w:rPr>
        <w:t>4年416专班工作</w:t>
      </w:r>
      <w:r>
        <w:rPr>
          <w:rFonts w:hint="eastAsia" w:ascii="仿宋_GB2312" w:hAnsi="仿宋_GB2312" w:cs="仿宋_GB2312"/>
          <w:kern w:val="0"/>
          <w:shd w:val="clear" w:color="auto" w:fill="FFFFFF"/>
          <w:lang w:val="zh-CN"/>
        </w:rPr>
        <w:t>项目开展了绩效自评，按照项目完成情况填列了《专项预算项目绩效目标完成情况自评表》，同时根据专项预算项目绩效评价指标体系选择适用的评价指标，形成项目的绩效评价指标体系，根据评价要点和评分方法，对项目绩效实现情况进行打分，形成评价结论，撰写专项预算项目绩效自评报告。</w:t>
      </w:r>
    </w:p>
    <w:p w14:paraId="137AD20C">
      <w:pPr>
        <w:adjustRightInd w:val="0"/>
        <w:snapToGrid w:val="0"/>
        <w:spacing w:line="578" w:lineRule="exact"/>
        <w:ind w:firstLine="640" w:firstLineChars="200"/>
        <w:rPr>
          <w:rFonts w:ascii="黑体" w:hAnsi="宋体" w:eastAsia="黑体"/>
        </w:rPr>
      </w:pPr>
      <w:r>
        <w:rPr>
          <w:rFonts w:hint="eastAsia" w:ascii="黑体" w:hAnsi="宋体" w:eastAsia="黑体"/>
        </w:rPr>
        <w:t>二、评价实施</w:t>
      </w:r>
    </w:p>
    <w:p w14:paraId="4EE3F569">
      <w:pPr>
        <w:spacing w:line="578" w:lineRule="exact"/>
        <w:ind w:firstLine="640"/>
        <w:rPr>
          <w:rFonts w:ascii="楷体_GB2312" w:hAnsi="宋体" w:eastAsia="楷体_GB2312"/>
          <w:b/>
          <w:lang w:val="zh-CN"/>
        </w:rPr>
      </w:pPr>
      <w:r>
        <w:rPr>
          <w:rFonts w:hint="eastAsia" w:ascii="楷体_GB2312" w:hAnsi="宋体" w:eastAsia="楷体_GB2312"/>
          <w:b/>
          <w:lang w:val="zh-CN"/>
        </w:rPr>
        <w:t>（一）评价目的</w:t>
      </w:r>
    </w:p>
    <w:p w14:paraId="623E0BB4">
      <w:pPr>
        <w:spacing w:line="578" w:lineRule="exact"/>
        <w:ind w:firstLine="640"/>
      </w:pPr>
      <w:r>
        <w:rPr>
          <w:rFonts w:hint="eastAsia"/>
        </w:rPr>
        <w:t>项目绩效自评的核心目的是为了了解资金是否达到预期目标、检验资金支出效率和效果，并分析存在的问题和原因，从而有效提高管理水平和资金使用效益。</w:t>
      </w:r>
    </w:p>
    <w:p w14:paraId="427160C0">
      <w:pPr>
        <w:adjustRightInd w:val="0"/>
        <w:snapToGrid w:val="0"/>
        <w:spacing w:line="578" w:lineRule="exact"/>
        <w:ind w:firstLine="643" w:firstLineChars="200"/>
        <w:rPr>
          <w:rFonts w:ascii="楷体_GB2312" w:hAnsi="宋体" w:eastAsia="楷体_GB2312"/>
          <w:b/>
          <w:lang w:val="zh-CN"/>
        </w:rPr>
      </w:pPr>
      <w:r>
        <w:rPr>
          <w:rFonts w:hint="eastAsia" w:ascii="楷体_GB2312" w:hAnsi="宋体" w:eastAsia="楷体_GB2312"/>
          <w:b/>
          <w:lang w:val="zh-CN"/>
        </w:rPr>
        <w:t>（二）预设问题及评价重点</w:t>
      </w:r>
    </w:p>
    <w:p w14:paraId="2B2695D1">
      <w:pPr>
        <w:adjustRightInd w:val="0"/>
        <w:snapToGrid w:val="0"/>
        <w:spacing w:line="578" w:lineRule="exact"/>
        <w:ind w:firstLine="640" w:firstLineChars="200"/>
      </w:pPr>
      <w:r>
        <w:rPr>
          <w:rFonts w:hint="eastAsia"/>
        </w:rPr>
        <w:t>202</w:t>
      </w:r>
      <w:r>
        <w:rPr>
          <w:rFonts w:hint="eastAsia"/>
          <w:lang w:val="en-US" w:eastAsia="zh-CN"/>
        </w:rPr>
        <w:t>4年</w:t>
      </w:r>
      <w:r>
        <w:rPr>
          <w:rFonts w:hint="eastAsia" w:ascii="仿宋_GB2312" w:hAnsi="仿宋_GB2312" w:cs="仿宋_GB2312"/>
          <w:kern w:val="0"/>
          <w:shd w:val="clear" w:color="auto" w:fill="FFFFFF"/>
          <w:lang w:val="en-US" w:eastAsia="zh-CN"/>
        </w:rPr>
        <w:t>416专班工作</w:t>
      </w:r>
      <w:r>
        <w:rPr>
          <w:rFonts w:hint="eastAsia"/>
        </w:rPr>
        <w:t>经费项目资金到位及时，足额拨付，项目资金使用符合国家财经法规和相关财务管理制度，不存在超范围、超标准、超进度使用专项资金和资金损失浪费、长期沉淀、截留、挤占、挪用、虚列支出等情况，项目实施遵守相关法律法规，按预期目标完成，实施结果与绩效目标相匹配。</w:t>
      </w:r>
    </w:p>
    <w:p w14:paraId="6A5F792E">
      <w:pPr>
        <w:adjustRightInd w:val="0"/>
        <w:snapToGrid w:val="0"/>
        <w:spacing w:line="578" w:lineRule="exact"/>
        <w:ind w:firstLine="643" w:firstLineChars="200"/>
        <w:rPr>
          <w:rFonts w:ascii="楷体_GB2312" w:hAnsi="宋体" w:eastAsia="楷体_GB2312"/>
          <w:b/>
          <w:lang w:val="zh-CN"/>
        </w:rPr>
      </w:pPr>
      <w:r>
        <w:rPr>
          <w:rFonts w:hint="eastAsia" w:ascii="楷体_GB2312" w:hAnsi="宋体" w:eastAsia="楷体_GB2312"/>
          <w:b/>
          <w:lang w:val="zh-CN"/>
        </w:rPr>
        <w:t>（三）评价选点</w:t>
      </w:r>
    </w:p>
    <w:p w14:paraId="37A7984F">
      <w:pPr>
        <w:adjustRightInd w:val="0"/>
        <w:snapToGrid w:val="0"/>
        <w:spacing w:line="578" w:lineRule="exact"/>
        <w:ind w:firstLine="640" w:firstLineChars="200"/>
        <w:rPr>
          <w:rFonts w:hint="eastAsia"/>
          <w:lang w:val="zh-CN"/>
        </w:rPr>
      </w:pPr>
      <w:r>
        <w:rPr>
          <w:rFonts w:hint="eastAsia"/>
          <w:lang w:val="zh-CN"/>
        </w:rPr>
        <w:t>本项目不涉及评价选点，此次绩效自评对本单位</w:t>
      </w:r>
      <w:r>
        <w:rPr>
          <w:rFonts w:hint="eastAsia"/>
          <w:lang w:val="en-US" w:eastAsia="zh-CN"/>
        </w:rPr>
        <w:t>2024年</w:t>
      </w:r>
      <w:r>
        <w:rPr>
          <w:rFonts w:hint="eastAsia" w:ascii="仿宋_GB2312" w:hAnsi="仿宋_GB2312" w:cs="仿宋_GB2312"/>
          <w:kern w:val="0"/>
          <w:shd w:val="clear" w:color="auto" w:fill="FFFFFF"/>
          <w:lang w:val="en-US" w:eastAsia="zh-CN"/>
        </w:rPr>
        <w:t>416专班工作</w:t>
      </w:r>
      <w:r>
        <w:rPr>
          <w:rFonts w:hint="eastAsia"/>
          <w:lang w:val="zh-CN"/>
        </w:rPr>
        <w:t>经费项目实施的所有内容进行评价。</w:t>
      </w:r>
    </w:p>
    <w:p w14:paraId="2B05B34D">
      <w:pPr>
        <w:adjustRightInd w:val="0"/>
        <w:snapToGrid w:val="0"/>
        <w:spacing w:line="578" w:lineRule="exact"/>
        <w:ind w:firstLine="643" w:firstLineChars="200"/>
        <w:rPr>
          <w:rFonts w:ascii="楷体_GB2312" w:hAnsi="宋体" w:eastAsia="楷体_GB2312"/>
          <w:b/>
          <w:lang w:val="zh-CN"/>
        </w:rPr>
      </w:pPr>
      <w:r>
        <w:rPr>
          <w:rFonts w:hint="eastAsia" w:ascii="楷体_GB2312" w:hAnsi="宋体" w:eastAsia="楷体_GB2312"/>
          <w:b/>
          <w:lang w:val="zh-CN"/>
        </w:rPr>
        <w:t>（四）评价方法</w:t>
      </w:r>
    </w:p>
    <w:p w14:paraId="529629A8">
      <w:pPr>
        <w:spacing w:line="578" w:lineRule="exact"/>
        <w:ind w:firstLine="640"/>
      </w:pPr>
      <w:r>
        <w:rPr>
          <w:rFonts w:hint="eastAsia"/>
        </w:rPr>
        <w:t>根据项目情况和评价重点，采用单位自评法、实地勘察法、问卷调查法等多种方法对</w:t>
      </w:r>
      <w:r>
        <w:rPr>
          <w:rFonts w:hint="eastAsia"/>
          <w:lang w:val="en-US" w:eastAsia="zh-CN"/>
        </w:rPr>
        <w:t>2024年</w:t>
      </w:r>
      <w:r>
        <w:rPr>
          <w:rFonts w:hint="eastAsia" w:ascii="仿宋_GB2312" w:hAnsi="仿宋_GB2312" w:cs="仿宋_GB2312"/>
          <w:kern w:val="0"/>
          <w:shd w:val="clear" w:color="auto" w:fill="FFFFFF"/>
          <w:lang w:val="en-US" w:eastAsia="zh-CN"/>
        </w:rPr>
        <w:t>416专班工作</w:t>
      </w:r>
      <w:r>
        <w:rPr>
          <w:rFonts w:hint="eastAsia"/>
        </w:rPr>
        <w:t>经费项目绩效完成情况进行评价。</w:t>
      </w:r>
    </w:p>
    <w:p w14:paraId="04FDA7FC">
      <w:pPr>
        <w:spacing w:line="578" w:lineRule="exact"/>
        <w:ind w:firstLine="640"/>
        <w:rPr>
          <w:rFonts w:ascii="楷体_GB2312" w:hAnsi="宋体" w:eastAsia="楷体_GB2312"/>
          <w:b/>
          <w:lang w:val="zh-CN"/>
        </w:rPr>
      </w:pPr>
      <w:r>
        <w:rPr>
          <w:rFonts w:hint="eastAsia" w:ascii="楷体_GB2312" w:hAnsi="宋体" w:eastAsia="楷体_GB2312"/>
          <w:b/>
          <w:lang w:val="zh-CN"/>
        </w:rPr>
        <w:t>（五）评价组织</w:t>
      </w:r>
    </w:p>
    <w:p w14:paraId="7CCF2CBD">
      <w:pPr>
        <w:spacing w:line="578" w:lineRule="exact"/>
        <w:ind w:firstLine="640"/>
        <w:rPr>
          <w:bCs/>
        </w:rPr>
      </w:pPr>
      <w:r>
        <w:rPr>
          <w:rFonts w:hint="eastAsia"/>
        </w:rPr>
        <w:t>评价组人员由项目管理人员和财务人员组成，项目管理人员主要负责对项目决策、项目管理、项目实施、项目结果等涉及指标进行评价；财务人员主要负责对资金用途合规性、程序合规性、标准合规性等涉及指标进行评价。</w:t>
      </w:r>
    </w:p>
    <w:p w14:paraId="14B9C8C4">
      <w:pPr>
        <w:adjustRightInd w:val="0"/>
        <w:snapToGrid w:val="0"/>
        <w:spacing w:line="578" w:lineRule="exact"/>
        <w:ind w:firstLine="640" w:firstLineChars="200"/>
        <w:rPr>
          <w:rFonts w:ascii="仿宋_GB2312" w:hAnsi="宋体"/>
          <w:lang w:val="zh-CN"/>
        </w:rPr>
      </w:pPr>
      <w:r>
        <w:rPr>
          <w:rFonts w:hint="eastAsia" w:ascii="黑体" w:hAnsi="宋体" w:eastAsia="黑体"/>
        </w:rPr>
        <w:t>三、绩效分析</w:t>
      </w:r>
    </w:p>
    <w:p w14:paraId="7C9DC9A6">
      <w:pPr>
        <w:spacing w:line="578" w:lineRule="exact"/>
        <w:ind w:firstLine="640"/>
        <w:rPr>
          <w:rFonts w:ascii="楷体_GB2312" w:hAnsi="宋体" w:eastAsia="楷体_GB2312"/>
          <w:b/>
        </w:rPr>
      </w:pPr>
      <w:r>
        <w:rPr>
          <w:rFonts w:hint="eastAsia" w:ascii="楷体_GB2312" w:hAnsi="宋体" w:eastAsia="楷体_GB2312"/>
          <w:b/>
          <w:lang w:val="zh-CN"/>
        </w:rPr>
        <w:t>（一）</w:t>
      </w:r>
      <w:r>
        <w:rPr>
          <w:rFonts w:hint="eastAsia" w:ascii="楷体_GB2312" w:hAnsi="宋体" w:eastAsia="楷体_GB2312"/>
          <w:b/>
        </w:rPr>
        <w:t>通用指标</w:t>
      </w:r>
      <w:r>
        <w:rPr>
          <w:rFonts w:eastAsia="楷体_GB2312"/>
          <w:b/>
          <w:bCs/>
          <w:color w:val="000000"/>
          <w:kern w:val="0"/>
          <w:shd w:val="clear" w:color="auto" w:fill="FFFFFF"/>
          <w:lang w:val="zh-CN"/>
        </w:rPr>
        <w:t>绩效分析</w:t>
      </w:r>
    </w:p>
    <w:p w14:paraId="6777F84B">
      <w:pPr>
        <w:spacing w:line="578" w:lineRule="exact"/>
        <w:ind w:firstLine="640"/>
      </w:pPr>
      <w:r>
        <w:rPr>
          <w:rFonts w:hint="eastAsia" w:ascii="楷体_GB2312" w:hAnsi="楷体_GB2312" w:eastAsia="楷体_GB2312" w:cs="楷体_GB2312"/>
        </w:rPr>
        <w:t>1.项目决策。</w:t>
      </w:r>
      <w:r>
        <w:rPr>
          <w:rFonts w:hint="eastAsia"/>
          <w:lang w:val="en-US" w:eastAsia="zh-CN"/>
        </w:rPr>
        <w:t>2024年</w:t>
      </w:r>
      <w:r>
        <w:rPr>
          <w:rFonts w:hint="eastAsia" w:ascii="仿宋_GB2312" w:hAnsi="仿宋_GB2312" w:cs="仿宋_GB2312"/>
          <w:kern w:val="0"/>
          <w:shd w:val="clear" w:color="auto" w:fill="FFFFFF"/>
          <w:lang w:val="en-US" w:eastAsia="zh-CN"/>
        </w:rPr>
        <w:t>416专班工作</w:t>
      </w:r>
      <w:r>
        <w:rPr>
          <w:rFonts w:hint="eastAsia"/>
        </w:rPr>
        <w:t>经费项目设立符合资金管理基本规范和决策程序要求，项目决策程序严密；项目规划符合中央、省、市、县有关决策部署安排，项目绩效目标设置科学合理；项目资金与项目总体规划、相关行业事业发展相匹配。</w:t>
      </w:r>
    </w:p>
    <w:p w14:paraId="7B3D5A97">
      <w:pPr>
        <w:spacing w:line="578" w:lineRule="exact"/>
        <w:ind w:firstLine="640"/>
      </w:pPr>
      <w:r>
        <w:rPr>
          <w:rFonts w:hint="eastAsia" w:ascii="楷体_GB2312" w:hAnsi="楷体_GB2312" w:eastAsia="楷体_GB2312" w:cs="楷体_GB2312"/>
        </w:rPr>
        <w:t>2.项目管理。</w:t>
      </w:r>
      <w:r>
        <w:rPr>
          <w:rFonts w:hint="eastAsia"/>
        </w:rPr>
        <w:t>项目制度办法体系健全、要素完备，保障了项目顺利实施；项目管理、审批符合管理要求，能够对项目绩效进行监管。</w:t>
      </w:r>
    </w:p>
    <w:p w14:paraId="15852EE9">
      <w:pPr>
        <w:spacing w:line="578" w:lineRule="exact"/>
        <w:ind w:firstLine="640" w:firstLineChars="200"/>
      </w:pPr>
      <w:r>
        <w:rPr>
          <w:rFonts w:hint="eastAsia" w:ascii="楷体_GB2312" w:hAnsi="楷体_GB2312" w:eastAsia="楷体_GB2312" w:cs="楷体_GB2312"/>
        </w:rPr>
        <w:t>3.项目实施。</w:t>
      </w:r>
      <w:r>
        <w:rPr>
          <w:rFonts w:hint="eastAsia"/>
        </w:rPr>
        <w:t>本项目资金预算申报</w:t>
      </w:r>
      <w:r>
        <w:rPr>
          <w:rFonts w:hint="eastAsia"/>
          <w:lang w:val="en-US" w:eastAsia="zh-CN"/>
        </w:rPr>
        <w:t>18.6</w:t>
      </w:r>
      <w:r>
        <w:rPr>
          <w:rFonts w:hint="eastAsia"/>
        </w:rPr>
        <w:t>万元，实际到位</w:t>
      </w:r>
      <w:r>
        <w:rPr>
          <w:rFonts w:hint="eastAsia"/>
          <w:lang w:val="en-US" w:eastAsia="zh-CN"/>
        </w:rPr>
        <w:t>18.6</w:t>
      </w:r>
      <w:r>
        <w:rPr>
          <w:rFonts w:hint="eastAsia"/>
        </w:rPr>
        <w:t>万元，资金到位率100%；截至202</w:t>
      </w:r>
      <w:r>
        <w:rPr>
          <w:rFonts w:hint="eastAsia"/>
          <w:lang w:val="en-US" w:eastAsia="zh-CN"/>
        </w:rPr>
        <w:t>4</w:t>
      </w:r>
      <w:r>
        <w:rPr>
          <w:rFonts w:hint="eastAsia"/>
        </w:rPr>
        <w:t>年12月31日，本项目实际支出资金</w:t>
      </w:r>
      <w:r>
        <w:rPr>
          <w:rFonts w:hint="eastAsia"/>
          <w:lang w:val="en-US" w:eastAsia="zh-CN"/>
        </w:rPr>
        <w:t>18.6</w:t>
      </w:r>
      <w:r>
        <w:rPr>
          <w:rFonts w:hint="eastAsia"/>
        </w:rPr>
        <w:t>万元，预算执行率100%。</w:t>
      </w:r>
    </w:p>
    <w:p w14:paraId="10B4496F">
      <w:pPr>
        <w:adjustRightInd w:val="0"/>
        <w:snapToGrid w:val="0"/>
        <w:spacing w:line="578" w:lineRule="exact"/>
        <w:ind w:firstLine="640" w:firstLineChars="200"/>
        <w:rPr>
          <w:rFonts w:ascii="仿宋_GB2312" w:hAnsi="仿宋_GB2312" w:cs="仿宋_GB2312"/>
          <w:kern w:val="0"/>
          <w:shd w:val="clear" w:color="auto" w:fill="FFFFFF"/>
          <w:lang w:val="zh-CN"/>
        </w:rPr>
      </w:pPr>
      <w:r>
        <w:rPr>
          <w:rFonts w:hint="eastAsia" w:ascii="楷体_GB2312" w:hAnsi="楷体_GB2312" w:eastAsia="楷体_GB2312" w:cs="楷体_GB2312"/>
        </w:rPr>
        <w:t>4.项目结果。</w:t>
      </w:r>
      <w:r>
        <w:rPr>
          <w:rFonts w:hint="eastAsia"/>
        </w:rPr>
        <w:t>本单位围绕项目绩效目标认真履职，</w:t>
      </w:r>
      <w:r>
        <w:rPr>
          <w:rFonts w:hint="eastAsia"/>
          <w:lang w:val="en-US" w:eastAsia="zh-CN"/>
        </w:rPr>
        <w:t>2024年</w:t>
      </w:r>
      <w:r>
        <w:rPr>
          <w:rFonts w:hint="eastAsia" w:ascii="仿宋_GB2312" w:hAnsi="仿宋_GB2312" w:cs="仿宋_GB2312"/>
          <w:kern w:val="0"/>
          <w:shd w:val="clear" w:color="auto" w:fill="FFFFFF"/>
          <w:lang w:val="en-US" w:eastAsia="zh-CN"/>
        </w:rPr>
        <w:t>416专班工作</w:t>
      </w:r>
      <w:r>
        <w:rPr>
          <w:rFonts w:hint="eastAsia"/>
        </w:rPr>
        <w:t>经费项目按计划实施，完成</w:t>
      </w:r>
      <w:r>
        <w:rPr>
          <w:rFonts w:hint="eastAsia"/>
          <w:lang w:val="en-US" w:eastAsia="zh-CN"/>
        </w:rPr>
        <w:t>打印资料1000份以上，维护电脑设备6台，在1年内完成了各项工作，持续为企业提供服务，企业满意度达90%以上。</w:t>
      </w:r>
    </w:p>
    <w:p w14:paraId="23BD7288">
      <w:pPr>
        <w:spacing w:line="578" w:lineRule="exact"/>
        <w:ind w:firstLine="321" w:firstLineChars="100"/>
        <w:rPr>
          <w:rFonts w:eastAsia="楷体_GB2312"/>
          <w:b/>
          <w:bCs/>
          <w:color w:val="000000"/>
          <w:kern w:val="0"/>
          <w:shd w:val="clear" w:color="auto" w:fill="FFFFFF"/>
          <w:lang w:val="zh-CN"/>
        </w:rPr>
      </w:pPr>
      <w:r>
        <w:rPr>
          <w:rFonts w:hint="eastAsia" w:ascii="楷体_GB2312" w:hAnsi="宋体" w:eastAsia="楷体_GB2312"/>
          <w:b/>
          <w:lang w:val="zh-CN"/>
        </w:rPr>
        <w:t>（二）</w:t>
      </w:r>
      <w:r>
        <w:rPr>
          <w:rFonts w:hint="eastAsia" w:ascii="楷体_GB2312" w:hAnsi="宋体" w:eastAsia="楷体_GB2312"/>
          <w:b/>
        </w:rPr>
        <w:t>专用指标</w:t>
      </w:r>
      <w:r>
        <w:rPr>
          <w:rFonts w:eastAsia="楷体_GB2312"/>
          <w:b/>
          <w:bCs/>
          <w:color w:val="000000"/>
          <w:kern w:val="0"/>
          <w:shd w:val="clear" w:color="auto" w:fill="FFFFFF"/>
          <w:lang w:val="zh-CN"/>
        </w:rPr>
        <w:t>绩效分析</w:t>
      </w:r>
    </w:p>
    <w:p w14:paraId="7EDFCB8D">
      <w:pPr>
        <w:spacing w:line="578" w:lineRule="exact"/>
        <w:ind w:firstLine="640" w:firstLineChars="200"/>
      </w:pPr>
      <w:r>
        <w:rPr>
          <w:rFonts w:hint="eastAsia" w:ascii="楷体_GB2312" w:hAnsi="楷体_GB2312" w:eastAsia="楷体_GB2312" w:cs="楷体_GB2312"/>
          <w:lang w:val="zh-CN"/>
        </w:rPr>
        <w:t>行政运转。</w:t>
      </w:r>
      <w:r>
        <w:rPr>
          <w:rFonts w:hint="eastAsia"/>
          <w:lang w:val="zh-CN"/>
        </w:rPr>
        <w:t>本项目资金均在规定用途、适用范围内进行资金分配，资金管理程序符合专项资金管理要求，资金分配标准符合专项资金管理要求，未发现资金管理和使用过程中不符合专项资金管理要求的情况。</w:t>
      </w:r>
    </w:p>
    <w:p w14:paraId="390C114F">
      <w:pPr>
        <w:spacing w:line="578" w:lineRule="exact"/>
        <w:ind w:firstLine="640"/>
        <w:rPr>
          <w:rFonts w:eastAsia="楷体_GB2312"/>
          <w:b/>
          <w:bCs/>
          <w:color w:val="000000"/>
          <w:kern w:val="0"/>
          <w:shd w:val="clear" w:color="auto" w:fill="FFFFFF"/>
          <w:lang w:val="zh-CN"/>
        </w:rPr>
      </w:pPr>
      <w:r>
        <w:rPr>
          <w:rFonts w:hint="eastAsia" w:ascii="楷体_GB2312" w:hAnsi="宋体" w:eastAsia="楷体_GB2312"/>
          <w:b/>
          <w:lang w:val="zh-CN"/>
        </w:rPr>
        <w:t>（三）</w:t>
      </w:r>
      <w:r>
        <w:rPr>
          <w:rFonts w:hint="eastAsia" w:ascii="楷体_GB2312" w:hAnsi="宋体" w:eastAsia="楷体_GB2312"/>
          <w:b/>
        </w:rPr>
        <w:t>个性指标</w:t>
      </w:r>
      <w:r>
        <w:rPr>
          <w:rFonts w:eastAsia="楷体_GB2312"/>
          <w:b/>
          <w:bCs/>
          <w:color w:val="000000"/>
          <w:kern w:val="0"/>
          <w:shd w:val="clear" w:color="auto" w:fill="FFFFFF"/>
          <w:lang w:val="zh-CN"/>
        </w:rPr>
        <w:t>绩效分析</w:t>
      </w:r>
    </w:p>
    <w:p w14:paraId="1645EB30">
      <w:pPr>
        <w:spacing w:line="578" w:lineRule="exact"/>
        <w:ind w:firstLine="640"/>
        <w:rPr>
          <w:rFonts w:hint="eastAsia"/>
          <w:lang w:val="en-US" w:eastAsia="zh-CN"/>
        </w:rPr>
      </w:pPr>
      <w:r>
        <w:rPr>
          <w:rFonts w:hint="eastAsia"/>
          <w:lang w:val="zh-CN"/>
        </w:rPr>
        <w:t>1.</w:t>
      </w:r>
      <w:r>
        <w:rPr>
          <w:rFonts w:hint="eastAsia"/>
          <w:lang w:val="en-US" w:eastAsia="zh-CN"/>
        </w:rPr>
        <w:t>走访企业次数达50次以上，对全县企业发展情况有了进一步熟悉，方便为领导决策提供有力参考。</w:t>
      </w:r>
    </w:p>
    <w:p w14:paraId="39735E43">
      <w:pPr>
        <w:spacing w:line="578" w:lineRule="exact"/>
        <w:ind w:firstLine="640"/>
        <w:rPr>
          <w:lang w:val="zh-CN"/>
        </w:rPr>
      </w:pPr>
      <w:r>
        <w:rPr>
          <w:rFonts w:hint="eastAsia"/>
          <w:lang w:val="zh-CN"/>
        </w:rPr>
        <w:t>2.促进相关政策落地落实</w:t>
      </w:r>
    </w:p>
    <w:p w14:paraId="223B9DC1">
      <w:pPr>
        <w:spacing w:line="578" w:lineRule="exact"/>
        <w:ind w:firstLine="640"/>
        <w:rPr>
          <w:lang w:val="zh-CN"/>
        </w:rPr>
      </w:pPr>
      <w:r>
        <w:rPr>
          <w:rFonts w:hint="eastAsia"/>
          <w:lang w:val="zh-CN"/>
        </w:rPr>
        <w:t>通过实施该项目，促进相关</w:t>
      </w:r>
      <w:r>
        <w:rPr>
          <w:rFonts w:hint="eastAsia"/>
          <w:lang w:val="en-US" w:eastAsia="zh-CN"/>
        </w:rPr>
        <w:t>企业优惠</w:t>
      </w:r>
      <w:r>
        <w:rPr>
          <w:rFonts w:hint="eastAsia"/>
          <w:lang w:val="zh-CN"/>
        </w:rPr>
        <w:t>政策落地落实</w:t>
      </w:r>
      <w:r>
        <w:rPr>
          <w:rFonts w:hint="eastAsia"/>
          <w:lang w:val="en-US" w:eastAsia="zh-CN"/>
        </w:rPr>
        <w:t>2</w:t>
      </w:r>
      <w:r>
        <w:rPr>
          <w:rFonts w:hint="eastAsia"/>
          <w:lang w:val="zh-CN"/>
        </w:rPr>
        <w:t>类，为</w:t>
      </w:r>
      <w:r>
        <w:rPr>
          <w:rFonts w:hint="eastAsia"/>
          <w:lang w:val="en-US" w:eastAsia="zh-CN"/>
        </w:rPr>
        <w:t>企业发展</w:t>
      </w:r>
      <w:r>
        <w:rPr>
          <w:rFonts w:hint="eastAsia"/>
          <w:lang w:val="zh-CN"/>
        </w:rPr>
        <w:t>提供了</w:t>
      </w:r>
      <w:r>
        <w:rPr>
          <w:rFonts w:hint="eastAsia"/>
          <w:lang w:val="en-US" w:eastAsia="zh-CN"/>
        </w:rPr>
        <w:t>政策支持</w:t>
      </w:r>
      <w:r>
        <w:rPr>
          <w:rFonts w:hint="eastAsia"/>
          <w:lang w:val="zh-CN"/>
        </w:rPr>
        <w:t>。</w:t>
      </w:r>
    </w:p>
    <w:p w14:paraId="1DA74FF1">
      <w:pPr>
        <w:spacing w:line="578" w:lineRule="exact"/>
        <w:ind w:firstLine="640"/>
        <w:rPr>
          <w:rFonts w:hint="default" w:eastAsia="仿宋_GB2312"/>
          <w:lang w:val="en-US" w:eastAsia="zh-CN"/>
        </w:rPr>
      </w:pPr>
      <w:r>
        <w:rPr>
          <w:rFonts w:hint="eastAsia"/>
          <w:lang w:val="zh-CN"/>
        </w:rPr>
        <w:t>3.</w:t>
      </w:r>
      <w:r>
        <w:rPr>
          <w:rFonts w:hint="eastAsia"/>
          <w:lang w:val="en-US" w:eastAsia="zh-CN"/>
        </w:rPr>
        <w:t>企业满意度提升</w:t>
      </w:r>
    </w:p>
    <w:p w14:paraId="65F61A17">
      <w:pPr>
        <w:numPr>
          <w:ilvl w:val="0"/>
          <w:numId w:val="0"/>
        </w:numPr>
        <w:spacing w:line="578" w:lineRule="exact"/>
        <w:ind w:firstLine="640" w:firstLineChars="200"/>
        <w:rPr>
          <w:lang w:val="zh-CN"/>
        </w:rPr>
      </w:pPr>
      <w:r>
        <w:rPr>
          <w:rFonts w:hint="eastAsia"/>
          <w:lang w:val="zh-CN"/>
        </w:rPr>
        <w:t>通过实施该项目，</w:t>
      </w:r>
      <w:r>
        <w:rPr>
          <w:rFonts w:hint="eastAsia"/>
          <w:lang w:val="en-US" w:eastAsia="zh-CN"/>
        </w:rPr>
        <w:t>企业发展得到进一步支持</w:t>
      </w:r>
      <w:r>
        <w:rPr>
          <w:rFonts w:hint="eastAsia"/>
          <w:lang w:val="zh-CN"/>
        </w:rPr>
        <w:t>，</w:t>
      </w:r>
      <w:r>
        <w:rPr>
          <w:rFonts w:hint="eastAsia"/>
          <w:lang w:val="en-US" w:eastAsia="zh-CN"/>
        </w:rPr>
        <w:t>对政府满意度有效</w:t>
      </w:r>
      <w:r>
        <w:rPr>
          <w:rFonts w:hint="eastAsia"/>
          <w:lang w:val="zh-CN"/>
        </w:rPr>
        <w:t>提升。</w:t>
      </w:r>
    </w:p>
    <w:p w14:paraId="17E5ECDB">
      <w:pPr>
        <w:pStyle w:val="12"/>
        <w:keepNext w:val="0"/>
        <w:keepLines w:val="0"/>
        <w:pageBreakBefore w:val="0"/>
        <w:widowControl w:val="0"/>
        <w:numPr>
          <w:ilvl w:val="0"/>
          <w:numId w:val="4"/>
        </w:numPr>
        <w:tabs>
          <w:tab w:val="left" w:pos="2160"/>
        </w:tabs>
        <w:kinsoku/>
        <w:wordWrap/>
        <w:overflowPunct/>
        <w:topLinePunct w:val="0"/>
        <w:autoSpaceDE/>
        <w:autoSpaceDN/>
        <w:bidi w:val="0"/>
        <w:adjustRightInd/>
        <w:snapToGrid/>
        <w:spacing w:line="600" w:lineRule="exact"/>
        <w:ind w:firstLine="640" w:firstLineChars="200"/>
        <w:textAlignment w:val="auto"/>
        <w:rPr>
          <w:rFonts w:hint="eastAsia" w:ascii="黑体" w:hAnsi="宋体"/>
          <w:sz w:val="32"/>
          <w:szCs w:val="32"/>
          <w:lang w:eastAsia="zh-CN"/>
        </w:rPr>
      </w:pPr>
      <w:r>
        <w:rPr>
          <w:rFonts w:hint="eastAsia" w:ascii="黑体" w:hAnsi="宋体"/>
          <w:sz w:val="32"/>
          <w:szCs w:val="32"/>
          <w:lang w:eastAsia="zh-CN"/>
        </w:rPr>
        <w:t>评价结论</w:t>
      </w:r>
    </w:p>
    <w:p w14:paraId="47C784D6">
      <w:pPr>
        <w:pStyle w:val="12"/>
        <w:keepNext w:val="0"/>
        <w:keepLines w:val="0"/>
        <w:pageBreakBefore w:val="0"/>
        <w:widowControl w:val="0"/>
        <w:numPr>
          <w:ilvl w:val="0"/>
          <w:numId w:val="0"/>
        </w:numPr>
        <w:tabs>
          <w:tab w:val="left" w:pos="2160"/>
        </w:tabs>
        <w:kinsoku/>
        <w:wordWrap/>
        <w:overflowPunct/>
        <w:topLinePunct w:val="0"/>
        <w:autoSpaceDE/>
        <w:autoSpaceDN/>
        <w:bidi w:val="0"/>
        <w:adjustRightInd/>
        <w:snapToGrid/>
        <w:spacing w:line="600" w:lineRule="exact"/>
        <w:ind w:firstLine="640" w:firstLineChars="200"/>
        <w:textAlignment w:val="auto"/>
        <w:rPr>
          <w:rFonts w:ascii="黑体" w:hAnsi="黑体" w:cs="黑体"/>
          <w:kern w:val="2"/>
          <w:position w:val="0"/>
          <w:sz w:val="32"/>
          <w:szCs w:val="32"/>
          <w:lang w:eastAsia="zh-CN"/>
        </w:rPr>
      </w:pPr>
      <w:r>
        <w:rPr>
          <w:rFonts w:hint="eastAsia" w:ascii="仿宋_GB2312" w:hAnsi="仿宋_GB2312" w:eastAsia="仿宋_GB2312" w:cs="仿宋_GB2312"/>
          <w:position w:val="0"/>
          <w:sz w:val="32"/>
          <w:szCs w:val="32"/>
          <w:lang w:val="en-US" w:eastAsia="zh-CN"/>
        </w:rPr>
        <w:t>2024年416专班工作</w:t>
      </w:r>
      <w:r>
        <w:rPr>
          <w:rFonts w:hint="eastAsia" w:ascii="仿宋_GB2312" w:hAnsi="仿宋_GB2312" w:eastAsia="仿宋_GB2312" w:cs="仿宋_GB2312"/>
          <w:position w:val="0"/>
          <w:sz w:val="32"/>
          <w:szCs w:val="32"/>
          <w:lang w:eastAsia="zh-CN"/>
        </w:rPr>
        <w:t>经费项目决策依据充分，目标明确；项目实施过程资金管理科学，财务控制和业务控制规范；项目绩效目标完成情况达到预期效果，绩效自评得分为</w:t>
      </w:r>
      <w:r>
        <w:rPr>
          <w:rFonts w:hint="eastAsia" w:ascii="仿宋_GB2312" w:hAnsi="仿宋_GB2312" w:eastAsia="仿宋_GB2312" w:cs="仿宋_GB2312"/>
          <w:position w:val="0"/>
          <w:sz w:val="32"/>
          <w:szCs w:val="32"/>
          <w:lang w:val="en-US" w:eastAsia="zh-CN"/>
        </w:rPr>
        <w:t>100</w:t>
      </w:r>
      <w:r>
        <w:rPr>
          <w:rFonts w:hint="eastAsia" w:ascii="仿宋_GB2312" w:hAnsi="仿宋_GB2312" w:eastAsia="仿宋_GB2312" w:cs="仿宋_GB2312"/>
          <w:position w:val="0"/>
          <w:sz w:val="32"/>
          <w:szCs w:val="32"/>
          <w:lang w:eastAsia="zh-CN"/>
        </w:rPr>
        <w:t>分</w:t>
      </w:r>
      <w:r>
        <w:rPr>
          <w:rFonts w:hint="eastAsia" w:ascii="仿宋_GB2312" w:hAnsi="仿宋_GB2312" w:eastAsia="仿宋_GB2312" w:cs="仿宋_GB2312"/>
          <w:sz w:val="32"/>
          <w:szCs w:val="32"/>
          <w:lang w:val="zh-CN" w:eastAsia="zh-CN"/>
        </w:rPr>
        <w:t>。</w:t>
      </w:r>
    </w:p>
    <w:p w14:paraId="325BD7E1">
      <w:pPr>
        <w:pStyle w:val="12"/>
        <w:tabs>
          <w:tab w:val="left" w:pos="2160"/>
        </w:tabs>
        <w:spacing w:line="600" w:lineRule="exact"/>
        <w:ind w:firstLine="640" w:firstLineChars="200"/>
        <w:rPr>
          <w:rFonts w:ascii="黑体" w:hAnsi="宋体"/>
          <w:sz w:val="32"/>
          <w:szCs w:val="32"/>
          <w:lang w:eastAsia="zh-CN"/>
        </w:rPr>
      </w:pPr>
      <w:r>
        <w:rPr>
          <w:rFonts w:hint="eastAsia" w:ascii="黑体" w:hAnsi="宋体"/>
          <w:sz w:val="32"/>
          <w:szCs w:val="32"/>
          <w:lang w:eastAsia="zh-CN"/>
        </w:rPr>
        <w:t>五、存在主要问题</w:t>
      </w:r>
    </w:p>
    <w:p w14:paraId="08FBD708">
      <w:pPr>
        <w:pStyle w:val="12"/>
        <w:tabs>
          <w:tab w:val="left" w:pos="2160"/>
        </w:tabs>
        <w:spacing w:line="600" w:lineRule="exact"/>
        <w:ind w:firstLine="640" w:firstLineChars="200"/>
        <w:rPr>
          <w:rFonts w:ascii="黑体" w:hAnsi="黑体" w:cs="黑体"/>
          <w:kern w:val="2"/>
          <w:position w:val="0"/>
          <w:sz w:val="32"/>
          <w:szCs w:val="32"/>
          <w:lang w:eastAsia="zh-CN"/>
        </w:rPr>
      </w:pPr>
      <w:r>
        <w:rPr>
          <w:rFonts w:hint="eastAsia" w:ascii="仿宋_GB2312" w:hAnsi="仿宋_GB2312" w:eastAsia="仿宋_GB2312" w:cs="仿宋_GB2312"/>
          <w:position w:val="0"/>
          <w:sz w:val="32"/>
          <w:szCs w:val="32"/>
          <w:lang w:eastAsia="zh-CN"/>
        </w:rPr>
        <w:t>无。</w:t>
      </w:r>
    </w:p>
    <w:p w14:paraId="283F5331">
      <w:pPr>
        <w:pStyle w:val="12"/>
        <w:tabs>
          <w:tab w:val="left" w:pos="2160"/>
        </w:tabs>
        <w:spacing w:line="600" w:lineRule="exact"/>
        <w:ind w:firstLine="640" w:firstLineChars="200"/>
        <w:rPr>
          <w:rFonts w:ascii="黑体" w:hAnsi="宋体"/>
          <w:sz w:val="32"/>
          <w:szCs w:val="32"/>
          <w:lang w:val="zh-CN" w:eastAsia="zh-CN"/>
        </w:rPr>
      </w:pPr>
      <w:r>
        <w:rPr>
          <w:rFonts w:hint="eastAsia" w:ascii="黑体" w:hAnsi="宋体"/>
          <w:sz w:val="32"/>
          <w:szCs w:val="32"/>
          <w:lang w:val="zh-CN" w:eastAsia="zh-CN"/>
        </w:rPr>
        <w:t>六、改进建议</w:t>
      </w:r>
    </w:p>
    <w:p w14:paraId="3EC7DE69">
      <w:pPr>
        <w:pStyle w:val="12"/>
        <w:tabs>
          <w:tab w:val="left" w:pos="2160"/>
        </w:tabs>
        <w:spacing w:line="600" w:lineRule="exact"/>
        <w:ind w:firstLine="640" w:firstLineChars="200"/>
        <w:rPr>
          <w:rFonts w:hint="eastAsia" w:ascii="仿宋_GB2312" w:hAnsi="仿宋_GB2312" w:eastAsia="仿宋_GB2312" w:cs="仿宋_GB2312"/>
          <w:position w:val="0"/>
          <w:sz w:val="32"/>
          <w:szCs w:val="32"/>
          <w:lang w:eastAsia="zh-CN"/>
        </w:rPr>
      </w:pPr>
      <w:r>
        <w:rPr>
          <w:rFonts w:hint="eastAsia" w:ascii="仿宋_GB2312" w:hAnsi="仿宋_GB2312" w:eastAsia="仿宋_GB2312" w:cs="仿宋_GB2312"/>
          <w:position w:val="0"/>
          <w:sz w:val="32"/>
          <w:szCs w:val="32"/>
          <w:lang w:eastAsia="zh-CN"/>
        </w:rPr>
        <w:t>无。</w:t>
      </w:r>
    </w:p>
    <w:tbl>
      <w:tblPr>
        <w:tblStyle w:val="22"/>
        <w:tblW w:w="5000" w:type="pct"/>
        <w:jc w:val="center"/>
        <w:tblLayout w:type="autofit"/>
        <w:tblCellMar>
          <w:top w:w="15" w:type="dxa"/>
          <w:left w:w="15" w:type="dxa"/>
          <w:bottom w:w="15" w:type="dxa"/>
          <w:right w:w="15" w:type="dxa"/>
        </w:tblCellMar>
      </w:tblPr>
      <w:tblGrid>
        <w:gridCol w:w="563"/>
        <w:gridCol w:w="941"/>
        <w:gridCol w:w="1083"/>
        <w:gridCol w:w="1140"/>
        <w:gridCol w:w="976"/>
        <w:gridCol w:w="841"/>
        <w:gridCol w:w="921"/>
        <w:gridCol w:w="809"/>
        <w:gridCol w:w="1601"/>
      </w:tblGrid>
      <w:tr w14:paraId="69D1B965">
        <w:tblPrEx>
          <w:tblCellMar>
            <w:top w:w="15" w:type="dxa"/>
            <w:left w:w="15" w:type="dxa"/>
            <w:bottom w:w="15" w:type="dxa"/>
            <w:right w:w="15" w:type="dxa"/>
          </w:tblCellMar>
        </w:tblPrEx>
        <w:trPr>
          <w:trHeight w:val="576" w:hRule="atLeast"/>
          <w:jc w:val="center"/>
        </w:trPr>
        <w:tc>
          <w:tcPr>
            <w:tcW w:w="5000" w:type="pct"/>
            <w:gridSpan w:val="9"/>
            <w:shd w:val="clear" w:color="auto" w:fill="auto"/>
            <w:vAlign w:val="center"/>
          </w:tcPr>
          <w:p w14:paraId="2730D0C3">
            <w:pPr>
              <w:snapToGrid w:val="0"/>
              <w:spacing w:line="578" w:lineRule="exact"/>
              <w:ind w:firstLine="640" w:firstLineChars="200"/>
              <w:rPr>
                <w:rFonts w:hint="eastAsia" w:ascii="方正仿宋_GBK" w:hAnsi="方正仿宋_GBK" w:eastAsia="方正仿宋_GBK" w:cs="方正仿宋_GBK"/>
                <w:color w:val="000000"/>
                <w:kern w:val="0"/>
                <w:sz w:val="32"/>
                <w:szCs w:val="32"/>
                <w:shd w:val="clear" w:color="auto" w:fill="FFFFFF"/>
              </w:rPr>
            </w:pPr>
          </w:p>
          <w:p w14:paraId="4BF1C4CE">
            <w:pPr>
              <w:widowControl/>
              <w:spacing w:line="600" w:lineRule="exact"/>
              <w:jc w:val="left"/>
              <w:textAlignment w:val="center"/>
              <w:rPr>
                <w:rFonts w:hint="eastAsia" w:ascii="方正仿宋_GBK" w:hAnsi="方正仿宋_GBK" w:eastAsia="方正仿宋_GBK" w:cs="方正仿宋_GBK"/>
                <w:color w:val="000000"/>
                <w:kern w:val="0"/>
                <w:sz w:val="32"/>
                <w:szCs w:val="32"/>
                <w:shd w:val="clear" w:color="auto" w:fill="FFFFFF"/>
                <w:lang w:val="en-US" w:eastAsia="zh-CN"/>
              </w:rPr>
            </w:pPr>
          </w:p>
          <w:p w14:paraId="4031C24F">
            <w:pPr>
              <w:widowControl/>
              <w:spacing w:line="600" w:lineRule="exact"/>
              <w:ind w:firstLine="960" w:firstLineChars="300"/>
              <w:jc w:val="both"/>
              <w:textAlignment w:val="center"/>
              <w:rPr>
                <w:rFonts w:hint="eastAsia" w:ascii="方正仿宋_GBK" w:hAnsi="方正仿宋_GBK" w:eastAsia="方正仿宋_GBK" w:cs="方正仿宋_GBK"/>
                <w:color w:val="000000"/>
                <w:kern w:val="0"/>
                <w:sz w:val="32"/>
                <w:szCs w:val="32"/>
                <w:lang w:bidi="ar"/>
              </w:rPr>
            </w:pPr>
          </w:p>
          <w:p w14:paraId="6BD8426F">
            <w:pPr>
              <w:widowControl/>
              <w:spacing w:line="600" w:lineRule="exact"/>
              <w:ind w:firstLine="880" w:firstLineChars="200"/>
              <w:jc w:val="both"/>
              <w:textAlignment w:val="center"/>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kern w:val="0"/>
                <w:sz w:val="44"/>
                <w:szCs w:val="44"/>
                <w:lang w:bidi="ar"/>
              </w:rPr>
              <w:t>专项预算项目绩效目标完成情况自评表</w:t>
            </w:r>
          </w:p>
        </w:tc>
      </w:tr>
      <w:tr w14:paraId="0A0AEF46">
        <w:tblPrEx>
          <w:tblCellMar>
            <w:top w:w="15" w:type="dxa"/>
            <w:left w:w="15" w:type="dxa"/>
            <w:bottom w:w="15" w:type="dxa"/>
            <w:right w:w="15" w:type="dxa"/>
          </w:tblCellMar>
        </w:tblPrEx>
        <w:trPr>
          <w:trHeight w:val="23" w:hRule="atLeast"/>
          <w:jc w:val="center"/>
        </w:trPr>
        <w:tc>
          <w:tcPr>
            <w:tcW w:w="2099"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F634201">
            <w:pPr>
              <w:widowControl/>
              <w:spacing w:line="300" w:lineRule="exact"/>
              <w:jc w:val="left"/>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项目名称</w:t>
            </w:r>
          </w:p>
        </w:tc>
        <w:tc>
          <w:tcPr>
            <w:tcW w:w="290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9158502">
            <w:pPr>
              <w:spacing w:line="300" w:lineRule="exact"/>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rPr>
              <w:t>202</w:t>
            </w:r>
            <w:r>
              <w:rPr>
                <w:rFonts w:hint="eastAsia" w:ascii="宋体" w:hAnsi="宋体" w:eastAsia="宋体" w:cs="宋体"/>
                <w:color w:val="000000"/>
                <w:sz w:val="24"/>
                <w:szCs w:val="24"/>
                <w:lang w:val="en-US" w:eastAsia="zh-CN"/>
              </w:rPr>
              <w:t>4年416专班工作经费</w:t>
            </w:r>
          </w:p>
        </w:tc>
      </w:tr>
      <w:tr w14:paraId="0159A296">
        <w:tblPrEx>
          <w:tblCellMar>
            <w:top w:w="15" w:type="dxa"/>
            <w:left w:w="15" w:type="dxa"/>
            <w:bottom w:w="15" w:type="dxa"/>
            <w:right w:w="15" w:type="dxa"/>
          </w:tblCellMar>
        </w:tblPrEx>
        <w:trPr>
          <w:trHeight w:val="23" w:hRule="atLeast"/>
          <w:jc w:val="center"/>
        </w:trPr>
        <w:tc>
          <w:tcPr>
            <w:tcW w:w="2099"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D8CB3B1">
            <w:pPr>
              <w:widowControl/>
              <w:spacing w:line="300" w:lineRule="exact"/>
              <w:jc w:val="left"/>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预算单位</w:t>
            </w:r>
          </w:p>
        </w:tc>
        <w:tc>
          <w:tcPr>
            <w:tcW w:w="290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C28A81A">
            <w:pPr>
              <w:spacing w:line="300" w:lineRule="exact"/>
              <w:rPr>
                <w:rFonts w:ascii="宋体" w:hAnsi="宋体" w:eastAsia="宋体" w:cs="宋体"/>
                <w:color w:val="000000"/>
                <w:sz w:val="24"/>
                <w:szCs w:val="24"/>
              </w:rPr>
            </w:pPr>
            <w:r>
              <w:rPr>
                <w:rFonts w:hint="eastAsia" w:ascii="宋体" w:hAnsi="宋体" w:eastAsia="宋体" w:cs="宋体"/>
                <w:color w:val="000000"/>
                <w:sz w:val="24"/>
                <w:szCs w:val="24"/>
                <w:lang w:val="en-US" w:eastAsia="zh-CN"/>
              </w:rPr>
              <w:t>渠县人民政府</w:t>
            </w:r>
            <w:r>
              <w:rPr>
                <w:rFonts w:hint="eastAsia" w:ascii="宋体" w:hAnsi="宋体" w:eastAsia="宋体" w:cs="宋体"/>
                <w:color w:val="000000"/>
                <w:sz w:val="24"/>
                <w:szCs w:val="24"/>
              </w:rPr>
              <w:t>办公室</w:t>
            </w:r>
          </w:p>
        </w:tc>
      </w:tr>
      <w:tr w14:paraId="1B80AAEB">
        <w:tblPrEx>
          <w:tblCellMar>
            <w:top w:w="15" w:type="dxa"/>
            <w:left w:w="15" w:type="dxa"/>
            <w:bottom w:w="15" w:type="dxa"/>
            <w:right w:w="15" w:type="dxa"/>
          </w:tblCellMar>
        </w:tblPrEx>
        <w:trPr>
          <w:trHeight w:val="23" w:hRule="atLeast"/>
          <w:jc w:val="center"/>
        </w:trPr>
        <w:tc>
          <w:tcPr>
            <w:tcW w:w="2099"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E5FEE70">
            <w:pPr>
              <w:widowControl/>
              <w:spacing w:line="300" w:lineRule="exact"/>
              <w:jc w:val="left"/>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项目类型</w:t>
            </w:r>
          </w:p>
        </w:tc>
        <w:tc>
          <w:tcPr>
            <w:tcW w:w="290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61D8DAB">
            <w:pPr>
              <w:spacing w:line="300" w:lineRule="exact"/>
              <w:jc w:val="left"/>
              <w:rPr>
                <w:rFonts w:ascii="宋体" w:hAnsi="宋体" w:eastAsia="宋体" w:cs="宋体"/>
                <w:color w:val="000000"/>
                <w:sz w:val="24"/>
                <w:szCs w:val="24"/>
              </w:rPr>
            </w:pPr>
          </w:p>
        </w:tc>
      </w:tr>
      <w:tr w14:paraId="3DFBA5C7">
        <w:tblPrEx>
          <w:tblCellMar>
            <w:top w:w="15" w:type="dxa"/>
            <w:left w:w="15" w:type="dxa"/>
            <w:bottom w:w="15" w:type="dxa"/>
            <w:right w:w="15" w:type="dxa"/>
          </w:tblCellMar>
        </w:tblPrEx>
        <w:trPr>
          <w:trHeight w:val="23" w:hRule="atLeast"/>
          <w:jc w:val="center"/>
        </w:trPr>
        <w:tc>
          <w:tcPr>
            <w:tcW w:w="31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5A810C">
            <w:pPr>
              <w:widowControl/>
              <w:spacing w:line="30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项目 概况</w:t>
            </w:r>
          </w:p>
        </w:tc>
        <w:tc>
          <w:tcPr>
            <w:tcW w:w="178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CDD4509">
            <w:pPr>
              <w:widowControl/>
              <w:spacing w:line="300" w:lineRule="exact"/>
              <w:jc w:val="left"/>
              <w:textAlignment w:val="center"/>
              <w:rPr>
                <w:rFonts w:ascii="宋体" w:hAnsi="宋体" w:eastAsia="宋体" w:cs="宋体"/>
                <w:color w:val="000000"/>
                <w:kern w:val="0"/>
                <w:sz w:val="24"/>
                <w:szCs w:val="24"/>
                <w:lang w:bidi="ar"/>
              </w:rPr>
            </w:pPr>
            <w:r>
              <w:rPr>
                <w:rFonts w:ascii="宋体" w:hAnsi="宋体" w:eastAsia="宋体" w:cs="宋体"/>
                <w:color w:val="000000"/>
                <w:kern w:val="0"/>
                <w:sz w:val="24"/>
                <w:szCs w:val="24"/>
                <w:lang w:bidi="ar"/>
              </w:rPr>
              <w:t>中长期规划（名称、文号，仅指常年项目）</w:t>
            </w:r>
          </w:p>
        </w:tc>
        <w:tc>
          <w:tcPr>
            <w:tcW w:w="290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657F31D">
            <w:pPr>
              <w:spacing w:line="300" w:lineRule="exact"/>
              <w:jc w:val="left"/>
              <w:rPr>
                <w:rFonts w:ascii="宋体" w:hAnsi="宋体" w:eastAsia="宋体" w:cs="宋体"/>
                <w:color w:val="000000"/>
                <w:sz w:val="24"/>
                <w:szCs w:val="24"/>
              </w:rPr>
            </w:pPr>
          </w:p>
        </w:tc>
      </w:tr>
      <w:tr w14:paraId="7F3815C5">
        <w:tblPrEx>
          <w:tblCellMar>
            <w:top w:w="15" w:type="dxa"/>
            <w:left w:w="15" w:type="dxa"/>
            <w:bottom w:w="15" w:type="dxa"/>
            <w:right w:w="15" w:type="dxa"/>
          </w:tblCellMar>
        </w:tblPrEx>
        <w:trPr>
          <w:trHeight w:val="23" w:hRule="atLeast"/>
          <w:jc w:val="center"/>
        </w:trPr>
        <w:tc>
          <w:tcPr>
            <w:tcW w:w="3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8BCDA5">
            <w:pPr>
              <w:spacing w:line="300" w:lineRule="exact"/>
              <w:rPr>
                <w:rFonts w:ascii="宋体" w:hAnsi="宋体" w:eastAsia="宋体" w:cs="宋体"/>
                <w:color w:val="000000"/>
                <w:sz w:val="24"/>
                <w:szCs w:val="24"/>
              </w:rPr>
            </w:pPr>
          </w:p>
        </w:tc>
        <w:tc>
          <w:tcPr>
            <w:tcW w:w="178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E0DD01F">
            <w:pPr>
              <w:widowControl/>
              <w:spacing w:line="300" w:lineRule="exact"/>
              <w:jc w:val="left"/>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资金管理办法（名称、文号）</w:t>
            </w:r>
          </w:p>
        </w:tc>
        <w:tc>
          <w:tcPr>
            <w:tcW w:w="290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9CC1A9A">
            <w:pPr>
              <w:spacing w:line="300" w:lineRule="exact"/>
              <w:jc w:val="left"/>
              <w:rPr>
                <w:rFonts w:ascii="宋体" w:hAnsi="宋体" w:eastAsia="宋体" w:cs="宋体"/>
                <w:color w:val="000000"/>
                <w:sz w:val="24"/>
                <w:szCs w:val="24"/>
              </w:rPr>
            </w:pPr>
          </w:p>
        </w:tc>
      </w:tr>
      <w:tr w14:paraId="09B2A211">
        <w:tblPrEx>
          <w:tblCellMar>
            <w:top w:w="15" w:type="dxa"/>
            <w:left w:w="15" w:type="dxa"/>
            <w:bottom w:w="15" w:type="dxa"/>
            <w:right w:w="15" w:type="dxa"/>
          </w:tblCellMar>
        </w:tblPrEx>
        <w:trPr>
          <w:trHeight w:val="23" w:hRule="atLeast"/>
          <w:jc w:val="center"/>
        </w:trPr>
        <w:tc>
          <w:tcPr>
            <w:tcW w:w="3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D0025F">
            <w:pPr>
              <w:spacing w:line="300" w:lineRule="exact"/>
              <w:rPr>
                <w:rFonts w:ascii="宋体" w:hAnsi="宋体" w:eastAsia="宋体" w:cs="宋体"/>
                <w:color w:val="000000"/>
                <w:sz w:val="24"/>
                <w:szCs w:val="24"/>
              </w:rPr>
            </w:pPr>
          </w:p>
        </w:tc>
        <w:tc>
          <w:tcPr>
            <w:tcW w:w="178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0D071BA">
            <w:pPr>
              <w:widowControl/>
              <w:spacing w:line="300" w:lineRule="exact"/>
              <w:jc w:val="left"/>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绩效分配方式</w:t>
            </w:r>
          </w:p>
        </w:tc>
        <w:tc>
          <w:tcPr>
            <w:tcW w:w="5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09413F">
            <w:pPr>
              <w:widowControl/>
              <w:spacing w:line="300" w:lineRule="exact"/>
              <w:jc w:val="left"/>
              <w:textAlignment w:val="center"/>
              <w:rPr>
                <w:rFonts w:ascii="Wingdings 2" w:hAnsi="Wingdings 2" w:eastAsia="Wingdings 2" w:cs="Wingdings 2"/>
                <w:color w:val="000000"/>
                <w:sz w:val="24"/>
                <w:szCs w:val="24"/>
              </w:rPr>
            </w:pPr>
            <w:r>
              <w:rPr>
                <w:rFonts w:ascii="Wingdings 2" w:hAnsi="Wingdings 2" w:eastAsia="Wingdings 2" w:cs="Wingdings 2"/>
                <w:color w:val="000000"/>
                <w:kern w:val="0"/>
                <w:sz w:val="24"/>
                <w:szCs w:val="24"/>
                <w:lang w:bidi="ar"/>
              </w:rPr>
              <w:t>£</w:t>
            </w:r>
            <w:r>
              <w:rPr>
                <w:rFonts w:ascii="宋体" w:hAnsi="宋体" w:eastAsia="宋体" w:cs="宋体"/>
                <w:color w:val="000000"/>
                <w:kern w:val="0"/>
                <w:sz w:val="24"/>
                <w:szCs w:val="24"/>
                <w:lang w:bidi="ar"/>
              </w:rPr>
              <w:t>因素法</w:t>
            </w:r>
          </w:p>
        </w:tc>
        <w:tc>
          <w:tcPr>
            <w:tcW w:w="99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502716">
            <w:pPr>
              <w:widowControl/>
              <w:spacing w:line="300" w:lineRule="exact"/>
              <w:jc w:val="center"/>
              <w:textAlignment w:val="center"/>
              <w:rPr>
                <w:rFonts w:ascii="Wingdings 2" w:hAnsi="Wingdings 2" w:eastAsia="Wingdings 2" w:cs="Wingdings 2"/>
                <w:color w:val="000000"/>
                <w:sz w:val="24"/>
                <w:szCs w:val="24"/>
              </w:rPr>
            </w:pPr>
            <w:r>
              <w:rPr>
                <w:rFonts w:ascii="Wingdings 2" w:hAnsi="Wingdings 2" w:eastAsia="Wingdings 2" w:cs="Wingdings 2"/>
                <w:color w:val="000000"/>
                <w:kern w:val="0"/>
                <w:sz w:val="24"/>
                <w:szCs w:val="24"/>
                <w:lang w:bidi="ar"/>
              </w:rPr>
              <w:t>£项目法</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36F84D">
            <w:pPr>
              <w:widowControl/>
              <w:spacing w:line="300" w:lineRule="exact"/>
              <w:jc w:val="center"/>
              <w:textAlignment w:val="center"/>
              <w:rPr>
                <w:rFonts w:ascii="Wingdings 2" w:hAnsi="Wingdings 2" w:eastAsia="Wingdings 2" w:cs="Wingdings 2"/>
                <w:color w:val="000000"/>
                <w:sz w:val="24"/>
                <w:szCs w:val="24"/>
              </w:rPr>
            </w:pPr>
            <w:r>
              <w:rPr>
                <w:rFonts w:ascii="Wingdings 2" w:hAnsi="Wingdings 2" w:eastAsia="Wingdings 2" w:cs="Wingdings 2"/>
                <w:color w:val="000000"/>
                <w:kern w:val="0"/>
                <w:sz w:val="24"/>
                <w:szCs w:val="24"/>
                <w:lang w:bidi="ar"/>
              </w:rPr>
              <w:sym w:font="Wingdings 2" w:char="0052"/>
            </w:r>
            <w:r>
              <w:rPr>
                <w:rFonts w:ascii="宋体" w:hAnsi="宋体" w:eastAsia="宋体" w:cs="宋体"/>
                <w:color w:val="000000"/>
                <w:kern w:val="0"/>
                <w:sz w:val="24"/>
                <w:szCs w:val="24"/>
                <w:lang w:bidi="ar"/>
              </w:rPr>
              <w:t>据实据效</w:t>
            </w: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A8D4E7">
            <w:pPr>
              <w:widowControl/>
              <w:spacing w:line="300" w:lineRule="exact"/>
              <w:jc w:val="center"/>
              <w:textAlignment w:val="center"/>
              <w:rPr>
                <w:rFonts w:ascii="Wingdings 2" w:hAnsi="Wingdings 2" w:eastAsia="Wingdings 2" w:cs="Wingdings 2"/>
                <w:color w:val="000000"/>
                <w:sz w:val="24"/>
                <w:szCs w:val="24"/>
              </w:rPr>
            </w:pPr>
            <w:r>
              <w:rPr>
                <w:rFonts w:ascii="Wingdings 2" w:hAnsi="Wingdings 2" w:eastAsia="Wingdings 2" w:cs="Wingdings 2"/>
                <w:color w:val="000000"/>
                <w:kern w:val="0"/>
                <w:sz w:val="24"/>
                <w:szCs w:val="24"/>
                <w:lang w:bidi="ar"/>
              </w:rPr>
              <w:t>£</w:t>
            </w:r>
            <w:r>
              <w:rPr>
                <w:rFonts w:ascii="宋体" w:hAnsi="宋体" w:eastAsia="宋体" w:cs="宋体"/>
                <w:color w:val="000000"/>
                <w:kern w:val="0"/>
                <w:sz w:val="24"/>
                <w:szCs w:val="24"/>
                <w:lang w:bidi="ar"/>
              </w:rPr>
              <w:t>因素法与项目法相结合</w:t>
            </w:r>
          </w:p>
        </w:tc>
      </w:tr>
      <w:tr w14:paraId="356C1BEF">
        <w:tblPrEx>
          <w:tblCellMar>
            <w:top w:w="15" w:type="dxa"/>
            <w:left w:w="15" w:type="dxa"/>
            <w:bottom w:w="15" w:type="dxa"/>
            <w:right w:w="15" w:type="dxa"/>
          </w:tblCellMar>
        </w:tblPrEx>
        <w:trPr>
          <w:trHeight w:val="23" w:hRule="atLeast"/>
          <w:jc w:val="center"/>
        </w:trPr>
        <w:tc>
          <w:tcPr>
            <w:tcW w:w="3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E3660B">
            <w:pPr>
              <w:spacing w:line="300" w:lineRule="exact"/>
              <w:rPr>
                <w:rFonts w:ascii="宋体" w:hAnsi="宋体" w:eastAsia="宋体" w:cs="宋体"/>
                <w:color w:val="000000"/>
                <w:sz w:val="24"/>
                <w:szCs w:val="24"/>
              </w:rPr>
            </w:pPr>
          </w:p>
        </w:tc>
        <w:tc>
          <w:tcPr>
            <w:tcW w:w="178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CBD81C2">
            <w:pPr>
              <w:widowControl/>
              <w:spacing w:line="300" w:lineRule="exact"/>
              <w:jc w:val="left"/>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立项依据</w:t>
            </w:r>
          </w:p>
        </w:tc>
        <w:tc>
          <w:tcPr>
            <w:tcW w:w="290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C0D9B6E">
            <w:pPr>
              <w:spacing w:line="300" w:lineRule="exact"/>
              <w:jc w:val="left"/>
              <w:rPr>
                <w:rFonts w:ascii="宋体" w:hAnsi="宋体" w:eastAsia="宋体" w:cs="宋体"/>
                <w:color w:val="000000"/>
                <w:sz w:val="24"/>
                <w:szCs w:val="24"/>
              </w:rPr>
            </w:pPr>
          </w:p>
        </w:tc>
      </w:tr>
      <w:tr w14:paraId="111EC5CB">
        <w:tblPrEx>
          <w:tblCellMar>
            <w:top w:w="15" w:type="dxa"/>
            <w:left w:w="15" w:type="dxa"/>
            <w:bottom w:w="15" w:type="dxa"/>
            <w:right w:w="15" w:type="dxa"/>
          </w:tblCellMar>
        </w:tblPrEx>
        <w:trPr>
          <w:trHeight w:val="23" w:hRule="atLeast"/>
          <w:jc w:val="center"/>
        </w:trPr>
        <w:tc>
          <w:tcPr>
            <w:tcW w:w="3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AF679A">
            <w:pPr>
              <w:spacing w:line="300" w:lineRule="exact"/>
              <w:rPr>
                <w:rFonts w:ascii="宋体" w:hAnsi="宋体" w:eastAsia="宋体" w:cs="宋体"/>
                <w:color w:val="000000"/>
                <w:sz w:val="24"/>
                <w:szCs w:val="24"/>
              </w:rPr>
            </w:pPr>
          </w:p>
        </w:tc>
        <w:tc>
          <w:tcPr>
            <w:tcW w:w="178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8EF2845">
            <w:pPr>
              <w:widowControl/>
              <w:spacing w:line="300" w:lineRule="exact"/>
              <w:jc w:val="left"/>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使用范围</w:t>
            </w:r>
          </w:p>
        </w:tc>
        <w:tc>
          <w:tcPr>
            <w:tcW w:w="290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4770E6F">
            <w:pPr>
              <w:spacing w:line="300" w:lineRule="exact"/>
              <w:jc w:val="left"/>
              <w:rPr>
                <w:rFonts w:ascii="宋体" w:hAnsi="宋体" w:eastAsia="宋体" w:cs="宋体"/>
                <w:color w:val="000000"/>
                <w:sz w:val="24"/>
                <w:szCs w:val="24"/>
              </w:rPr>
            </w:pPr>
          </w:p>
        </w:tc>
      </w:tr>
      <w:tr w14:paraId="25823639">
        <w:tblPrEx>
          <w:tblCellMar>
            <w:top w:w="15" w:type="dxa"/>
            <w:left w:w="15" w:type="dxa"/>
            <w:bottom w:w="15" w:type="dxa"/>
            <w:right w:w="15" w:type="dxa"/>
          </w:tblCellMar>
        </w:tblPrEx>
        <w:trPr>
          <w:trHeight w:val="23" w:hRule="atLeast"/>
          <w:jc w:val="center"/>
        </w:trPr>
        <w:tc>
          <w:tcPr>
            <w:tcW w:w="3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D118D9">
            <w:pPr>
              <w:spacing w:line="300" w:lineRule="exact"/>
              <w:rPr>
                <w:rFonts w:ascii="宋体" w:hAnsi="宋体" w:eastAsia="宋体" w:cs="宋体"/>
                <w:color w:val="000000"/>
                <w:sz w:val="24"/>
                <w:szCs w:val="24"/>
              </w:rPr>
            </w:pPr>
          </w:p>
        </w:tc>
        <w:tc>
          <w:tcPr>
            <w:tcW w:w="178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69631CD">
            <w:pPr>
              <w:widowControl/>
              <w:spacing w:line="300" w:lineRule="exact"/>
              <w:jc w:val="left"/>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申报（补助）条件</w:t>
            </w:r>
          </w:p>
        </w:tc>
        <w:tc>
          <w:tcPr>
            <w:tcW w:w="290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45E2199">
            <w:pPr>
              <w:spacing w:line="300" w:lineRule="exact"/>
              <w:jc w:val="left"/>
              <w:rPr>
                <w:rFonts w:ascii="宋体" w:hAnsi="宋体" w:eastAsia="宋体" w:cs="宋体"/>
                <w:color w:val="000000"/>
                <w:sz w:val="24"/>
                <w:szCs w:val="24"/>
              </w:rPr>
            </w:pPr>
          </w:p>
        </w:tc>
      </w:tr>
      <w:tr w14:paraId="2035058B">
        <w:tblPrEx>
          <w:tblCellMar>
            <w:top w:w="15" w:type="dxa"/>
            <w:left w:w="15" w:type="dxa"/>
            <w:bottom w:w="15" w:type="dxa"/>
            <w:right w:w="15" w:type="dxa"/>
          </w:tblCellMar>
        </w:tblPrEx>
        <w:trPr>
          <w:trHeight w:val="23" w:hRule="atLeast"/>
          <w:jc w:val="center"/>
        </w:trPr>
        <w:tc>
          <w:tcPr>
            <w:tcW w:w="3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257079">
            <w:pPr>
              <w:spacing w:line="300" w:lineRule="exact"/>
              <w:rPr>
                <w:rFonts w:ascii="宋体" w:hAnsi="宋体" w:eastAsia="宋体" w:cs="宋体"/>
                <w:color w:val="000000"/>
                <w:sz w:val="24"/>
                <w:szCs w:val="24"/>
              </w:rPr>
            </w:pPr>
          </w:p>
        </w:tc>
        <w:tc>
          <w:tcPr>
            <w:tcW w:w="178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634A12E">
            <w:pPr>
              <w:widowControl/>
              <w:spacing w:line="300" w:lineRule="exact"/>
              <w:jc w:val="left"/>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项目起止年限</w:t>
            </w:r>
          </w:p>
        </w:tc>
        <w:tc>
          <w:tcPr>
            <w:tcW w:w="290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6113C6A">
            <w:pPr>
              <w:spacing w:line="300" w:lineRule="exact"/>
              <w:rPr>
                <w:rFonts w:ascii="宋体" w:hAnsi="宋体" w:eastAsia="宋体" w:cs="宋体"/>
                <w:color w:val="000000"/>
                <w:sz w:val="24"/>
                <w:szCs w:val="24"/>
              </w:rPr>
            </w:pPr>
            <w:r>
              <w:rPr>
                <w:rFonts w:hint="eastAsia" w:ascii="宋体" w:hAnsi="宋体" w:eastAsia="宋体" w:cs="宋体"/>
                <w:color w:val="000000"/>
                <w:sz w:val="24"/>
                <w:szCs w:val="24"/>
              </w:rPr>
              <w:t>202</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年</w:t>
            </w:r>
          </w:p>
        </w:tc>
      </w:tr>
      <w:tr w14:paraId="78CF8A3B">
        <w:tblPrEx>
          <w:tblCellMar>
            <w:top w:w="15" w:type="dxa"/>
            <w:left w:w="15" w:type="dxa"/>
            <w:bottom w:w="15" w:type="dxa"/>
            <w:right w:w="15" w:type="dxa"/>
          </w:tblCellMar>
        </w:tblPrEx>
        <w:trPr>
          <w:trHeight w:val="23" w:hRule="atLeast"/>
          <w:jc w:val="center"/>
        </w:trPr>
        <w:tc>
          <w:tcPr>
            <w:tcW w:w="847"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5BE373">
            <w:pPr>
              <w:widowControl/>
              <w:spacing w:line="300" w:lineRule="exact"/>
              <w:jc w:val="center"/>
              <w:textAlignment w:val="center"/>
              <w:rPr>
                <w:rFonts w:ascii="宋体" w:hAnsi="宋体" w:eastAsia="宋体" w:cs="宋体"/>
                <w:color w:val="000000"/>
                <w:kern w:val="0"/>
                <w:sz w:val="24"/>
                <w:szCs w:val="24"/>
                <w:lang w:bidi="ar"/>
              </w:rPr>
            </w:pPr>
            <w:r>
              <w:rPr>
                <w:rFonts w:ascii="宋体" w:hAnsi="宋体" w:eastAsia="宋体" w:cs="宋体"/>
                <w:color w:val="000000"/>
                <w:kern w:val="0"/>
                <w:sz w:val="24"/>
                <w:szCs w:val="24"/>
                <w:lang w:bidi="ar"/>
              </w:rPr>
              <w:t>项目资金</w:t>
            </w:r>
          </w:p>
          <w:p w14:paraId="3439DF53">
            <w:pPr>
              <w:widowControl/>
              <w:spacing w:line="30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（万元）</w:t>
            </w:r>
          </w:p>
        </w:tc>
        <w:tc>
          <w:tcPr>
            <w:tcW w:w="125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6A662C">
            <w:pPr>
              <w:widowControl/>
              <w:spacing w:line="300" w:lineRule="exact"/>
              <w:jc w:val="left"/>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 xml:space="preserve">  年度资金总额：</w:t>
            </w:r>
          </w:p>
        </w:tc>
        <w:tc>
          <w:tcPr>
            <w:tcW w:w="290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9A581F7">
            <w:pPr>
              <w:spacing w:line="300" w:lineRule="exact"/>
              <w:jc w:val="cente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18.6</w:t>
            </w:r>
          </w:p>
        </w:tc>
      </w:tr>
      <w:tr w14:paraId="7DD82C42">
        <w:tblPrEx>
          <w:tblCellMar>
            <w:top w:w="15" w:type="dxa"/>
            <w:left w:w="15" w:type="dxa"/>
            <w:bottom w:w="15" w:type="dxa"/>
            <w:right w:w="15" w:type="dxa"/>
          </w:tblCellMar>
        </w:tblPrEx>
        <w:trPr>
          <w:trHeight w:val="23" w:hRule="atLeast"/>
          <w:jc w:val="center"/>
        </w:trPr>
        <w:tc>
          <w:tcPr>
            <w:tcW w:w="84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E67048">
            <w:pPr>
              <w:spacing w:line="300" w:lineRule="exact"/>
              <w:rPr>
                <w:rFonts w:ascii="宋体" w:hAnsi="宋体" w:eastAsia="宋体" w:cs="宋体"/>
                <w:color w:val="000000"/>
                <w:sz w:val="24"/>
                <w:szCs w:val="24"/>
              </w:rPr>
            </w:pPr>
          </w:p>
        </w:tc>
        <w:tc>
          <w:tcPr>
            <w:tcW w:w="125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DDF957">
            <w:pPr>
              <w:widowControl/>
              <w:spacing w:line="300" w:lineRule="exact"/>
              <w:jc w:val="left"/>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 xml:space="preserve">    其中：财政拨款</w:t>
            </w:r>
          </w:p>
        </w:tc>
        <w:tc>
          <w:tcPr>
            <w:tcW w:w="290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972C97E">
            <w:pPr>
              <w:spacing w:line="300" w:lineRule="exact"/>
              <w:jc w:val="cente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18.6</w:t>
            </w:r>
          </w:p>
        </w:tc>
      </w:tr>
      <w:tr w14:paraId="410A31E1">
        <w:tblPrEx>
          <w:tblCellMar>
            <w:top w:w="15" w:type="dxa"/>
            <w:left w:w="15" w:type="dxa"/>
            <w:bottom w:w="15" w:type="dxa"/>
            <w:right w:w="15" w:type="dxa"/>
          </w:tblCellMar>
        </w:tblPrEx>
        <w:trPr>
          <w:trHeight w:val="23" w:hRule="atLeast"/>
          <w:jc w:val="center"/>
        </w:trPr>
        <w:tc>
          <w:tcPr>
            <w:tcW w:w="84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D06A40">
            <w:pPr>
              <w:spacing w:line="300" w:lineRule="exact"/>
              <w:rPr>
                <w:rFonts w:ascii="宋体" w:hAnsi="宋体" w:eastAsia="宋体" w:cs="宋体"/>
                <w:color w:val="000000"/>
                <w:sz w:val="24"/>
                <w:szCs w:val="24"/>
              </w:rPr>
            </w:pPr>
          </w:p>
        </w:tc>
        <w:tc>
          <w:tcPr>
            <w:tcW w:w="125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78FBE1">
            <w:pPr>
              <w:widowControl/>
              <w:spacing w:line="300" w:lineRule="exact"/>
              <w:jc w:val="left"/>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 xml:space="preserve">         其他资金</w:t>
            </w:r>
          </w:p>
        </w:tc>
        <w:tc>
          <w:tcPr>
            <w:tcW w:w="290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0EAFBCB">
            <w:pPr>
              <w:spacing w:line="300" w:lineRule="exact"/>
              <w:jc w:val="right"/>
              <w:rPr>
                <w:rFonts w:ascii="宋体" w:hAnsi="宋体" w:eastAsia="宋体" w:cs="宋体"/>
                <w:color w:val="000000"/>
                <w:sz w:val="24"/>
                <w:szCs w:val="24"/>
              </w:rPr>
            </w:pPr>
          </w:p>
        </w:tc>
      </w:tr>
      <w:tr w14:paraId="1162A542">
        <w:tblPrEx>
          <w:tblCellMar>
            <w:top w:w="15" w:type="dxa"/>
            <w:left w:w="15" w:type="dxa"/>
            <w:bottom w:w="15" w:type="dxa"/>
            <w:right w:w="15" w:type="dxa"/>
          </w:tblCellMar>
        </w:tblPrEx>
        <w:trPr>
          <w:trHeight w:val="23" w:hRule="atLeast"/>
          <w:jc w:val="center"/>
        </w:trPr>
        <w:tc>
          <w:tcPr>
            <w:tcW w:w="31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319703">
            <w:pPr>
              <w:widowControl/>
              <w:spacing w:line="30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总体 目标</w:t>
            </w:r>
          </w:p>
        </w:tc>
        <w:tc>
          <w:tcPr>
            <w:tcW w:w="4682"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F03CEDB">
            <w:pPr>
              <w:widowControl/>
              <w:spacing w:line="30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年度目标</w:t>
            </w:r>
          </w:p>
        </w:tc>
      </w:tr>
      <w:tr w14:paraId="6DE16326">
        <w:tblPrEx>
          <w:tblCellMar>
            <w:top w:w="15" w:type="dxa"/>
            <w:left w:w="15" w:type="dxa"/>
            <w:bottom w:w="15" w:type="dxa"/>
            <w:right w:w="15" w:type="dxa"/>
          </w:tblCellMar>
        </w:tblPrEx>
        <w:trPr>
          <w:trHeight w:val="23" w:hRule="atLeast"/>
          <w:jc w:val="center"/>
        </w:trPr>
        <w:tc>
          <w:tcPr>
            <w:tcW w:w="3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9EE2A9">
            <w:pPr>
              <w:spacing w:line="300" w:lineRule="exact"/>
              <w:rPr>
                <w:rFonts w:ascii="宋体" w:hAnsi="宋体" w:eastAsia="宋体" w:cs="宋体"/>
                <w:color w:val="000000"/>
                <w:sz w:val="24"/>
                <w:szCs w:val="24"/>
              </w:rPr>
            </w:pPr>
          </w:p>
        </w:tc>
        <w:tc>
          <w:tcPr>
            <w:tcW w:w="4682"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9117974">
            <w:pPr>
              <w:spacing w:line="300" w:lineRule="exact"/>
              <w:rPr>
                <w:rFonts w:ascii="宋体" w:hAnsi="宋体" w:eastAsia="宋体" w:cs="宋体"/>
                <w:color w:val="000000"/>
                <w:sz w:val="24"/>
                <w:szCs w:val="24"/>
              </w:rPr>
            </w:pPr>
            <w:r>
              <w:rPr>
                <w:rFonts w:hint="eastAsia" w:ascii="宋体" w:hAnsi="宋体" w:eastAsia="宋体" w:cs="宋体"/>
                <w:color w:val="000000"/>
                <w:sz w:val="24"/>
                <w:szCs w:val="24"/>
              </w:rPr>
              <w:t>派驻纪检组工作经费</w:t>
            </w:r>
          </w:p>
        </w:tc>
      </w:tr>
      <w:tr w14:paraId="16D1260B">
        <w:tblPrEx>
          <w:tblCellMar>
            <w:top w:w="15" w:type="dxa"/>
            <w:left w:w="15" w:type="dxa"/>
            <w:bottom w:w="15" w:type="dxa"/>
            <w:right w:w="15" w:type="dxa"/>
          </w:tblCellMar>
        </w:tblPrEx>
        <w:trPr>
          <w:trHeight w:val="23" w:hRule="atLeast"/>
          <w:jc w:val="center"/>
        </w:trPr>
        <w:tc>
          <w:tcPr>
            <w:tcW w:w="317" w:type="pct"/>
            <w:vMerge w:val="restart"/>
            <w:tcBorders>
              <w:top w:val="single" w:color="000000" w:sz="4" w:space="0"/>
              <w:left w:val="single" w:color="000000" w:sz="4" w:space="0"/>
              <w:bottom w:val="single" w:color="000000" w:sz="4" w:space="0"/>
            </w:tcBorders>
            <w:shd w:val="clear" w:color="auto" w:fill="auto"/>
            <w:vAlign w:val="center"/>
          </w:tcPr>
          <w:p w14:paraId="3114C16B">
            <w:pPr>
              <w:widowControl/>
              <w:spacing w:line="30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绩效 指标</w:t>
            </w:r>
          </w:p>
        </w:tc>
        <w:tc>
          <w:tcPr>
            <w:tcW w:w="5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4478D4">
            <w:pPr>
              <w:widowControl/>
              <w:spacing w:line="30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一级指标</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8ECECA">
            <w:pPr>
              <w:widowControl/>
              <w:spacing w:line="30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二级指标</w:t>
            </w:r>
          </w:p>
        </w:tc>
        <w:tc>
          <w:tcPr>
            <w:tcW w:w="641" w:type="pct"/>
            <w:tcBorders>
              <w:top w:val="single" w:color="000000" w:sz="4" w:space="0"/>
              <w:left w:val="single" w:color="000000" w:sz="4" w:space="0"/>
              <w:bottom w:val="single" w:color="auto" w:sz="4" w:space="0"/>
              <w:right w:val="single" w:color="000000" w:sz="4" w:space="0"/>
            </w:tcBorders>
            <w:shd w:val="clear" w:color="auto" w:fill="auto"/>
            <w:vAlign w:val="center"/>
          </w:tcPr>
          <w:p w14:paraId="4F03B4A3">
            <w:pPr>
              <w:widowControl/>
              <w:spacing w:line="30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三级指标</w:t>
            </w:r>
          </w:p>
        </w:tc>
        <w:tc>
          <w:tcPr>
            <w:tcW w:w="550" w:type="pct"/>
            <w:tcBorders>
              <w:top w:val="single" w:color="000000" w:sz="4" w:space="0"/>
              <w:left w:val="single" w:color="000000" w:sz="4" w:space="0"/>
              <w:bottom w:val="single" w:color="auto" w:sz="4" w:space="0"/>
              <w:right w:val="single" w:color="000000" w:sz="4" w:space="0"/>
            </w:tcBorders>
            <w:shd w:val="clear" w:color="auto" w:fill="auto"/>
            <w:vAlign w:val="center"/>
          </w:tcPr>
          <w:p w14:paraId="7739459D">
            <w:pPr>
              <w:widowControl/>
              <w:spacing w:line="30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指标性质</w:t>
            </w:r>
          </w:p>
        </w:tc>
        <w:tc>
          <w:tcPr>
            <w:tcW w:w="474" w:type="pct"/>
            <w:tcBorders>
              <w:top w:val="single" w:color="000000" w:sz="4" w:space="0"/>
              <w:left w:val="single" w:color="000000" w:sz="4" w:space="0"/>
              <w:bottom w:val="single" w:color="auto" w:sz="4" w:space="0"/>
              <w:right w:val="single" w:color="000000" w:sz="4" w:space="0"/>
            </w:tcBorders>
            <w:shd w:val="clear" w:color="auto" w:fill="auto"/>
            <w:vAlign w:val="center"/>
          </w:tcPr>
          <w:p w14:paraId="2114B386">
            <w:pPr>
              <w:widowControl/>
              <w:spacing w:line="30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指标值</w:t>
            </w:r>
          </w:p>
        </w:tc>
        <w:tc>
          <w:tcPr>
            <w:tcW w:w="519" w:type="pct"/>
            <w:tcBorders>
              <w:top w:val="single" w:color="000000" w:sz="4" w:space="0"/>
              <w:left w:val="single" w:color="000000" w:sz="4" w:space="0"/>
              <w:bottom w:val="single" w:color="auto" w:sz="4" w:space="0"/>
              <w:right w:val="single" w:color="000000" w:sz="4" w:space="0"/>
            </w:tcBorders>
            <w:shd w:val="clear" w:color="auto" w:fill="auto"/>
            <w:vAlign w:val="center"/>
          </w:tcPr>
          <w:p w14:paraId="3181568F">
            <w:pPr>
              <w:widowControl/>
              <w:spacing w:line="30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度量单位</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FDA538">
            <w:pPr>
              <w:widowControl/>
              <w:spacing w:line="30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权重</w:t>
            </w: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DFA177">
            <w:pPr>
              <w:widowControl/>
              <w:spacing w:line="30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实际完成指标值</w:t>
            </w:r>
          </w:p>
        </w:tc>
      </w:tr>
      <w:tr w14:paraId="5AFDBC09">
        <w:tblPrEx>
          <w:tblCellMar>
            <w:top w:w="15" w:type="dxa"/>
            <w:left w:w="15" w:type="dxa"/>
            <w:bottom w:w="15" w:type="dxa"/>
            <w:right w:w="15" w:type="dxa"/>
          </w:tblCellMar>
        </w:tblPrEx>
        <w:trPr>
          <w:trHeight w:val="23" w:hRule="atLeast"/>
          <w:jc w:val="center"/>
        </w:trPr>
        <w:tc>
          <w:tcPr>
            <w:tcW w:w="317" w:type="pct"/>
            <w:vMerge w:val="continue"/>
            <w:tcBorders>
              <w:top w:val="single" w:color="000000" w:sz="4" w:space="0"/>
              <w:left w:val="single" w:color="000000" w:sz="4" w:space="0"/>
              <w:bottom w:val="single" w:color="000000" w:sz="4" w:space="0"/>
            </w:tcBorders>
            <w:shd w:val="clear" w:color="auto" w:fill="auto"/>
            <w:vAlign w:val="center"/>
          </w:tcPr>
          <w:p w14:paraId="02C67887">
            <w:pPr>
              <w:spacing w:line="300" w:lineRule="exact"/>
              <w:jc w:val="center"/>
              <w:rPr>
                <w:rFonts w:ascii="宋体" w:hAnsi="宋体" w:eastAsia="宋体" w:cs="宋体"/>
                <w:color w:val="000000"/>
                <w:sz w:val="24"/>
                <w:szCs w:val="24"/>
              </w:rPr>
            </w:pPr>
          </w:p>
        </w:tc>
        <w:tc>
          <w:tcPr>
            <w:tcW w:w="52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EF84EA">
            <w:pPr>
              <w:widowControl/>
              <w:spacing w:line="30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产出指标</w:t>
            </w:r>
          </w:p>
        </w:tc>
        <w:tc>
          <w:tcPr>
            <w:tcW w:w="610" w:type="pct"/>
            <w:tcBorders>
              <w:top w:val="single" w:color="000000" w:sz="4" w:space="0"/>
              <w:left w:val="single" w:color="000000" w:sz="4" w:space="0"/>
              <w:bottom w:val="single" w:color="000000" w:sz="4" w:space="0"/>
              <w:right w:val="single" w:color="auto" w:sz="4" w:space="0"/>
            </w:tcBorders>
            <w:shd w:val="clear" w:color="auto" w:fill="auto"/>
            <w:vAlign w:val="center"/>
          </w:tcPr>
          <w:p w14:paraId="44EE5C18">
            <w:pPr>
              <w:widowControl/>
              <w:spacing w:line="30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数量指标</w:t>
            </w:r>
          </w:p>
        </w:tc>
        <w:tc>
          <w:tcPr>
            <w:tcW w:w="6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CEA94B">
            <w:pPr>
              <w:widowControl/>
              <w:jc w:val="center"/>
              <w:rPr>
                <w:rFonts w:ascii="宋体" w:hAnsi="宋体" w:eastAsia="宋体"/>
                <w:color w:val="000000"/>
                <w:kern w:val="0"/>
                <w:sz w:val="24"/>
                <w:szCs w:val="24"/>
              </w:rPr>
            </w:pPr>
            <w:r>
              <w:rPr>
                <w:rFonts w:hint="eastAsia" w:ascii="宋体" w:hAnsi="宋体" w:eastAsia="宋体"/>
                <w:color w:val="000000"/>
                <w:sz w:val="24"/>
                <w:szCs w:val="24"/>
              </w:rPr>
              <w:t>调研</w:t>
            </w:r>
            <w:r>
              <w:rPr>
                <w:rFonts w:hint="eastAsia" w:ascii="宋体" w:hAnsi="宋体" w:eastAsia="宋体"/>
                <w:color w:val="000000"/>
                <w:sz w:val="24"/>
                <w:szCs w:val="24"/>
                <w:lang w:val="en-US" w:eastAsia="zh-CN"/>
              </w:rPr>
              <w:t>企业</w:t>
            </w:r>
            <w:r>
              <w:rPr>
                <w:rFonts w:hint="eastAsia" w:ascii="宋体" w:hAnsi="宋体" w:eastAsia="宋体"/>
                <w:color w:val="000000"/>
                <w:sz w:val="24"/>
                <w:szCs w:val="24"/>
              </w:rPr>
              <w:t>次数</w:t>
            </w:r>
          </w:p>
        </w:tc>
        <w:tc>
          <w:tcPr>
            <w:tcW w:w="550" w:type="pct"/>
            <w:tcBorders>
              <w:top w:val="single" w:color="000000" w:sz="4" w:space="0"/>
              <w:left w:val="nil"/>
              <w:bottom w:val="single" w:color="000000" w:sz="4" w:space="0"/>
              <w:right w:val="single" w:color="000000" w:sz="4" w:space="0"/>
            </w:tcBorders>
            <w:shd w:val="clear" w:color="auto" w:fill="auto"/>
            <w:vAlign w:val="center"/>
          </w:tcPr>
          <w:p w14:paraId="2055E050">
            <w:pPr>
              <w:jc w:val="center"/>
              <w:rPr>
                <w:rFonts w:ascii="宋体" w:hAnsi="宋体" w:eastAsia="宋体"/>
                <w:color w:val="000000"/>
                <w:sz w:val="24"/>
                <w:szCs w:val="24"/>
              </w:rPr>
            </w:pPr>
            <w:r>
              <w:rPr>
                <w:rFonts w:hint="eastAsia" w:ascii="宋体" w:hAnsi="宋体" w:eastAsia="宋体"/>
                <w:color w:val="000000"/>
                <w:sz w:val="24"/>
                <w:szCs w:val="24"/>
              </w:rPr>
              <w:t>≥</w:t>
            </w:r>
          </w:p>
        </w:tc>
        <w:tc>
          <w:tcPr>
            <w:tcW w:w="474" w:type="pct"/>
            <w:tcBorders>
              <w:top w:val="single" w:color="000000" w:sz="4" w:space="0"/>
              <w:left w:val="nil"/>
              <w:bottom w:val="single" w:color="000000" w:sz="4" w:space="0"/>
              <w:right w:val="single" w:color="000000" w:sz="4" w:space="0"/>
            </w:tcBorders>
            <w:shd w:val="clear" w:color="auto" w:fill="auto"/>
            <w:vAlign w:val="center"/>
          </w:tcPr>
          <w:p w14:paraId="4C84B1BC">
            <w:pPr>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50</w:t>
            </w:r>
          </w:p>
        </w:tc>
        <w:tc>
          <w:tcPr>
            <w:tcW w:w="519" w:type="pct"/>
            <w:tcBorders>
              <w:top w:val="single" w:color="000000" w:sz="4" w:space="0"/>
              <w:left w:val="nil"/>
              <w:bottom w:val="single" w:color="000000" w:sz="4" w:space="0"/>
              <w:right w:val="single" w:color="000000" w:sz="4" w:space="0"/>
            </w:tcBorders>
            <w:shd w:val="clear" w:color="auto" w:fill="auto"/>
            <w:vAlign w:val="center"/>
          </w:tcPr>
          <w:p w14:paraId="5CC798C8">
            <w:pPr>
              <w:jc w:val="center"/>
              <w:rPr>
                <w:rFonts w:ascii="宋体" w:hAnsi="宋体" w:eastAsia="宋体"/>
                <w:color w:val="000000"/>
                <w:sz w:val="24"/>
                <w:szCs w:val="24"/>
              </w:rPr>
            </w:pPr>
            <w:r>
              <w:rPr>
                <w:rFonts w:hint="eastAsia" w:ascii="宋体" w:hAnsi="宋体" w:eastAsia="宋体"/>
                <w:color w:val="000000"/>
                <w:sz w:val="24"/>
                <w:szCs w:val="24"/>
              </w:rPr>
              <w:t>次</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CAC9A5">
            <w:pPr>
              <w:widowControl/>
              <w:jc w:val="center"/>
              <w:rPr>
                <w:rFonts w:eastAsia="宋体"/>
                <w:color w:val="000000"/>
                <w:kern w:val="0"/>
                <w:sz w:val="24"/>
                <w:szCs w:val="24"/>
              </w:rPr>
            </w:pPr>
            <w:r>
              <w:rPr>
                <w:rFonts w:hint="eastAsia"/>
                <w:color w:val="000000"/>
                <w:sz w:val="24"/>
                <w:szCs w:val="24"/>
              </w:rPr>
              <w:t>10</w:t>
            </w: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BB50E2">
            <w:pPr>
              <w:spacing w:line="300" w:lineRule="exact"/>
              <w:jc w:val="cente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60</w:t>
            </w:r>
          </w:p>
        </w:tc>
      </w:tr>
      <w:tr w14:paraId="078AE876">
        <w:tblPrEx>
          <w:tblCellMar>
            <w:top w:w="15" w:type="dxa"/>
            <w:left w:w="15" w:type="dxa"/>
            <w:bottom w:w="15" w:type="dxa"/>
            <w:right w:w="15" w:type="dxa"/>
          </w:tblCellMar>
        </w:tblPrEx>
        <w:trPr>
          <w:trHeight w:val="23" w:hRule="atLeast"/>
          <w:jc w:val="center"/>
        </w:trPr>
        <w:tc>
          <w:tcPr>
            <w:tcW w:w="317" w:type="pct"/>
            <w:vMerge w:val="continue"/>
            <w:tcBorders>
              <w:top w:val="single" w:color="000000" w:sz="4" w:space="0"/>
              <w:left w:val="single" w:color="000000" w:sz="4" w:space="0"/>
              <w:bottom w:val="single" w:color="000000" w:sz="4" w:space="0"/>
            </w:tcBorders>
            <w:shd w:val="clear" w:color="auto" w:fill="auto"/>
            <w:vAlign w:val="center"/>
          </w:tcPr>
          <w:p w14:paraId="68CF84BF">
            <w:pPr>
              <w:spacing w:line="300" w:lineRule="exact"/>
              <w:jc w:val="center"/>
              <w:rPr>
                <w:rFonts w:ascii="宋体" w:hAnsi="宋体" w:eastAsia="宋体" w:cs="宋体"/>
                <w:color w:val="000000"/>
                <w:sz w:val="24"/>
                <w:szCs w:val="24"/>
              </w:rPr>
            </w:pPr>
          </w:p>
        </w:tc>
        <w:tc>
          <w:tcPr>
            <w:tcW w:w="5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50BC02">
            <w:pPr>
              <w:spacing w:line="300" w:lineRule="exact"/>
              <w:jc w:val="center"/>
              <w:rPr>
                <w:rFonts w:ascii="宋体" w:hAnsi="宋体" w:eastAsia="宋体" w:cs="宋体"/>
                <w:color w:val="000000"/>
                <w:sz w:val="24"/>
                <w:szCs w:val="24"/>
              </w:rPr>
            </w:pPr>
          </w:p>
        </w:tc>
        <w:tc>
          <w:tcPr>
            <w:tcW w:w="610" w:type="pct"/>
            <w:tcBorders>
              <w:top w:val="single" w:color="000000" w:sz="4" w:space="0"/>
              <w:left w:val="single" w:color="000000" w:sz="4" w:space="0"/>
              <w:bottom w:val="single" w:color="000000" w:sz="4" w:space="0"/>
              <w:right w:val="single" w:color="auto" w:sz="4" w:space="0"/>
            </w:tcBorders>
            <w:shd w:val="clear" w:color="auto" w:fill="auto"/>
            <w:vAlign w:val="center"/>
          </w:tcPr>
          <w:p w14:paraId="56C1C2E1">
            <w:pPr>
              <w:widowControl/>
              <w:spacing w:line="30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质量指标</w:t>
            </w:r>
          </w:p>
        </w:tc>
        <w:tc>
          <w:tcPr>
            <w:tcW w:w="641" w:type="pct"/>
            <w:tcBorders>
              <w:top w:val="nil"/>
              <w:left w:val="single" w:color="000000" w:sz="4" w:space="0"/>
              <w:bottom w:val="single" w:color="000000" w:sz="4" w:space="0"/>
              <w:right w:val="single" w:color="000000" w:sz="4" w:space="0"/>
            </w:tcBorders>
            <w:shd w:val="clear" w:color="auto" w:fill="auto"/>
            <w:vAlign w:val="center"/>
          </w:tcPr>
          <w:p w14:paraId="257E81FF">
            <w:pPr>
              <w:jc w:val="center"/>
              <w:rPr>
                <w:rFonts w:ascii="宋体" w:hAnsi="宋体" w:eastAsia="宋体"/>
                <w:color w:val="000000"/>
                <w:sz w:val="24"/>
                <w:szCs w:val="24"/>
              </w:rPr>
            </w:pPr>
            <w:r>
              <w:rPr>
                <w:rFonts w:hint="eastAsia" w:ascii="宋体" w:hAnsi="宋体" w:eastAsia="宋体"/>
                <w:color w:val="000000"/>
                <w:sz w:val="24"/>
                <w:szCs w:val="24"/>
                <w:lang w:val="en-US" w:eastAsia="zh-CN"/>
              </w:rPr>
              <w:t>政策落实</w:t>
            </w:r>
            <w:r>
              <w:rPr>
                <w:rFonts w:hint="eastAsia" w:ascii="宋体" w:hAnsi="宋体" w:eastAsia="宋体"/>
                <w:color w:val="000000"/>
                <w:sz w:val="24"/>
                <w:szCs w:val="24"/>
              </w:rPr>
              <w:t>率</w:t>
            </w:r>
          </w:p>
        </w:tc>
        <w:tc>
          <w:tcPr>
            <w:tcW w:w="550" w:type="pct"/>
            <w:tcBorders>
              <w:top w:val="nil"/>
              <w:left w:val="nil"/>
              <w:bottom w:val="single" w:color="000000" w:sz="4" w:space="0"/>
              <w:right w:val="single" w:color="000000" w:sz="4" w:space="0"/>
            </w:tcBorders>
            <w:shd w:val="clear" w:color="auto" w:fill="auto"/>
            <w:vAlign w:val="center"/>
          </w:tcPr>
          <w:p w14:paraId="2F20452E">
            <w:pPr>
              <w:jc w:val="center"/>
              <w:rPr>
                <w:rFonts w:ascii="宋体" w:hAnsi="宋体" w:eastAsia="宋体"/>
                <w:color w:val="000000"/>
                <w:sz w:val="24"/>
                <w:szCs w:val="24"/>
              </w:rPr>
            </w:pPr>
            <w:r>
              <w:rPr>
                <w:rFonts w:hint="eastAsia" w:ascii="宋体" w:hAnsi="宋体" w:eastAsia="宋体"/>
                <w:color w:val="000000"/>
                <w:sz w:val="24"/>
                <w:szCs w:val="24"/>
              </w:rPr>
              <w:t>≥</w:t>
            </w:r>
          </w:p>
        </w:tc>
        <w:tc>
          <w:tcPr>
            <w:tcW w:w="474" w:type="pct"/>
            <w:tcBorders>
              <w:top w:val="nil"/>
              <w:left w:val="nil"/>
              <w:bottom w:val="single" w:color="000000" w:sz="4" w:space="0"/>
              <w:right w:val="single" w:color="000000" w:sz="4" w:space="0"/>
            </w:tcBorders>
            <w:shd w:val="clear" w:color="auto" w:fill="auto"/>
            <w:vAlign w:val="center"/>
          </w:tcPr>
          <w:p w14:paraId="07A49F63">
            <w:pPr>
              <w:jc w:val="center"/>
              <w:rPr>
                <w:rFonts w:ascii="宋体" w:hAnsi="宋体" w:eastAsia="宋体"/>
                <w:color w:val="000000"/>
                <w:sz w:val="24"/>
                <w:szCs w:val="24"/>
              </w:rPr>
            </w:pPr>
            <w:r>
              <w:rPr>
                <w:rFonts w:hint="eastAsia" w:ascii="宋体" w:hAnsi="宋体" w:eastAsia="宋体"/>
                <w:color w:val="000000"/>
                <w:sz w:val="24"/>
                <w:szCs w:val="24"/>
              </w:rPr>
              <w:t>100</w:t>
            </w:r>
          </w:p>
        </w:tc>
        <w:tc>
          <w:tcPr>
            <w:tcW w:w="519" w:type="pct"/>
            <w:tcBorders>
              <w:top w:val="nil"/>
              <w:left w:val="nil"/>
              <w:bottom w:val="single" w:color="000000" w:sz="4" w:space="0"/>
              <w:right w:val="single" w:color="000000" w:sz="4" w:space="0"/>
            </w:tcBorders>
            <w:shd w:val="clear" w:color="auto" w:fill="auto"/>
            <w:vAlign w:val="center"/>
          </w:tcPr>
          <w:p w14:paraId="4D4BD321">
            <w:pPr>
              <w:jc w:val="center"/>
              <w:rPr>
                <w:rFonts w:ascii="宋体" w:hAnsi="宋体" w:eastAsia="宋体"/>
                <w:color w:val="000000"/>
                <w:sz w:val="24"/>
                <w:szCs w:val="24"/>
              </w:rPr>
            </w:pPr>
            <w:r>
              <w:rPr>
                <w:rFonts w:hint="eastAsia" w:ascii="宋体" w:hAnsi="宋体" w:eastAsia="宋体"/>
                <w:color w:val="000000"/>
                <w:sz w:val="24"/>
                <w:szCs w:val="24"/>
              </w:rPr>
              <w:t>%</w:t>
            </w:r>
          </w:p>
        </w:tc>
        <w:tc>
          <w:tcPr>
            <w:tcW w:w="456" w:type="pct"/>
            <w:tcBorders>
              <w:top w:val="nil"/>
              <w:left w:val="single" w:color="000000" w:sz="4" w:space="0"/>
              <w:bottom w:val="single" w:color="000000" w:sz="4" w:space="0"/>
              <w:right w:val="single" w:color="000000" w:sz="4" w:space="0"/>
            </w:tcBorders>
            <w:shd w:val="clear" w:color="auto" w:fill="auto"/>
            <w:vAlign w:val="center"/>
          </w:tcPr>
          <w:p w14:paraId="5DCE6B92">
            <w:pPr>
              <w:jc w:val="center"/>
              <w:rPr>
                <w:color w:val="000000"/>
                <w:sz w:val="24"/>
                <w:szCs w:val="24"/>
              </w:rPr>
            </w:pPr>
            <w:r>
              <w:rPr>
                <w:rFonts w:hint="eastAsia"/>
                <w:color w:val="000000"/>
                <w:sz w:val="24"/>
                <w:szCs w:val="24"/>
              </w:rPr>
              <w:t>15</w:t>
            </w: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FC9D16">
            <w:pPr>
              <w:spacing w:line="300" w:lineRule="exact"/>
              <w:jc w:val="cente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90</w:t>
            </w:r>
          </w:p>
        </w:tc>
      </w:tr>
      <w:tr w14:paraId="38233D70">
        <w:tblPrEx>
          <w:tblCellMar>
            <w:top w:w="15" w:type="dxa"/>
            <w:left w:w="15" w:type="dxa"/>
            <w:bottom w:w="15" w:type="dxa"/>
            <w:right w:w="15" w:type="dxa"/>
          </w:tblCellMar>
        </w:tblPrEx>
        <w:trPr>
          <w:trHeight w:val="23" w:hRule="atLeast"/>
          <w:jc w:val="center"/>
        </w:trPr>
        <w:tc>
          <w:tcPr>
            <w:tcW w:w="317" w:type="pct"/>
            <w:vMerge w:val="continue"/>
            <w:tcBorders>
              <w:top w:val="single" w:color="000000" w:sz="4" w:space="0"/>
              <w:left w:val="single" w:color="000000" w:sz="4" w:space="0"/>
              <w:bottom w:val="single" w:color="000000" w:sz="4" w:space="0"/>
            </w:tcBorders>
            <w:shd w:val="clear" w:color="auto" w:fill="auto"/>
            <w:vAlign w:val="center"/>
          </w:tcPr>
          <w:p w14:paraId="7F4FF587">
            <w:pPr>
              <w:spacing w:line="300" w:lineRule="exact"/>
              <w:jc w:val="center"/>
              <w:rPr>
                <w:rFonts w:ascii="宋体" w:hAnsi="宋体" w:eastAsia="宋体" w:cs="宋体"/>
                <w:color w:val="000000"/>
                <w:sz w:val="24"/>
                <w:szCs w:val="24"/>
              </w:rPr>
            </w:pPr>
          </w:p>
        </w:tc>
        <w:tc>
          <w:tcPr>
            <w:tcW w:w="5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0DCCE3">
            <w:pPr>
              <w:spacing w:line="300" w:lineRule="exact"/>
              <w:jc w:val="center"/>
              <w:rPr>
                <w:rFonts w:ascii="宋体" w:hAnsi="宋体" w:eastAsia="宋体" w:cs="宋体"/>
                <w:color w:val="000000"/>
                <w:sz w:val="24"/>
                <w:szCs w:val="24"/>
              </w:rPr>
            </w:pPr>
          </w:p>
        </w:tc>
        <w:tc>
          <w:tcPr>
            <w:tcW w:w="610" w:type="pct"/>
            <w:tcBorders>
              <w:top w:val="single" w:color="000000" w:sz="4" w:space="0"/>
              <w:left w:val="single" w:color="000000" w:sz="4" w:space="0"/>
              <w:bottom w:val="single" w:color="000000" w:sz="4" w:space="0"/>
              <w:right w:val="single" w:color="auto" w:sz="4" w:space="0"/>
            </w:tcBorders>
            <w:shd w:val="clear" w:color="auto" w:fill="auto"/>
            <w:vAlign w:val="center"/>
          </w:tcPr>
          <w:p w14:paraId="33AD8F6C">
            <w:pPr>
              <w:widowControl/>
              <w:spacing w:line="30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时效指标</w:t>
            </w:r>
          </w:p>
        </w:tc>
        <w:tc>
          <w:tcPr>
            <w:tcW w:w="641" w:type="pct"/>
            <w:tcBorders>
              <w:top w:val="nil"/>
              <w:left w:val="single" w:color="000000" w:sz="4" w:space="0"/>
              <w:bottom w:val="single" w:color="000000" w:sz="4" w:space="0"/>
              <w:right w:val="single" w:color="000000" w:sz="4" w:space="0"/>
            </w:tcBorders>
            <w:shd w:val="clear" w:color="auto" w:fill="auto"/>
            <w:vAlign w:val="center"/>
          </w:tcPr>
          <w:p w14:paraId="0946C53C">
            <w:pPr>
              <w:jc w:val="center"/>
              <w:rPr>
                <w:rFonts w:hint="eastAsia" w:ascii="宋体" w:hAnsi="宋体" w:eastAsia="宋体"/>
                <w:color w:val="000000"/>
                <w:sz w:val="24"/>
                <w:szCs w:val="24"/>
                <w:lang w:eastAsia="zh-CN"/>
              </w:rPr>
            </w:pPr>
            <w:r>
              <w:rPr>
                <w:rFonts w:hint="eastAsia" w:ascii="宋体" w:hAnsi="宋体" w:eastAsia="宋体"/>
                <w:color w:val="000000"/>
                <w:sz w:val="24"/>
                <w:szCs w:val="24"/>
                <w:lang w:val="en-US" w:eastAsia="zh-CN"/>
              </w:rPr>
              <w:t>工作完成时限</w:t>
            </w:r>
          </w:p>
        </w:tc>
        <w:tc>
          <w:tcPr>
            <w:tcW w:w="550" w:type="pct"/>
            <w:tcBorders>
              <w:top w:val="nil"/>
              <w:left w:val="nil"/>
              <w:bottom w:val="single" w:color="000000" w:sz="4" w:space="0"/>
              <w:right w:val="single" w:color="000000" w:sz="4" w:space="0"/>
            </w:tcBorders>
            <w:shd w:val="clear" w:color="auto" w:fill="auto"/>
            <w:vAlign w:val="center"/>
          </w:tcPr>
          <w:p w14:paraId="0C7CAAFD">
            <w:pPr>
              <w:jc w:val="center"/>
              <w:rPr>
                <w:rFonts w:ascii="宋体" w:hAnsi="宋体" w:eastAsia="宋体"/>
                <w:color w:val="000000"/>
                <w:sz w:val="24"/>
                <w:szCs w:val="24"/>
              </w:rPr>
            </w:pPr>
            <w:r>
              <w:rPr>
                <w:rFonts w:hint="eastAsia" w:ascii="宋体" w:hAnsi="宋体" w:eastAsia="宋体"/>
                <w:color w:val="000000"/>
                <w:sz w:val="24"/>
                <w:szCs w:val="24"/>
              </w:rPr>
              <w:t>≤</w:t>
            </w:r>
          </w:p>
        </w:tc>
        <w:tc>
          <w:tcPr>
            <w:tcW w:w="474" w:type="pct"/>
            <w:tcBorders>
              <w:top w:val="nil"/>
              <w:left w:val="nil"/>
              <w:bottom w:val="single" w:color="000000" w:sz="4" w:space="0"/>
              <w:right w:val="single" w:color="000000" w:sz="4" w:space="0"/>
            </w:tcBorders>
            <w:shd w:val="clear" w:color="auto" w:fill="auto"/>
            <w:vAlign w:val="center"/>
          </w:tcPr>
          <w:p w14:paraId="2D9B6873">
            <w:pPr>
              <w:jc w:val="center"/>
              <w:rPr>
                <w:rFonts w:hint="eastAsia" w:ascii="宋体" w:hAnsi="宋体" w:eastAsia="宋体"/>
                <w:color w:val="000000"/>
                <w:sz w:val="24"/>
                <w:szCs w:val="24"/>
                <w:lang w:eastAsia="zh-CN"/>
              </w:rPr>
            </w:pPr>
            <w:r>
              <w:rPr>
                <w:rFonts w:hint="eastAsia" w:ascii="宋体" w:hAnsi="宋体" w:eastAsia="宋体"/>
                <w:color w:val="000000"/>
                <w:sz w:val="24"/>
                <w:szCs w:val="24"/>
                <w:lang w:val="en-US" w:eastAsia="zh-CN"/>
              </w:rPr>
              <w:t>1</w:t>
            </w:r>
          </w:p>
        </w:tc>
        <w:tc>
          <w:tcPr>
            <w:tcW w:w="519" w:type="pct"/>
            <w:tcBorders>
              <w:top w:val="nil"/>
              <w:left w:val="nil"/>
              <w:bottom w:val="single" w:color="000000" w:sz="4" w:space="0"/>
              <w:right w:val="single" w:color="000000" w:sz="4" w:space="0"/>
            </w:tcBorders>
            <w:shd w:val="clear" w:color="auto" w:fill="auto"/>
            <w:vAlign w:val="center"/>
          </w:tcPr>
          <w:p w14:paraId="4BF1683F">
            <w:pPr>
              <w:jc w:val="center"/>
              <w:rPr>
                <w:rFonts w:hint="eastAsia" w:ascii="宋体" w:hAnsi="宋体" w:eastAsia="宋体"/>
                <w:color w:val="000000"/>
                <w:sz w:val="24"/>
                <w:szCs w:val="24"/>
                <w:lang w:eastAsia="zh-CN"/>
              </w:rPr>
            </w:pPr>
            <w:r>
              <w:rPr>
                <w:rFonts w:hint="eastAsia" w:ascii="宋体" w:hAnsi="宋体" w:eastAsia="宋体"/>
                <w:color w:val="000000"/>
                <w:sz w:val="24"/>
                <w:szCs w:val="24"/>
                <w:lang w:val="en-US" w:eastAsia="zh-CN"/>
              </w:rPr>
              <w:t>年</w:t>
            </w:r>
          </w:p>
        </w:tc>
        <w:tc>
          <w:tcPr>
            <w:tcW w:w="456" w:type="pct"/>
            <w:tcBorders>
              <w:top w:val="nil"/>
              <w:left w:val="single" w:color="000000" w:sz="4" w:space="0"/>
              <w:bottom w:val="single" w:color="000000" w:sz="4" w:space="0"/>
              <w:right w:val="single" w:color="000000" w:sz="4" w:space="0"/>
            </w:tcBorders>
            <w:shd w:val="clear" w:color="auto" w:fill="auto"/>
            <w:vAlign w:val="center"/>
          </w:tcPr>
          <w:p w14:paraId="7BC63D39">
            <w:pPr>
              <w:jc w:val="center"/>
              <w:rPr>
                <w:color w:val="000000"/>
                <w:sz w:val="24"/>
                <w:szCs w:val="24"/>
              </w:rPr>
            </w:pPr>
            <w:r>
              <w:rPr>
                <w:rFonts w:hint="eastAsia"/>
                <w:color w:val="000000"/>
                <w:sz w:val="24"/>
                <w:szCs w:val="24"/>
              </w:rPr>
              <w:t>15</w:t>
            </w: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AD016">
            <w:pPr>
              <w:spacing w:line="300" w:lineRule="exact"/>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val="en-US" w:eastAsia="zh-CN"/>
              </w:rPr>
              <w:t>1</w:t>
            </w:r>
          </w:p>
        </w:tc>
      </w:tr>
      <w:tr w14:paraId="4601A262">
        <w:tblPrEx>
          <w:tblCellMar>
            <w:top w:w="15" w:type="dxa"/>
            <w:left w:w="15" w:type="dxa"/>
            <w:bottom w:w="15" w:type="dxa"/>
            <w:right w:w="15" w:type="dxa"/>
          </w:tblCellMar>
        </w:tblPrEx>
        <w:trPr>
          <w:trHeight w:val="23" w:hRule="atLeast"/>
          <w:jc w:val="center"/>
        </w:trPr>
        <w:tc>
          <w:tcPr>
            <w:tcW w:w="317" w:type="pct"/>
            <w:vMerge w:val="continue"/>
            <w:tcBorders>
              <w:top w:val="single" w:color="000000" w:sz="4" w:space="0"/>
              <w:left w:val="single" w:color="000000" w:sz="4" w:space="0"/>
              <w:bottom w:val="single" w:color="000000" w:sz="4" w:space="0"/>
            </w:tcBorders>
            <w:shd w:val="clear" w:color="auto" w:fill="auto"/>
            <w:vAlign w:val="center"/>
          </w:tcPr>
          <w:p w14:paraId="67AF4B59">
            <w:pPr>
              <w:spacing w:line="300" w:lineRule="exact"/>
              <w:jc w:val="center"/>
              <w:rPr>
                <w:rFonts w:ascii="宋体" w:hAnsi="宋体" w:eastAsia="宋体" w:cs="宋体"/>
                <w:color w:val="000000"/>
                <w:sz w:val="24"/>
                <w:szCs w:val="24"/>
              </w:rPr>
            </w:pPr>
          </w:p>
        </w:tc>
        <w:tc>
          <w:tcPr>
            <w:tcW w:w="5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9DCAFC">
            <w:pPr>
              <w:widowControl/>
              <w:spacing w:line="30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效益指标</w:t>
            </w:r>
          </w:p>
        </w:tc>
        <w:tc>
          <w:tcPr>
            <w:tcW w:w="610" w:type="pct"/>
            <w:tcBorders>
              <w:top w:val="single" w:color="000000" w:sz="4" w:space="0"/>
              <w:left w:val="single" w:color="000000" w:sz="4" w:space="0"/>
              <w:bottom w:val="single" w:color="000000" w:sz="4" w:space="0"/>
              <w:right w:val="single" w:color="auto" w:sz="4" w:space="0"/>
            </w:tcBorders>
            <w:shd w:val="clear" w:color="auto" w:fill="auto"/>
            <w:vAlign w:val="center"/>
          </w:tcPr>
          <w:p w14:paraId="6EC385E9">
            <w:pPr>
              <w:widowControl/>
              <w:spacing w:line="30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社会</w:t>
            </w:r>
            <w:r>
              <w:rPr>
                <w:rFonts w:ascii="宋体" w:hAnsi="宋体" w:eastAsia="宋体" w:cs="宋体"/>
                <w:color w:val="000000"/>
                <w:kern w:val="0"/>
                <w:sz w:val="24"/>
                <w:szCs w:val="24"/>
                <w:lang w:bidi="ar"/>
              </w:rPr>
              <w:t>效益</w:t>
            </w:r>
          </w:p>
          <w:p w14:paraId="38E616D7">
            <w:pPr>
              <w:widowControl/>
              <w:spacing w:line="30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指标</w:t>
            </w:r>
          </w:p>
        </w:tc>
        <w:tc>
          <w:tcPr>
            <w:tcW w:w="641" w:type="pct"/>
            <w:tcBorders>
              <w:top w:val="nil"/>
              <w:left w:val="single" w:color="000000" w:sz="4" w:space="0"/>
              <w:bottom w:val="single" w:color="000000" w:sz="4" w:space="0"/>
              <w:right w:val="single" w:color="000000" w:sz="4" w:space="0"/>
            </w:tcBorders>
            <w:shd w:val="clear" w:color="auto" w:fill="auto"/>
            <w:vAlign w:val="center"/>
          </w:tcPr>
          <w:p w14:paraId="35E10E03">
            <w:pPr>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营商环境</w:t>
            </w:r>
          </w:p>
        </w:tc>
        <w:tc>
          <w:tcPr>
            <w:tcW w:w="550" w:type="pct"/>
            <w:tcBorders>
              <w:top w:val="nil"/>
              <w:left w:val="nil"/>
              <w:bottom w:val="single" w:color="000000" w:sz="4" w:space="0"/>
              <w:right w:val="single" w:color="000000" w:sz="4" w:space="0"/>
            </w:tcBorders>
            <w:shd w:val="clear" w:color="auto" w:fill="auto"/>
            <w:vAlign w:val="center"/>
          </w:tcPr>
          <w:p w14:paraId="3DE0B3EC">
            <w:pPr>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定性</w:t>
            </w:r>
          </w:p>
        </w:tc>
        <w:tc>
          <w:tcPr>
            <w:tcW w:w="474" w:type="pct"/>
            <w:tcBorders>
              <w:top w:val="nil"/>
              <w:left w:val="nil"/>
              <w:bottom w:val="single" w:color="000000" w:sz="4" w:space="0"/>
              <w:right w:val="single" w:color="000000" w:sz="4" w:space="0"/>
            </w:tcBorders>
            <w:shd w:val="clear" w:color="auto" w:fill="auto"/>
            <w:vAlign w:val="center"/>
          </w:tcPr>
          <w:p w14:paraId="6A30F48E">
            <w:pPr>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提升</w:t>
            </w:r>
          </w:p>
        </w:tc>
        <w:tc>
          <w:tcPr>
            <w:tcW w:w="519" w:type="pct"/>
            <w:tcBorders>
              <w:top w:val="nil"/>
              <w:left w:val="nil"/>
              <w:bottom w:val="single" w:color="000000" w:sz="4" w:space="0"/>
              <w:right w:val="single" w:color="000000" w:sz="4" w:space="0"/>
            </w:tcBorders>
            <w:shd w:val="clear" w:color="auto" w:fill="auto"/>
            <w:vAlign w:val="center"/>
          </w:tcPr>
          <w:p w14:paraId="58B2C807">
            <w:pPr>
              <w:jc w:val="center"/>
              <w:rPr>
                <w:rFonts w:hint="eastAsia" w:ascii="宋体" w:hAnsi="宋体" w:eastAsia="宋体"/>
                <w:color w:val="000000"/>
                <w:sz w:val="24"/>
                <w:szCs w:val="24"/>
                <w:lang w:eastAsia="zh-CN"/>
              </w:rPr>
            </w:pPr>
          </w:p>
        </w:tc>
        <w:tc>
          <w:tcPr>
            <w:tcW w:w="456" w:type="pct"/>
            <w:tcBorders>
              <w:top w:val="nil"/>
              <w:left w:val="single" w:color="000000" w:sz="4" w:space="0"/>
              <w:bottom w:val="single" w:color="000000" w:sz="4" w:space="0"/>
              <w:right w:val="single" w:color="000000" w:sz="4" w:space="0"/>
            </w:tcBorders>
            <w:shd w:val="clear" w:color="auto" w:fill="auto"/>
            <w:vAlign w:val="center"/>
          </w:tcPr>
          <w:p w14:paraId="690BA4D8">
            <w:pPr>
              <w:jc w:val="center"/>
              <w:rPr>
                <w:color w:val="000000"/>
                <w:sz w:val="24"/>
                <w:szCs w:val="24"/>
              </w:rPr>
            </w:pPr>
            <w:r>
              <w:rPr>
                <w:rFonts w:hint="eastAsia"/>
                <w:color w:val="000000"/>
                <w:sz w:val="24"/>
                <w:szCs w:val="24"/>
              </w:rPr>
              <w:t>30</w:t>
            </w: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074717">
            <w:pPr>
              <w:spacing w:line="300" w:lineRule="exact"/>
              <w:jc w:val="cente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有效提升</w:t>
            </w:r>
          </w:p>
        </w:tc>
      </w:tr>
      <w:tr w14:paraId="5A1F74AB">
        <w:tblPrEx>
          <w:tblCellMar>
            <w:top w:w="15" w:type="dxa"/>
            <w:left w:w="15" w:type="dxa"/>
            <w:bottom w:w="15" w:type="dxa"/>
            <w:right w:w="15" w:type="dxa"/>
          </w:tblCellMar>
        </w:tblPrEx>
        <w:trPr>
          <w:trHeight w:val="738" w:hRule="atLeast"/>
          <w:jc w:val="center"/>
        </w:trPr>
        <w:tc>
          <w:tcPr>
            <w:tcW w:w="317" w:type="pct"/>
            <w:vMerge w:val="continue"/>
            <w:tcBorders>
              <w:top w:val="single" w:color="000000" w:sz="4" w:space="0"/>
              <w:left w:val="single" w:color="000000" w:sz="4" w:space="0"/>
              <w:bottom w:val="single" w:color="000000" w:sz="4" w:space="0"/>
            </w:tcBorders>
            <w:shd w:val="clear" w:color="auto" w:fill="auto"/>
            <w:vAlign w:val="center"/>
          </w:tcPr>
          <w:p w14:paraId="2FAF00AD">
            <w:pPr>
              <w:spacing w:line="300" w:lineRule="exact"/>
              <w:jc w:val="center"/>
              <w:rPr>
                <w:rFonts w:ascii="宋体" w:hAnsi="宋体" w:eastAsia="宋体" w:cs="宋体"/>
                <w:color w:val="000000"/>
                <w:sz w:val="24"/>
                <w:szCs w:val="24"/>
              </w:rPr>
            </w:pPr>
          </w:p>
        </w:tc>
        <w:tc>
          <w:tcPr>
            <w:tcW w:w="529" w:type="pct"/>
            <w:tcBorders>
              <w:top w:val="single" w:color="000000" w:sz="4" w:space="0"/>
              <w:left w:val="single" w:color="000000" w:sz="4" w:space="0"/>
              <w:right w:val="single" w:color="000000" w:sz="4" w:space="0"/>
            </w:tcBorders>
            <w:shd w:val="clear" w:color="auto" w:fill="auto"/>
            <w:vAlign w:val="center"/>
          </w:tcPr>
          <w:p w14:paraId="519C06CA">
            <w:pPr>
              <w:widowControl/>
              <w:spacing w:line="300" w:lineRule="exact"/>
              <w:jc w:val="center"/>
              <w:textAlignment w:val="center"/>
              <w:rPr>
                <w:rFonts w:ascii="宋体" w:hAnsi="宋体" w:eastAsia="宋体" w:cs="宋体"/>
                <w:color w:val="000000"/>
                <w:kern w:val="0"/>
                <w:sz w:val="24"/>
                <w:szCs w:val="24"/>
                <w:lang w:bidi="ar"/>
              </w:rPr>
            </w:pPr>
            <w:r>
              <w:rPr>
                <w:rFonts w:ascii="宋体" w:hAnsi="宋体" w:eastAsia="宋体" w:cs="宋体"/>
                <w:color w:val="000000"/>
                <w:kern w:val="0"/>
                <w:sz w:val="24"/>
                <w:szCs w:val="24"/>
                <w:lang w:bidi="ar"/>
              </w:rPr>
              <w:t>满意度</w:t>
            </w:r>
          </w:p>
          <w:p w14:paraId="52E55CF8">
            <w:pPr>
              <w:widowControl/>
              <w:spacing w:line="30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指标</w:t>
            </w:r>
          </w:p>
        </w:tc>
        <w:tc>
          <w:tcPr>
            <w:tcW w:w="610" w:type="pct"/>
            <w:tcBorders>
              <w:top w:val="single" w:color="000000" w:sz="4" w:space="0"/>
              <w:left w:val="single" w:color="000000" w:sz="4" w:space="0"/>
              <w:right w:val="single" w:color="auto" w:sz="4" w:space="0"/>
            </w:tcBorders>
            <w:shd w:val="clear" w:color="auto" w:fill="auto"/>
            <w:vAlign w:val="center"/>
          </w:tcPr>
          <w:p w14:paraId="0A8CA246">
            <w:pPr>
              <w:widowControl/>
              <w:spacing w:line="300" w:lineRule="exact"/>
              <w:jc w:val="center"/>
              <w:textAlignment w:val="center"/>
              <w:rPr>
                <w:rFonts w:ascii="宋体" w:hAnsi="宋体" w:eastAsia="宋体" w:cs="宋体"/>
                <w:color w:val="000000"/>
                <w:kern w:val="0"/>
                <w:sz w:val="24"/>
                <w:szCs w:val="24"/>
                <w:lang w:bidi="ar"/>
              </w:rPr>
            </w:pPr>
            <w:r>
              <w:rPr>
                <w:rFonts w:ascii="宋体" w:hAnsi="宋体" w:eastAsia="宋体" w:cs="宋体"/>
                <w:color w:val="000000"/>
                <w:kern w:val="0"/>
                <w:sz w:val="24"/>
                <w:szCs w:val="24"/>
                <w:lang w:bidi="ar"/>
              </w:rPr>
              <w:t>服务对象</w:t>
            </w:r>
          </w:p>
          <w:p w14:paraId="4486B302">
            <w:pPr>
              <w:widowControl/>
              <w:spacing w:line="30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满意度指标</w:t>
            </w:r>
          </w:p>
        </w:tc>
        <w:tc>
          <w:tcPr>
            <w:tcW w:w="641" w:type="pct"/>
            <w:tcBorders>
              <w:top w:val="nil"/>
              <w:left w:val="single" w:color="000000" w:sz="4" w:space="0"/>
              <w:bottom w:val="single" w:color="000000" w:sz="4" w:space="0"/>
              <w:right w:val="single" w:color="000000" w:sz="4" w:space="0"/>
            </w:tcBorders>
            <w:shd w:val="clear" w:color="auto" w:fill="auto"/>
            <w:vAlign w:val="center"/>
          </w:tcPr>
          <w:p w14:paraId="29293364">
            <w:pPr>
              <w:jc w:val="center"/>
              <w:rPr>
                <w:rFonts w:hint="eastAsia" w:ascii="宋体" w:hAnsi="宋体" w:eastAsia="宋体"/>
                <w:color w:val="000000"/>
                <w:sz w:val="24"/>
                <w:szCs w:val="24"/>
                <w:lang w:eastAsia="zh-CN"/>
              </w:rPr>
            </w:pPr>
            <w:r>
              <w:rPr>
                <w:rFonts w:hint="eastAsia" w:ascii="宋体" w:hAnsi="宋体" w:eastAsia="宋体"/>
                <w:color w:val="000000"/>
                <w:sz w:val="24"/>
                <w:szCs w:val="24"/>
                <w:lang w:val="en-US" w:eastAsia="zh-CN"/>
              </w:rPr>
              <w:t>企业满意率</w:t>
            </w:r>
          </w:p>
        </w:tc>
        <w:tc>
          <w:tcPr>
            <w:tcW w:w="550" w:type="pct"/>
            <w:tcBorders>
              <w:top w:val="nil"/>
              <w:left w:val="nil"/>
              <w:bottom w:val="single" w:color="000000" w:sz="4" w:space="0"/>
              <w:right w:val="single" w:color="000000" w:sz="4" w:space="0"/>
            </w:tcBorders>
            <w:shd w:val="clear" w:color="auto" w:fill="auto"/>
            <w:vAlign w:val="center"/>
          </w:tcPr>
          <w:p w14:paraId="260F97A7">
            <w:pPr>
              <w:jc w:val="center"/>
              <w:rPr>
                <w:rFonts w:ascii="宋体" w:hAnsi="宋体" w:eastAsia="宋体"/>
                <w:color w:val="000000"/>
                <w:sz w:val="24"/>
                <w:szCs w:val="24"/>
              </w:rPr>
            </w:pPr>
            <w:r>
              <w:rPr>
                <w:rFonts w:hint="eastAsia" w:ascii="宋体" w:hAnsi="宋体" w:eastAsia="宋体"/>
                <w:color w:val="000000"/>
                <w:sz w:val="24"/>
                <w:szCs w:val="24"/>
              </w:rPr>
              <w:t>≥</w:t>
            </w:r>
          </w:p>
        </w:tc>
        <w:tc>
          <w:tcPr>
            <w:tcW w:w="474" w:type="pct"/>
            <w:tcBorders>
              <w:top w:val="nil"/>
              <w:left w:val="nil"/>
              <w:bottom w:val="single" w:color="000000" w:sz="4" w:space="0"/>
              <w:right w:val="single" w:color="000000" w:sz="4" w:space="0"/>
            </w:tcBorders>
            <w:shd w:val="clear" w:color="auto" w:fill="auto"/>
            <w:vAlign w:val="center"/>
          </w:tcPr>
          <w:p w14:paraId="27837AA0">
            <w:pPr>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90</w:t>
            </w:r>
          </w:p>
        </w:tc>
        <w:tc>
          <w:tcPr>
            <w:tcW w:w="519" w:type="pct"/>
            <w:tcBorders>
              <w:top w:val="nil"/>
              <w:left w:val="nil"/>
              <w:bottom w:val="single" w:color="000000" w:sz="4" w:space="0"/>
              <w:right w:val="single" w:color="000000" w:sz="4" w:space="0"/>
            </w:tcBorders>
            <w:shd w:val="clear" w:color="auto" w:fill="auto"/>
            <w:vAlign w:val="center"/>
          </w:tcPr>
          <w:p w14:paraId="1C3A935E">
            <w:pPr>
              <w:jc w:val="center"/>
              <w:rPr>
                <w:rFonts w:hint="eastAsia" w:ascii="宋体" w:hAnsi="宋体" w:eastAsia="宋体"/>
                <w:color w:val="000000"/>
                <w:sz w:val="24"/>
                <w:szCs w:val="24"/>
                <w:lang w:eastAsia="zh-CN"/>
              </w:rPr>
            </w:pPr>
            <w:r>
              <w:rPr>
                <w:rFonts w:hint="eastAsia" w:ascii="宋体" w:hAnsi="宋体" w:eastAsia="宋体"/>
                <w:color w:val="000000"/>
                <w:sz w:val="24"/>
                <w:szCs w:val="24"/>
                <w:lang w:val="en-US" w:eastAsia="zh-CN"/>
              </w:rPr>
              <w:t>%</w:t>
            </w:r>
          </w:p>
        </w:tc>
        <w:tc>
          <w:tcPr>
            <w:tcW w:w="456" w:type="pct"/>
            <w:tcBorders>
              <w:top w:val="nil"/>
              <w:left w:val="single" w:color="000000" w:sz="4" w:space="0"/>
              <w:bottom w:val="single" w:color="000000" w:sz="4" w:space="0"/>
              <w:right w:val="single" w:color="000000" w:sz="4" w:space="0"/>
            </w:tcBorders>
            <w:shd w:val="clear" w:color="auto" w:fill="auto"/>
            <w:vAlign w:val="center"/>
          </w:tcPr>
          <w:p w14:paraId="68E47122">
            <w:pPr>
              <w:jc w:val="center"/>
              <w:rPr>
                <w:color w:val="000000"/>
                <w:sz w:val="24"/>
                <w:szCs w:val="24"/>
              </w:rPr>
            </w:pPr>
            <w:r>
              <w:rPr>
                <w:rFonts w:hint="eastAsia"/>
                <w:color w:val="000000"/>
                <w:sz w:val="24"/>
                <w:szCs w:val="24"/>
              </w:rPr>
              <w:t>10</w:t>
            </w: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1E3419">
            <w:pPr>
              <w:spacing w:line="300" w:lineRule="exact"/>
              <w:jc w:val="cente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90</w:t>
            </w:r>
          </w:p>
        </w:tc>
      </w:tr>
      <w:tr w14:paraId="14FBB690">
        <w:tblPrEx>
          <w:tblCellMar>
            <w:top w:w="15" w:type="dxa"/>
            <w:left w:w="15" w:type="dxa"/>
            <w:bottom w:w="15" w:type="dxa"/>
            <w:right w:w="15" w:type="dxa"/>
          </w:tblCellMar>
        </w:tblPrEx>
        <w:trPr>
          <w:trHeight w:val="23" w:hRule="atLeast"/>
          <w:jc w:val="center"/>
        </w:trPr>
        <w:tc>
          <w:tcPr>
            <w:tcW w:w="317" w:type="pct"/>
            <w:vMerge w:val="continue"/>
            <w:tcBorders>
              <w:top w:val="single" w:color="000000" w:sz="4" w:space="0"/>
              <w:left w:val="single" w:color="000000" w:sz="4" w:space="0"/>
              <w:bottom w:val="single" w:color="000000" w:sz="4" w:space="0"/>
            </w:tcBorders>
            <w:shd w:val="clear" w:color="auto" w:fill="auto"/>
            <w:vAlign w:val="center"/>
          </w:tcPr>
          <w:p w14:paraId="71A3691F">
            <w:pPr>
              <w:spacing w:line="300" w:lineRule="exact"/>
              <w:jc w:val="center"/>
              <w:rPr>
                <w:rFonts w:ascii="宋体" w:hAnsi="宋体" w:eastAsia="宋体" w:cs="宋体"/>
                <w:color w:val="000000"/>
                <w:sz w:val="24"/>
                <w:szCs w:val="24"/>
              </w:rPr>
            </w:pPr>
          </w:p>
        </w:tc>
        <w:tc>
          <w:tcPr>
            <w:tcW w:w="5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8D3B25">
            <w:pPr>
              <w:widowControl/>
              <w:spacing w:line="30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成本指标</w:t>
            </w:r>
          </w:p>
        </w:tc>
        <w:tc>
          <w:tcPr>
            <w:tcW w:w="610" w:type="pct"/>
            <w:tcBorders>
              <w:top w:val="single" w:color="000000" w:sz="4" w:space="0"/>
              <w:left w:val="single" w:color="000000" w:sz="4" w:space="0"/>
              <w:bottom w:val="single" w:color="000000" w:sz="4" w:space="0"/>
              <w:right w:val="single" w:color="auto" w:sz="4" w:space="0"/>
            </w:tcBorders>
            <w:shd w:val="clear" w:color="auto" w:fill="auto"/>
            <w:vAlign w:val="center"/>
          </w:tcPr>
          <w:p w14:paraId="1E6458DE">
            <w:pPr>
              <w:widowControl/>
              <w:spacing w:line="300" w:lineRule="exact"/>
              <w:jc w:val="center"/>
              <w:textAlignment w:val="center"/>
              <w:rPr>
                <w:rFonts w:ascii="宋体" w:hAnsi="宋体" w:eastAsia="宋体" w:cs="宋体"/>
                <w:color w:val="000000"/>
                <w:kern w:val="0"/>
                <w:sz w:val="24"/>
                <w:szCs w:val="24"/>
                <w:lang w:bidi="ar"/>
              </w:rPr>
            </w:pPr>
            <w:r>
              <w:rPr>
                <w:rFonts w:ascii="宋体" w:hAnsi="宋体" w:eastAsia="宋体" w:cs="宋体"/>
                <w:color w:val="000000"/>
                <w:kern w:val="0"/>
                <w:sz w:val="24"/>
                <w:szCs w:val="24"/>
                <w:lang w:bidi="ar"/>
              </w:rPr>
              <w:t>经济成本</w:t>
            </w:r>
          </w:p>
          <w:p w14:paraId="188FC107">
            <w:pPr>
              <w:widowControl/>
              <w:spacing w:line="30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指标</w:t>
            </w:r>
          </w:p>
        </w:tc>
        <w:tc>
          <w:tcPr>
            <w:tcW w:w="641" w:type="pct"/>
            <w:tcBorders>
              <w:top w:val="nil"/>
              <w:left w:val="single" w:color="000000" w:sz="4" w:space="0"/>
              <w:bottom w:val="single" w:color="000000" w:sz="4" w:space="0"/>
              <w:right w:val="single" w:color="000000" w:sz="4" w:space="0"/>
            </w:tcBorders>
            <w:shd w:val="clear" w:color="auto" w:fill="auto"/>
            <w:vAlign w:val="center"/>
          </w:tcPr>
          <w:p w14:paraId="79DC7978">
            <w:pPr>
              <w:jc w:val="center"/>
              <w:rPr>
                <w:rFonts w:ascii="宋体" w:hAnsi="宋体" w:eastAsia="宋体"/>
                <w:color w:val="000000"/>
                <w:sz w:val="24"/>
                <w:szCs w:val="24"/>
              </w:rPr>
            </w:pPr>
            <w:r>
              <w:rPr>
                <w:rFonts w:hint="eastAsia" w:ascii="宋体" w:hAnsi="宋体" w:eastAsia="宋体"/>
                <w:color w:val="000000"/>
                <w:sz w:val="24"/>
                <w:szCs w:val="24"/>
              </w:rPr>
              <w:t>项目成本</w:t>
            </w:r>
          </w:p>
        </w:tc>
        <w:tc>
          <w:tcPr>
            <w:tcW w:w="550" w:type="pct"/>
            <w:tcBorders>
              <w:top w:val="nil"/>
              <w:left w:val="nil"/>
              <w:bottom w:val="single" w:color="000000" w:sz="4" w:space="0"/>
              <w:right w:val="single" w:color="000000" w:sz="4" w:space="0"/>
            </w:tcBorders>
            <w:shd w:val="clear" w:color="auto" w:fill="auto"/>
            <w:vAlign w:val="center"/>
          </w:tcPr>
          <w:p w14:paraId="5C7FAFEF">
            <w:pPr>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rPr>
              <w:t>≤</w:t>
            </w:r>
          </w:p>
        </w:tc>
        <w:tc>
          <w:tcPr>
            <w:tcW w:w="474" w:type="pct"/>
            <w:tcBorders>
              <w:top w:val="nil"/>
              <w:left w:val="nil"/>
              <w:bottom w:val="single" w:color="000000" w:sz="4" w:space="0"/>
              <w:right w:val="single" w:color="000000" w:sz="4" w:space="0"/>
            </w:tcBorders>
            <w:shd w:val="clear" w:color="auto" w:fill="auto"/>
            <w:vAlign w:val="center"/>
          </w:tcPr>
          <w:p w14:paraId="5672B08F">
            <w:pPr>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18.6</w:t>
            </w:r>
          </w:p>
        </w:tc>
        <w:tc>
          <w:tcPr>
            <w:tcW w:w="519" w:type="pct"/>
            <w:tcBorders>
              <w:top w:val="nil"/>
              <w:left w:val="nil"/>
              <w:bottom w:val="single" w:color="000000" w:sz="4" w:space="0"/>
              <w:right w:val="single" w:color="000000" w:sz="4" w:space="0"/>
            </w:tcBorders>
            <w:shd w:val="clear" w:color="auto" w:fill="auto"/>
            <w:vAlign w:val="center"/>
          </w:tcPr>
          <w:p w14:paraId="4E3F73D9">
            <w:pPr>
              <w:jc w:val="center"/>
              <w:rPr>
                <w:rFonts w:ascii="宋体" w:hAnsi="宋体" w:eastAsia="宋体"/>
                <w:color w:val="000000"/>
                <w:sz w:val="24"/>
                <w:szCs w:val="24"/>
              </w:rPr>
            </w:pPr>
            <w:r>
              <w:rPr>
                <w:rFonts w:hint="eastAsia" w:ascii="宋体" w:hAnsi="宋体" w:eastAsia="宋体"/>
                <w:color w:val="000000"/>
                <w:sz w:val="24"/>
                <w:szCs w:val="24"/>
              </w:rPr>
              <w:t>万</w:t>
            </w:r>
          </w:p>
        </w:tc>
        <w:tc>
          <w:tcPr>
            <w:tcW w:w="456" w:type="pct"/>
            <w:tcBorders>
              <w:top w:val="nil"/>
              <w:left w:val="single" w:color="000000" w:sz="4" w:space="0"/>
              <w:bottom w:val="single" w:color="000000" w:sz="4" w:space="0"/>
              <w:right w:val="single" w:color="000000" w:sz="4" w:space="0"/>
            </w:tcBorders>
            <w:shd w:val="clear" w:color="auto" w:fill="auto"/>
            <w:vAlign w:val="center"/>
          </w:tcPr>
          <w:p w14:paraId="375B6D91">
            <w:pPr>
              <w:jc w:val="center"/>
              <w:rPr>
                <w:color w:val="000000"/>
                <w:sz w:val="24"/>
                <w:szCs w:val="24"/>
              </w:rPr>
            </w:pPr>
            <w:r>
              <w:rPr>
                <w:rFonts w:hint="eastAsia"/>
                <w:color w:val="000000"/>
                <w:sz w:val="24"/>
                <w:szCs w:val="24"/>
              </w:rPr>
              <w:t>10</w:t>
            </w: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94F63E">
            <w:pPr>
              <w:spacing w:line="300" w:lineRule="exact"/>
              <w:jc w:val="cente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18.6</w:t>
            </w:r>
          </w:p>
        </w:tc>
      </w:tr>
    </w:tbl>
    <w:p w14:paraId="7ECCF6A9">
      <w:pPr>
        <w:spacing w:line="578" w:lineRule="atLeast"/>
        <w:ind w:right="-170" w:rightChars="-53"/>
        <w:rPr>
          <w:rFonts w:ascii="黑体" w:hAnsi="黑体" w:eastAsia="黑体" w:cs="黑体"/>
          <w:sz w:val="24"/>
          <w:szCs w:val="24"/>
        </w:rPr>
      </w:pPr>
    </w:p>
    <w:p w14:paraId="21090FFB">
      <w:pPr>
        <w:rPr>
          <w:rFonts w:hint="eastAsia" w:ascii="黑体" w:hAnsi="黑体" w:eastAsia="黑体" w:cs="黑体"/>
          <w:color w:val="auto"/>
          <w:kern w:val="2"/>
          <w:sz w:val="32"/>
          <w:szCs w:val="32"/>
          <w:highlight w:val="none"/>
          <w:lang w:val="en-US" w:eastAsia="zh-CN"/>
        </w:rPr>
      </w:pPr>
      <w:r>
        <w:rPr>
          <w:rFonts w:hint="eastAsia" w:ascii="黑体" w:hAnsi="黑体" w:eastAsia="黑体" w:cs="黑体"/>
          <w:color w:val="auto"/>
          <w:kern w:val="2"/>
          <w:sz w:val="32"/>
          <w:szCs w:val="32"/>
          <w:highlight w:val="none"/>
          <w:lang w:val="en-US" w:eastAsia="zh-CN"/>
        </w:rPr>
        <w:br w:type="page"/>
      </w:r>
    </w:p>
    <w:p w14:paraId="4848697A">
      <w:pPr>
        <w:pStyle w:val="25"/>
        <w:keepNext w:val="0"/>
        <w:keepLines w:val="0"/>
        <w:pageBreakBefore w:val="0"/>
        <w:widowControl w:val="0"/>
        <w:kinsoku/>
        <w:wordWrap/>
        <w:overflowPunct/>
        <w:topLinePunct w:val="0"/>
        <w:autoSpaceDE/>
        <w:autoSpaceDN/>
        <w:bidi w:val="0"/>
        <w:spacing w:line="578" w:lineRule="exact"/>
        <w:ind w:firstLine="2640" w:firstLineChars="600"/>
        <w:jc w:val="both"/>
        <w:textAlignment w:val="auto"/>
        <w:rPr>
          <w:rFonts w:hint="default" w:ascii="Times New Roman" w:hAnsi="Times New Roman" w:eastAsia="方正小标宋_GBK" w:cs="Times New Roman"/>
          <w:color w:val="auto"/>
          <w:kern w:val="2"/>
          <w:sz w:val="44"/>
          <w:szCs w:val="44"/>
          <w:highlight w:val="none"/>
          <w:lang w:val="en-US" w:eastAsia="zh-CN"/>
        </w:rPr>
      </w:pPr>
    </w:p>
    <w:p w14:paraId="74B89DE9">
      <w:pPr>
        <w:pStyle w:val="25"/>
        <w:keepNext w:val="0"/>
        <w:keepLines w:val="0"/>
        <w:pageBreakBefore w:val="0"/>
        <w:widowControl w:val="0"/>
        <w:kinsoku/>
        <w:wordWrap/>
        <w:overflowPunct/>
        <w:topLinePunct w:val="0"/>
        <w:autoSpaceDE/>
        <w:autoSpaceDN/>
        <w:bidi w:val="0"/>
        <w:spacing w:line="578" w:lineRule="exact"/>
        <w:ind w:firstLine="2640" w:firstLineChars="600"/>
        <w:jc w:val="both"/>
        <w:textAlignment w:val="auto"/>
        <w:rPr>
          <w:rFonts w:hint="default" w:ascii="Times New Roman" w:hAnsi="Times New Roman" w:eastAsia="方正小标宋_GBK" w:cs="Times New Roman"/>
          <w:color w:val="auto"/>
          <w:kern w:val="2"/>
          <w:sz w:val="44"/>
          <w:szCs w:val="44"/>
          <w:highlight w:val="none"/>
          <w:lang w:val="en-US" w:eastAsia="zh-CN"/>
        </w:rPr>
      </w:pPr>
    </w:p>
    <w:p w14:paraId="676A17F3">
      <w:pPr>
        <w:pStyle w:val="25"/>
        <w:keepNext w:val="0"/>
        <w:keepLines w:val="0"/>
        <w:pageBreakBefore w:val="0"/>
        <w:widowControl w:val="0"/>
        <w:kinsoku/>
        <w:wordWrap/>
        <w:overflowPunct/>
        <w:topLinePunct w:val="0"/>
        <w:autoSpaceDE/>
        <w:autoSpaceDN/>
        <w:bidi w:val="0"/>
        <w:spacing w:line="578" w:lineRule="exact"/>
        <w:ind w:firstLine="2640" w:firstLineChars="600"/>
        <w:jc w:val="both"/>
        <w:textAlignment w:val="auto"/>
        <w:rPr>
          <w:rFonts w:hint="default" w:ascii="Times New Roman" w:hAnsi="Times New Roman" w:eastAsia="方正小标宋_GBK" w:cs="Times New Roman"/>
          <w:color w:val="auto"/>
          <w:kern w:val="2"/>
          <w:sz w:val="44"/>
          <w:szCs w:val="44"/>
          <w:highlight w:val="none"/>
          <w:lang w:val="en-US" w:eastAsia="zh-CN"/>
        </w:rPr>
      </w:pPr>
      <w:r>
        <w:rPr>
          <w:rFonts w:hint="default" w:ascii="Times New Roman" w:hAnsi="Times New Roman" w:eastAsia="方正小标宋_GBK" w:cs="Times New Roman"/>
          <w:color w:val="auto"/>
          <w:kern w:val="2"/>
          <w:sz w:val="44"/>
          <w:szCs w:val="44"/>
          <w:highlight w:val="none"/>
          <w:lang w:val="en-US" w:eastAsia="zh-CN"/>
        </w:rPr>
        <w:t>区域合作服务中心</w:t>
      </w:r>
    </w:p>
    <w:p w14:paraId="3962495F">
      <w:pPr>
        <w:pStyle w:val="25"/>
        <w:keepNext w:val="0"/>
        <w:keepLines w:val="0"/>
        <w:pageBreakBefore w:val="0"/>
        <w:widowControl w:val="0"/>
        <w:kinsoku/>
        <w:wordWrap/>
        <w:overflowPunct/>
        <w:topLinePunct w:val="0"/>
        <w:autoSpaceDE/>
        <w:autoSpaceDN/>
        <w:bidi w:val="0"/>
        <w:spacing w:line="578" w:lineRule="exact"/>
        <w:ind w:firstLine="1320" w:firstLineChars="300"/>
        <w:jc w:val="both"/>
        <w:textAlignment w:val="auto"/>
        <w:rPr>
          <w:rFonts w:hint="default" w:ascii="Times New Roman" w:hAnsi="Times New Roman" w:eastAsia="方正小标宋_GBK" w:cs="Times New Roman"/>
          <w:color w:val="auto"/>
          <w:kern w:val="2"/>
          <w:sz w:val="44"/>
          <w:szCs w:val="44"/>
          <w:highlight w:val="none"/>
          <w:lang w:val="en-US" w:eastAsia="zh-CN"/>
        </w:rPr>
      </w:pPr>
      <w:r>
        <w:rPr>
          <w:rFonts w:hint="default" w:ascii="Times New Roman" w:hAnsi="Times New Roman" w:eastAsia="方正小标宋_GBK" w:cs="Times New Roman"/>
          <w:color w:val="auto"/>
          <w:kern w:val="2"/>
          <w:sz w:val="44"/>
          <w:szCs w:val="44"/>
          <w:highlight w:val="none"/>
          <w:lang w:val="en-US" w:eastAsia="zh-CN"/>
        </w:rPr>
        <w:t>前期工作经费绩效评价</w:t>
      </w:r>
      <w:r>
        <w:rPr>
          <w:rFonts w:hint="eastAsia" w:ascii="Times New Roman" w:hAnsi="Times New Roman" w:eastAsia="方正小标宋_GBK" w:cs="Times New Roman"/>
          <w:color w:val="auto"/>
          <w:kern w:val="2"/>
          <w:sz w:val="44"/>
          <w:szCs w:val="44"/>
          <w:highlight w:val="none"/>
          <w:lang w:val="en-US" w:eastAsia="zh-CN"/>
        </w:rPr>
        <w:t>的</w:t>
      </w:r>
      <w:r>
        <w:rPr>
          <w:rFonts w:hint="default" w:ascii="Times New Roman" w:hAnsi="Times New Roman" w:eastAsia="方正小标宋_GBK" w:cs="Times New Roman"/>
          <w:color w:val="auto"/>
          <w:kern w:val="2"/>
          <w:sz w:val="44"/>
          <w:szCs w:val="44"/>
          <w:highlight w:val="none"/>
          <w:lang w:val="en-US" w:eastAsia="zh-CN"/>
        </w:rPr>
        <w:t>报告</w:t>
      </w:r>
    </w:p>
    <w:p w14:paraId="611CC45A">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rPr>
          <w:rFonts w:hint="default" w:ascii="Times New Roman" w:hAnsi="Times New Roman" w:eastAsia="黑体" w:cs="Times New Roman"/>
          <w:highlight w:val="none"/>
        </w:rPr>
      </w:pPr>
    </w:p>
    <w:p w14:paraId="6234A70A">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rPr>
          <w:rFonts w:hint="default" w:ascii="Times New Roman" w:hAnsi="Times New Roman" w:eastAsia="黑体" w:cs="Times New Roman"/>
          <w:highlight w:val="none"/>
          <w:lang w:val="zh-CN"/>
        </w:rPr>
      </w:pPr>
      <w:r>
        <w:rPr>
          <w:rFonts w:hint="default" w:ascii="Times New Roman" w:hAnsi="Times New Roman" w:eastAsia="黑体" w:cs="Times New Roman"/>
          <w:highlight w:val="none"/>
        </w:rPr>
        <w:t>一、</w:t>
      </w:r>
      <w:r>
        <w:rPr>
          <w:rFonts w:hint="default" w:ascii="Times New Roman" w:hAnsi="Times New Roman" w:eastAsia="黑体" w:cs="Times New Roman"/>
          <w:highlight w:val="none"/>
          <w:lang w:val="zh-CN"/>
        </w:rPr>
        <w:t>项目概况</w:t>
      </w:r>
    </w:p>
    <w:p w14:paraId="02EEAB17">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left="0" w:leftChars="0" w:firstLine="643" w:firstLineChars="200"/>
        <w:contextualSpacing/>
        <w:jc w:val="left"/>
        <w:textAlignment w:val="auto"/>
        <w:rPr>
          <w:rFonts w:hint="default" w:ascii="Times New Roman" w:hAnsi="Times New Roman" w:eastAsia="楷体_GB2312" w:cs="Times New Roman"/>
          <w:b/>
          <w:color w:val="auto"/>
          <w:sz w:val="32"/>
          <w:szCs w:val="32"/>
          <w:highlight w:val="none"/>
          <w:u w:val="none"/>
          <w:lang w:val="zh-CN"/>
        </w:rPr>
      </w:pPr>
      <w:r>
        <w:rPr>
          <w:rFonts w:hint="default" w:ascii="Times New Roman" w:hAnsi="Times New Roman" w:eastAsia="楷体_GB2312" w:cs="Times New Roman"/>
          <w:b/>
          <w:color w:val="auto"/>
          <w:sz w:val="32"/>
          <w:szCs w:val="32"/>
          <w:highlight w:val="none"/>
          <w:u w:val="none"/>
          <w:lang w:val="zh-CN"/>
        </w:rPr>
        <w:t>（一）设立背景及基本情况</w:t>
      </w:r>
    </w:p>
    <w:p w14:paraId="115B6BBE">
      <w:pPr>
        <w:widowControl/>
        <w:adjustRightInd w:val="0"/>
        <w:snapToGrid w:val="0"/>
        <w:spacing w:line="578" w:lineRule="exact"/>
        <w:ind w:firstLine="640" w:firstLineChars="200"/>
        <w:contextualSpacing/>
        <w:jc w:val="left"/>
        <w:rPr>
          <w:rFonts w:ascii="仿宋_GB2312" w:hAnsi="仿宋_GB2312" w:cs="仿宋_GB2312"/>
          <w:kern w:val="0"/>
          <w:shd w:val="clear" w:color="auto" w:fill="FFFFFF"/>
          <w:lang w:val="zh-CN"/>
        </w:rPr>
      </w:pPr>
      <w:r>
        <w:rPr>
          <w:rFonts w:hint="eastAsia" w:ascii="仿宋_GB2312" w:hAnsi="仿宋_GB2312" w:cs="仿宋_GB2312"/>
          <w:kern w:val="0"/>
          <w:shd w:val="clear" w:color="auto" w:fill="FFFFFF"/>
          <w:lang w:val="zh-CN"/>
        </w:rPr>
        <w:t>按照相关文件规定，为更好地履行</w:t>
      </w:r>
      <w:r>
        <w:rPr>
          <w:rFonts w:hint="eastAsia" w:ascii="仿宋_GB2312" w:hAnsi="仿宋_GB2312" w:cs="仿宋_GB2312"/>
          <w:kern w:val="0"/>
          <w:shd w:val="clear" w:color="auto" w:fill="FFFFFF"/>
          <w:lang w:val="en-US" w:eastAsia="zh-CN"/>
        </w:rPr>
        <w:t>区域协调、经济发展等</w:t>
      </w:r>
      <w:r>
        <w:rPr>
          <w:rFonts w:hint="eastAsia" w:ascii="仿宋_GB2312" w:hAnsi="仿宋_GB2312" w:cs="仿宋_GB2312"/>
          <w:kern w:val="0"/>
          <w:shd w:val="clear" w:color="auto" w:fill="FFFFFF"/>
          <w:lang w:val="zh-CN"/>
        </w:rPr>
        <w:t>职能，开展</w:t>
      </w:r>
      <w:r>
        <w:rPr>
          <w:rFonts w:hint="eastAsia" w:ascii="仿宋_GB2312" w:hAnsi="仿宋_GB2312" w:cs="仿宋_GB2312"/>
          <w:kern w:val="0"/>
          <w:shd w:val="clear" w:color="auto" w:fill="FFFFFF"/>
          <w:lang w:val="en-US" w:eastAsia="zh-CN"/>
        </w:rPr>
        <w:t>招商引资服务企业等</w:t>
      </w:r>
      <w:r>
        <w:rPr>
          <w:rFonts w:hint="eastAsia" w:ascii="仿宋_GB2312" w:hAnsi="仿宋_GB2312" w:cs="仿宋_GB2312"/>
          <w:kern w:val="0"/>
          <w:shd w:val="clear" w:color="auto" w:fill="FFFFFF"/>
          <w:lang w:val="zh-CN"/>
        </w:rPr>
        <w:t>工作，该项经费纳入</w:t>
      </w:r>
      <w:r>
        <w:rPr>
          <w:rFonts w:hint="eastAsia" w:ascii="仿宋_GB2312" w:hAnsi="仿宋_GB2312" w:cs="仿宋_GB2312"/>
          <w:kern w:val="0"/>
          <w:shd w:val="clear" w:color="auto" w:fill="FFFFFF"/>
          <w:lang w:val="en-US" w:eastAsia="zh-CN"/>
        </w:rPr>
        <w:t>区合中心</w:t>
      </w:r>
      <w:r>
        <w:rPr>
          <w:rFonts w:hint="eastAsia" w:ascii="仿宋_GB2312" w:hAnsi="仿宋_GB2312" w:cs="仿宋_GB2312"/>
          <w:kern w:val="0"/>
          <w:shd w:val="clear" w:color="auto" w:fill="FFFFFF"/>
          <w:lang w:val="zh-CN"/>
        </w:rPr>
        <w:t>预算。</w:t>
      </w:r>
    </w:p>
    <w:p w14:paraId="00B6D815">
      <w:pPr>
        <w:keepNext w:val="0"/>
        <w:keepLines w:val="0"/>
        <w:pageBreakBefore w:val="0"/>
        <w:kinsoku/>
        <w:wordWrap/>
        <w:overflowPunct/>
        <w:topLinePunct w:val="0"/>
        <w:autoSpaceDE/>
        <w:autoSpaceDN/>
        <w:bidi w:val="0"/>
        <w:adjustRightInd w:val="0"/>
        <w:snapToGrid w:val="0"/>
        <w:spacing w:line="578" w:lineRule="exact"/>
        <w:ind w:left="0" w:leftChars="0" w:firstLine="643" w:firstLineChars="200"/>
        <w:textAlignment w:val="auto"/>
        <w:rPr>
          <w:rFonts w:hint="default" w:ascii="Times New Roman" w:hAnsi="Times New Roman" w:eastAsia="楷体_GB2312" w:cs="Times New Roman"/>
          <w:b/>
          <w:color w:val="auto"/>
          <w:sz w:val="32"/>
          <w:szCs w:val="32"/>
          <w:highlight w:val="none"/>
          <w:u w:val="none"/>
          <w:lang w:val="en-US" w:eastAsia="zh-CN"/>
        </w:rPr>
      </w:pPr>
      <w:r>
        <w:rPr>
          <w:rFonts w:hint="default" w:ascii="Times New Roman" w:hAnsi="Times New Roman" w:eastAsia="楷体_GB2312" w:cs="Times New Roman"/>
          <w:b/>
          <w:color w:val="auto"/>
          <w:sz w:val="32"/>
          <w:szCs w:val="32"/>
          <w:highlight w:val="none"/>
          <w:u w:val="none"/>
          <w:lang w:val="zh-CN"/>
        </w:rPr>
        <w:t>（二）</w:t>
      </w:r>
      <w:r>
        <w:rPr>
          <w:rFonts w:hint="default" w:ascii="Times New Roman" w:hAnsi="Times New Roman" w:eastAsia="楷体_GB2312" w:cs="Times New Roman"/>
          <w:b/>
          <w:color w:val="auto"/>
          <w:sz w:val="32"/>
          <w:szCs w:val="32"/>
          <w:highlight w:val="none"/>
          <w:u w:val="none"/>
          <w:lang w:val="en-US" w:eastAsia="zh-CN"/>
        </w:rPr>
        <w:t>实施目的及支持方向</w:t>
      </w:r>
    </w:p>
    <w:p w14:paraId="3F954DBF">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cs="Times New Roman"/>
          <w:color w:val="auto"/>
          <w:kern w:val="0"/>
          <w:sz w:val="32"/>
          <w:szCs w:val="32"/>
          <w:highlight w:val="none"/>
          <w:u w:val="none"/>
          <w:shd w:val="clear" w:color="auto" w:fill="FFFFFF"/>
          <w:lang w:val="zh-CN"/>
        </w:rPr>
        <w:t>项目主要工作任务</w:t>
      </w:r>
      <w:r>
        <w:rPr>
          <w:rFonts w:hint="eastAsia" w:cs="Times New Roman"/>
          <w:color w:val="auto"/>
          <w:kern w:val="0"/>
          <w:sz w:val="32"/>
          <w:szCs w:val="32"/>
          <w:highlight w:val="none"/>
          <w:u w:val="none"/>
          <w:shd w:val="clear" w:color="auto" w:fill="FFFFFF"/>
          <w:lang w:val="zh-CN"/>
        </w:rPr>
        <w:t>是</w:t>
      </w:r>
      <w:r>
        <w:rPr>
          <w:rFonts w:hint="default" w:ascii="Times New Roman" w:hAnsi="Times New Roman" w:cs="Times New Roman"/>
          <w:color w:val="auto"/>
          <w:kern w:val="0"/>
          <w:sz w:val="32"/>
          <w:szCs w:val="32"/>
          <w:highlight w:val="none"/>
          <w:u w:val="none"/>
          <w:shd w:val="clear" w:color="auto" w:fill="FFFFFF"/>
          <w:lang w:val="en-US" w:eastAsia="zh-CN"/>
        </w:rPr>
        <w:t>购置一批办公设备、家具，为区域合作服务中心正常开展工作提供必要的</w:t>
      </w:r>
      <w:r>
        <w:rPr>
          <w:rFonts w:hint="eastAsia" w:cs="Times New Roman"/>
          <w:color w:val="auto"/>
          <w:kern w:val="0"/>
          <w:sz w:val="32"/>
          <w:szCs w:val="32"/>
          <w:highlight w:val="none"/>
          <w:u w:val="none"/>
          <w:shd w:val="clear" w:color="auto" w:fill="FFFFFF"/>
          <w:lang w:val="en-US" w:eastAsia="zh-CN"/>
        </w:rPr>
        <w:t>办公设施</w:t>
      </w:r>
      <w:r>
        <w:rPr>
          <w:rFonts w:hint="default" w:ascii="Times New Roman" w:hAnsi="Times New Roman" w:cs="Times New Roman"/>
          <w:color w:val="auto"/>
          <w:kern w:val="0"/>
          <w:sz w:val="32"/>
          <w:szCs w:val="32"/>
          <w:highlight w:val="none"/>
          <w:u w:val="none"/>
          <w:shd w:val="clear" w:color="auto" w:fill="FFFFFF"/>
          <w:lang w:val="en-US" w:eastAsia="zh-CN"/>
        </w:rPr>
        <w:t>。</w:t>
      </w:r>
    </w:p>
    <w:p w14:paraId="6A87ACC0">
      <w:pPr>
        <w:keepNext w:val="0"/>
        <w:keepLines w:val="0"/>
        <w:pageBreakBefore w:val="0"/>
        <w:widowControl/>
        <w:numPr>
          <w:ilvl w:val="0"/>
          <w:numId w:val="5"/>
        </w:numPr>
        <w:kinsoku/>
        <w:wordWrap/>
        <w:overflowPunct/>
        <w:topLinePunct w:val="0"/>
        <w:autoSpaceDE/>
        <w:autoSpaceDN/>
        <w:bidi w:val="0"/>
        <w:adjustRightInd w:val="0"/>
        <w:snapToGrid w:val="0"/>
        <w:spacing w:line="578" w:lineRule="exact"/>
        <w:ind w:firstLine="643" w:firstLineChars="200"/>
        <w:contextualSpacing/>
        <w:jc w:val="left"/>
        <w:textAlignment w:val="auto"/>
        <w:rPr>
          <w:rFonts w:hint="default" w:ascii="Times New Roman" w:hAnsi="Times New Roman" w:eastAsia="楷体_GB2312" w:cs="Times New Roman"/>
          <w:b/>
          <w:color w:val="auto"/>
          <w:sz w:val="32"/>
          <w:szCs w:val="32"/>
          <w:highlight w:val="none"/>
          <w:u w:val="none"/>
          <w:lang w:val="zh-CN" w:eastAsia="zh-CN"/>
        </w:rPr>
      </w:pPr>
      <w:r>
        <w:rPr>
          <w:rFonts w:hint="default" w:ascii="Times New Roman" w:hAnsi="Times New Roman" w:eastAsia="楷体_GB2312" w:cs="Times New Roman"/>
          <w:b/>
          <w:color w:val="auto"/>
          <w:sz w:val="32"/>
          <w:szCs w:val="32"/>
          <w:highlight w:val="none"/>
          <w:u w:val="none"/>
          <w:lang w:val="en-US" w:eastAsia="zh-CN"/>
        </w:rPr>
        <w:t>预算安排及分配管理</w:t>
      </w:r>
    </w:p>
    <w:p w14:paraId="6CCC718A">
      <w:pPr>
        <w:widowControl/>
        <w:adjustRightInd w:val="0"/>
        <w:snapToGrid w:val="0"/>
        <w:spacing w:line="578" w:lineRule="exact"/>
        <w:ind w:firstLine="640" w:firstLineChars="200"/>
        <w:contextualSpacing/>
        <w:jc w:val="left"/>
        <w:rPr>
          <w:rFonts w:hint="default" w:ascii="Times New Roman" w:hAnsi="Times New Roman" w:eastAsia="仿宋_GB2312" w:cs="Times New Roman"/>
          <w:color w:val="auto"/>
          <w:kern w:val="0"/>
          <w:sz w:val="32"/>
          <w:szCs w:val="32"/>
          <w:highlight w:val="none"/>
          <w:u w:val="none"/>
          <w:shd w:val="clear" w:color="auto" w:fill="FFFFFF"/>
          <w:lang w:val="en-US" w:eastAsia="zh-CN"/>
        </w:rPr>
      </w:pPr>
      <w:r>
        <w:rPr>
          <w:rFonts w:hint="eastAsia" w:ascii="仿宋_GB2312" w:hAnsi="仿宋_GB2312" w:cs="仿宋_GB2312"/>
          <w:kern w:val="0"/>
          <w:shd w:val="clear" w:color="auto" w:fill="FFFFFF"/>
          <w:lang w:val="en-US" w:eastAsia="zh-CN"/>
        </w:rPr>
        <w:t>区域合作服务中心前期</w:t>
      </w:r>
      <w:r>
        <w:rPr>
          <w:rFonts w:hint="eastAsia" w:ascii="Times New Roman" w:hAnsi="Times New Roman" w:cs="Times New Roman"/>
          <w:color w:val="auto"/>
          <w:kern w:val="0"/>
          <w:sz w:val="32"/>
          <w:szCs w:val="32"/>
          <w:highlight w:val="none"/>
          <w:u w:val="none"/>
          <w:shd w:val="clear" w:color="auto" w:fill="FFFFFF"/>
          <w:lang w:val="en-US" w:eastAsia="zh-CN"/>
        </w:rPr>
        <w:t>工作经费</w:t>
      </w:r>
      <w:r>
        <w:rPr>
          <w:rFonts w:hint="default" w:ascii="Times New Roman" w:hAnsi="Times New Roman" w:cs="Times New Roman"/>
          <w:color w:val="auto"/>
          <w:kern w:val="0"/>
          <w:sz w:val="32"/>
          <w:szCs w:val="32"/>
          <w:highlight w:val="none"/>
          <w:u w:val="none"/>
          <w:shd w:val="clear" w:color="auto" w:fill="FFFFFF"/>
          <w:lang w:val="en-US" w:eastAsia="zh-CN"/>
        </w:rPr>
        <w:t>预算</w:t>
      </w:r>
      <w:r>
        <w:rPr>
          <w:rFonts w:hint="eastAsia" w:cs="Times New Roman"/>
          <w:color w:val="auto"/>
          <w:kern w:val="0"/>
          <w:sz w:val="32"/>
          <w:szCs w:val="32"/>
          <w:highlight w:val="none"/>
          <w:u w:val="none"/>
          <w:shd w:val="clear" w:color="auto" w:fill="FFFFFF"/>
          <w:lang w:val="en-US" w:eastAsia="zh-CN"/>
        </w:rPr>
        <w:t>20</w:t>
      </w:r>
      <w:r>
        <w:rPr>
          <w:rFonts w:hint="default" w:ascii="Times New Roman" w:hAnsi="Times New Roman" w:cs="Times New Roman"/>
          <w:color w:val="auto"/>
          <w:kern w:val="0"/>
          <w:sz w:val="32"/>
          <w:szCs w:val="32"/>
          <w:highlight w:val="none"/>
          <w:u w:val="none"/>
          <w:shd w:val="clear" w:color="auto" w:fill="FFFFFF"/>
          <w:lang w:val="en-US" w:eastAsia="zh-CN"/>
        </w:rPr>
        <w:t>万元，</w:t>
      </w:r>
      <w:r>
        <w:rPr>
          <w:rFonts w:hint="eastAsia" w:ascii="Times New Roman" w:hAnsi="Times New Roman" w:cs="Times New Roman"/>
          <w:color w:val="auto"/>
          <w:kern w:val="0"/>
          <w:sz w:val="32"/>
          <w:szCs w:val="32"/>
          <w:highlight w:val="none"/>
          <w:u w:val="none"/>
          <w:shd w:val="clear" w:color="auto" w:fill="FFFFFF"/>
          <w:lang w:val="en-US" w:eastAsia="zh-CN"/>
        </w:rPr>
        <w:t>资金</w:t>
      </w:r>
      <w:r>
        <w:rPr>
          <w:rFonts w:hint="eastAsia" w:cs="Times New Roman"/>
          <w:color w:val="auto"/>
          <w:kern w:val="0"/>
          <w:sz w:val="32"/>
          <w:szCs w:val="32"/>
          <w:highlight w:val="none"/>
          <w:u w:val="none"/>
          <w:shd w:val="clear" w:color="auto" w:fill="FFFFFF"/>
          <w:lang w:val="en-US" w:eastAsia="zh-CN"/>
        </w:rPr>
        <w:t>立项</w:t>
      </w:r>
      <w:r>
        <w:rPr>
          <w:rFonts w:hint="eastAsia" w:ascii="Times New Roman" w:hAnsi="Times New Roman" w:cs="Times New Roman"/>
          <w:color w:val="auto"/>
          <w:kern w:val="0"/>
          <w:sz w:val="32"/>
          <w:szCs w:val="32"/>
          <w:highlight w:val="none"/>
          <w:u w:val="none"/>
          <w:shd w:val="clear" w:color="auto" w:fill="FFFFFF"/>
          <w:lang w:val="en-US" w:eastAsia="zh-CN"/>
        </w:rPr>
        <w:t>申报</w:t>
      </w:r>
      <w:r>
        <w:rPr>
          <w:rFonts w:hint="eastAsia" w:cs="Times New Roman"/>
          <w:color w:val="auto"/>
          <w:kern w:val="0"/>
          <w:sz w:val="32"/>
          <w:szCs w:val="32"/>
          <w:highlight w:val="none"/>
          <w:u w:val="none"/>
          <w:shd w:val="clear" w:color="auto" w:fill="FFFFFF"/>
          <w:lang w:val="en-US" w:eastAsia="zh-CN"/>
        </w:rPr>
        <w:t>依据为</w:t>
      </w:r>
      <w:r>
        <w:rPr>
          <w:rFonts w:hint="eastAsia" w:ascii="Times New Roman" w:hAnsi="Times New Roman" w:cs="Times New Roman"/>
          <w:color w:val="auto"/>
          <w:kern w:val="0"/>
          <w:sz w:val="32"/>
          <w:szCs w:val="32"/>
          <w:highlight w:val="none"/>
          <w:u w:val="none"/>
          <w:shd w:val="clear" w:color="auto" w:fill="FFFFFF"/>
          <w:lang w:val="en-US" w:eastAsia="zh-CN"/>
        </w:rPr>
        <w:t>（</w:t>
      </w:r>
      <w:r>
        <w:rPr>
          <w:rFonts w:hint="default" w:ascii="Times New Roman" w:hAnsi="Times New Roman" w:cs="Times New Roman"/>
          <w:color w:val="auto"/>
          <w:kern w:val="0"/>
          <w:sz w:val="32"/>
          <w:szCs w:val="32"/>
          <w:highlight w:val="none"/>
          <w:u w:val="none"/>
          <w:shd w:val="clear" w:color="auto" w:fill="FFFFFF"/>
          <w:lang w:val="en-US" w:eastAsia="zh-CN"/>
        </w:rPr>
        <w:t>渠财</w:t>
      </w:r>
      <w:r>
        <w:rPr>
          <w:rFonts w:hint="eastAsia" w:cs="Times New Roman"/>
          <w:color w:val="auto"/>
          <w:kern w:val="0"/>
          <w:sz w:val="32"/>
          <w:szCs w:val="32"/>
          <w:highlight w:val="none"/>
          <w:u w:val="none"/>
          <w:shd w:val="clear" w:color="auto" w:fill="FFFFFF"/>
          <w:lang w:val="en-US" w:eastAsia="zh-CN"/>
        </w:rPr>
        <w:t>预</w:t>
      </w:r>
      <w:r>
        <w:rPr>
          <w:rFonts w:hint="default" w:ascii="Times New Roman" w:hAnsi="Times New Roman" w:cs="Times New Roman"/>
          <w:color w:val="auto"/>
          <w:kern w:val="0"/>
          <w:sz w:val="32"/>
          <w:szCs w:val="32"/>
          <w:highlight w:val="none"/>
          <w:u w:val="none"/>
          <w:shd w:val="clear" w:color="auto" w:fill="FFFFFF"/>
          <w:lang w:val="en-US" w:eastAsia="zh-CN"/>
        </w:rPr>
        <w:t>〔202</w:t>
      </w:r>
      <w:r>
        <w:rPr>
          <w:rFonts w:hint="eastAsia" w:cs="Times New Roman"/>
          <w:color w:val="auto"/>
          <w:kern w:val="0"/>
          <w:sz w:val="32"/>
          <w:szCs w:val="32"/>
          <w:highlight w:val="none"/>
          <w:u w:val="none"/>
          <w:shd w:val="clear" w:color="auto" w:fill="FFFFFF"/>
          <w:lang w:val="en-US" w:eastAsia="zh-CN"/>
        </w:rPr>
        <w:t>4</w:t>
      </w:r>
      <w:r>
        <w:rPr>
          <w:rFonts w:hint="default" w:ascii="Times New Roman" w:hAnsi="Times New Roman" w:cs="Times New Roman"/>
          <w:color w:val="auto"/>
          <w:kern w:val="0"/>
          <w:sz w:val="32"/>
          <w:szCs w:val="32"/>
          <w:highlight w:val="none"/>
          <w:u w:val="none"/>
          <w:shd w:val="clear" w:color="auto" w:fill="FFFFFF"/>
          <w:lang w:val="en-US" w:eastAsia="zh-CN"/>
        </w:rPr>
        <w:t>〕</w:t>
      </w:r>
      <w:r>
        <w:rPr>
          <w:rFonts w:hint="eastAsia" w:cs="Times New Roman"/>
          <w:color w:val="auto"/>
          <w:kern w:val="0"/>
          <w:sz w:val="32"/>
          <w:szCs w:val="32"/>
          <w:highlight w:val="none"/>
          <w:u w:val="none"/>
          <w:shd w:val="clear" w:color="auto" w:fill="FFFFFF"/>
          <w:lang w:val="en-US" w:eastAsia="zh-CN"/>
        </w:rPr>
        <w:t>005</w:t>
      </w:r>
      <w:r>
        <w:rPr>
          <w:rFonts w:hint="default" w:ascii="Times New Roman" w:hAnsi="Times New Roman" w:cs="Times New Roman"/>
          <w:color w:val="auto"/>
          <w:kern w:val="0"/>
          <w:sz w:val="32"/>
          <w:szCs w:val="32"/>
          <w:highlight w:val="none"/>
          <w:u w:val="none"/>
          <w:shd w:val="clear" w:color="auto" w:fill="FFFFFF"/>
          <w:lang w:val="en-US" w:eastAsia="zh-CN"/>
        </w:rPr>
        <w:t>号</w:t>
      </w:r>
      <w:r>
        <w:rPr>
          <w:rFonts w:hint="eastAsia" w:ascii="Times New Roman" w:hAnsi="Times New Roman" w:cs="Times New Roman"/>
          <w:color w:val="auto"/>
          <w:kern w:val="0"/>
          <w:sz w:val="32"/>
          <w:szCs w:val="32"/>
          <w:highlight w:val="none"/>
          <w:u w:val="none"/>
          <w:shd w:val="clear" w:color="auto" w:fill="FFFFFF"/>
          <w:lang w:val="en-US" w:eastAsia="zh-CN"/>
        </w:rPr>
        <w:t>）</w:t>
      </w:r>
      <w:r>
        <w:rPr>
          <w:rFonts w:hint="eastAsia" w:cs="Times New Roman"/>
          <w:color w:val="auto"/>
          <w:kern w:val="0"/>
          <w:sz w:val="32"/>
          <w:szCs w:val="32"/>
          <w:highlight w:val="none"/>
          <w:u w:val="none"/>
          <w:shd w:val="clear" w:color="auto" w:fill="FFFFFF"/>
          <w:lang w:val="en-US" w:eastAsia="zh-CN"/>
        </w:rPr>
        <w:t>，资金</w:t>
      </w:r>
      <w:r>
        <w:rPr>
          <w:rFonts w:hint="default" w:ascii="Times New Roman" w:hAnsi="Times New Roman" w:cs="Times New Roman"/>
          <w:color w:val="auto"/>
          <w:kern w:val="0"/>
          <w:sz w:val="32"/>
          <w:szCs w:val="32"/>
          <w:highlight w:val="none"/>
          <w:u w:val="none"/>
          <w:shd w:val="clear" w:color="auto" w:fill="FFFFFF"/>
          <w:lang w:val="en-US" w:eastAsia="zh-CN"/>
        </w:rPr>
        <w:t>由财政全额拨款</w:t>
      </w:r>
      <w:r>
        <w:rPr>
          <w:rFonts w:hint="eastAsia" w:cs="Times New Roman"/>
          <w:color w:val="auto"/>
          <w:kern w:val="0"/>
          <w:sz w:val="32"/>
          <w:szCs w:val="32"/>
          <w:highlight w:val="none"/>
          <w:u w:val="none"/>
          <w:shd w:val="clear" w:color="auto" w:fill="FFFFFF"/>
          <w:lang w:val="en-US" w:eastAsia="zh-CN"/>
        </w:rPr>
        <w:t>下达</w:t>
      </w:r>
      <w:r>
        <w:rPr>
          <w:rFonts w:hint="default" w:ascii="Times New Roman" w:hAnsi="Times New Roman" w:cs="Times New Roman"/>
          <w:color w:val="auto"/>
          <w:kern w:val="0"/>
          <w:sz w:val="32"/>
          <w:szCs w:val="32"/>
          <w:highlight w:val="none"/>
          <w:u w:val="none"/>
          <w:shd w:val="clear" w:color="auto" w:fill="FFFFFF"/>
          <w:lang w:val="en-US" w:eastAsia="zh-CN"/>
        </w:rPr>
        <w:t>。</w:t>
      </w:r>
    </w:p>
    <w:p w14:paraId="37520227">
      <w:pPr>
        <w:keepNext w:val="0"/>
        <w:keepLines w:val="0"/>
        <w:pageBreakBefore w:val="0"/>
        <w:numPr>
          <w:ilvl w:val="0"/>
          <w:numId w:val="6"/>
        </w:numPr>
        <w:kinsoku/>
        <w:wordWrap/>
        <w:overflowPunct/>
        <w:topLinePunct w:val="0"/>
        <w:autoSpaceDE/>
        <w:autoSpaceDN/>
        <w:bidi w:val="0"/>
        <w:adjustRightInd w:val="0"/>
        <w:snapToGrid w:val="0"/>
        <w:spacing w:line="578" w:lineRule="exact"/>
        <w:ind w:leftChars="200"/>
        <w:textAlignment w:val="auto"/>
        <w:rPr>
          <w:rFonts w:hint="default" w:ascii="Times New Roman" w:hAnsi="Times New Roman" w:cs="Times New Roman"/>
          <w:color w:val="auto"/>
          <w:kern w:val="0"/>
          <w:sz w:val="32"/>
          <w:szCs w:val="32"/>
          <w:highlight w:val="none"/>
          <w:u w:val="none"/>
          <w:shd w:val="clear" w:color="auto" w:fill="FFFFFF"/>
          <w:lang w:val="en-US" w:eastAsia="zh-CN"/>
        </w:rPr>
      </w:pPr>
      <w:r>
        <w:rPr>
          <w:rFonts w:hint="default" w:ascii="Times New Roman" w:hAnsi="Times New Roman" w:eastAsia="楷体_GB2312" w:cs="Times New Roman"/>
          <w:b/>
          <w:color w:val="auto"/>
          <w:sz w:val="32"/>
          <w:szCs w:val="32"/>
          <w:highlight w:val="none"/>
          <w:u w:val="none"/>
          <w:lang w:val="zh-CN" w:eastAsia="zh-CN"/>
        </w:rPr>
        <w:t>项目绩效目标设置</w:t>
      </w:r>
    </w:p>
    <w:p w14:paraId="51A61BE1">
      <w:pPr>
        <w:adjustRightInd w:val="0"/>
        <w:snapToGrid w:val="0"/>
        <w:spacing w:line="578" w:lineRule="exact"/>
        <w:ind w:firstLine="640" w:firstLineChars="200"/>
        <w:rPr>
          <w:rFonts w:ascii="仿宋_GB2312" w:hAnsi="仿宋_GB2312" w:cs="仿宋_GB2312"/>
          <w:kern w:val="0"/>
          <w:shd w:val="clear" w:color="auto" w:fill="FFFFFF"/>
          <w:lang w:val="zh-CN"/>
        </w:rPr>
      </w:pPr>
      <w:r>
        <w:rPr>
          <w:rFonts w:hint="eastAsia" w:ascii="仿宋_GB2312" w:hAnsi="仿宋_GB2312" w:cs="仿宋_GB2312"/>
          <w:kern w:val="0"/>
          <w:shd w:val="clear" w:color="auto" w:fill="FFFFFF"/>
          <w:lang w:val="zh-CN"/>
        </w:rPr>
        <w:t>项目年度目标：</w:t>
      </w:r>
      <w:r>
        <w:rPr>
          <w:rFonts w:hint="eastAsia" w:ascii="仿宋_GB2312" w:hAnsi="仿宋_GB2312" w:cs="仿宋_GB2312"/>
          <w:kern w:val="0"/>
          <w:shd w:val="clear" w:color="auto" w:fill="FFFFFF"/>
          <w:lang w:val="en-US" w:eastAsia="zh-CN"/>
        </w:rPr>
        <w:t>前期服务工作经费</w:t>
      </w:r>
      <w:r>
        <w:rPr>
          <w:rFonts w:hint="eastAsia" w:ascii="仿宋_GB2312" w:hAnsi="仿宋_GB2312" w:cs="仿宋_GB2312"/>
          <w:kern w:val="0"/>
          <w:shd w:val="clear" w:color="auto" w:fill="FFFFFF"/>
          <w:lang w:val="zh-CN"/>
        </w:rPr>
        <w:t>。</w:t>
      </w:r>
    </w:p>
    <w:p w14:paraId="03F1B30D">
      <w:pPr>
        <w:adjustRightInd w:val="0"/>
        <w:snapToGrid w:val="0"/>
        <w:spacing w:line="578" w:lineRule="exact"/>
        <w:ind w:firstLine="640" w:firstLineChars="200"/>
        <w:rPr>
          <w:rFonts w:ascii="仿宋_GB2312" w:hAnsi="仿宋_GB2312" w:cs="仿宋_GB2312"/>
          <w:kern w:val="0"/>
          <w:shd w:val="clear" w:color="auto" w:fill="FFFFFF"/>
          <w:lang w:val="zh-CN"/>
        </w:rPr>
      </w:pPr>
      <w:r>
        <w:rPr>
          <w:rFonts w:hint="eastAsia" w:ascii="仿宋_GB2312" w:hAnsi="仿宋_GB2312" w:cs="仿宋_GB2312"/>
          <w:kern w:val="0"/>
          <w:shd w:val="clear" w:color="auto" w:fill="FFFFFF"/>
          <w:lang w:val="zh-CN"/>
        </w:rPr>
        <w:t>项目具体绩效目标：本项目共设置</w:t>
      </w:r>
      <w:r>
        <w:rPr>
          <w:rFonts w:hint="eastAsia" w:ascii="仿宋_GB2312" w:hAnsi="仿宋_GB2312" w:cs="仿宋_GB2312"/>
          <w:kern w:val="0"/>
          <w:shd w:val="clear" w:color="auto" w:fill="FFFFFF"/>
          <w:lang w:val="en-US" w:eastAsia="zh-CN"/>
        </w:rPr>
        <w:t>12</w:t>
      </w:r>
      <w:r>
        <w:rPr>
          <w:rFonts w:hint="eastAsia" w:ascii="仿宋_GB2312" w:hAnsi="仿宋_GB2312" w:cs="仿宋_GB2312"/>
          <w:kern w:val="0"/>
          <w:shd w:val="clear" w:color="auto" w:fill="FFFFFF"/>
          <w:lang w:val="zh-CN"/>
        </w:rPr>
        <w:t>个三级指标。具体如下：数量指标：</w:t>
      </w:r>
      <w:r>
        <w:rPr>
          <w:rFonts w:hint="eastAsia" w:ascii="仿宋_GB2312" w:hAnsi="仿宋_GB2312" w:cs="仿宋_GB2312"/>
          <w:kern w:val="0"/>
          <w:shd w:val="clear" w:color="auto" w:fill="FFFFFF"/>
          <w:lang w:val="en-US" w:eastAsia="zh-CN"/>
        </w:rPr>
        <w:t>购置茶几个数=2个，购置办公沙发套数=7套，购置空调台数=7台，购置办公椅个数=17个，购置打印机台数=6台，购置办公桌张数=17张，购置办公电脑台数=13台</w:t>
      </w:r>
      <w:r>
        <w:rPr>
          <w:rFonts w:hint="eastAsia" w:ascii="仿宋_GB2312" w:hAnsi="仿宋_GB2312" w:cs="仿宋_GB2312"/>
          <w:kern w:val="0"/>
          <w:shd w:val="clear" w:color="auto" w:fill="FFFFFF"/>
          <w:lang w:val="zh-CN"/>
        </w:rPr>
        <w:t>，质量指标：</w:t>
      </w:r>
      <w:r>
        <w:rPr>
          <w:rFonts w:hint="eastAsia" w:ascii="仿宋_GB2312" w:hAnsi="仿宋_GB2312" w:cs="仿宋_GB2312"/>
          <w:kern w:val="0"/>
          <w:shd w:val="clear" w:color="auto" w:fill="FFFFFF"/>
          <w:lang w:val="en-US" w:eastAsia="zh-CN"/>
        </w:rPr>
        <w:t>验收合格</w:t>
      </w:r>
      <w:r>
        <w:rPr>
          <w:rFonts w:hint="eastAsia" w:ascii="仿宋_GB2312" w:hAnsi="仿宋_GB2312" w:cs="仿宋_GB2312"/>
          <w:kern w:val="0"/>
          <w:shd w:val="clear" w:color="auto" w:fill="FFFFFF"/>
          <w:lang w:val="zh-CN"/>
        </w:rPr>
        <w:t>率</w:t>
      </w:r>
      <w:r>
        <w:rPr>
          <w:rFonts w:hint="eastAsia" w:ascii="仿宋_GB2312" w:hAnsi="仿宋_GB2312" w:cs="仿宋_GB2312"/>
          <w:kern w:val="0"/>
          <w:shd w:val="clear" w:color="auto" w:fill="FFFFFF"/>
          <w:lang w:val="en-US" w:eastAsia="zh-CN"/>
        </w:rPr>
        <w:t>=</w:t>
      </w:r>
      <w:r>
        <w:rPr>
          <w:rFonts w:hint="eastAsia" w:ascii="仿宋_GB2312" w:hAnsi="仿宋_GB2312" w:cs="仿宋_GB2312"/>
          <w:kern w:val="0"/>
          <w:shd w:val="clear" w:color="auto" w:fill="FFFFFF"/>
          <w:lang w:val="zh-CN"/>
        </w:rPr>
        <w:t>100%，时效指标：</w:t>
      </w:r>
      <w:r>
        <w:rPr>
          <w:rFonts w:hint="eastAsia" w:ascii="仿宋_GB2312" w:hAnsi="仿宋_GB2312" w:cs="仿宋_GB2312"/>
          <w:kern w:val="0"/>
          <w:shd w:val="clear" w:color="auto" w:fill="FFFFFF"/>
          <w:lang w:val="en-US" w:eastAsia="zh-CN"/>
        </w:rPr>
        <w:t>购置完成时效≤1年</w:t>
      </w:r>
      <w:r>
        <w:rPr>
          <w:rFonts w:hint="eastAsia" w:ascii="仿宋_GB2312" w:hAnsi="仿宋_GB2312" w:cs="仿宋_GB2312"/>
          <w:kern w:val="0"/>
          <w:shd w:val="clear" w:color="auto" w:fill="FFFFFF"/>
          <w:lang w:val="zh-CN"/>
        </w:rPr>
        <w:t>，</w:t>
      </w:r>
      <w:r>
        <w:rPr>
          <w:rFonts w:hint="eastAsia" w:ascii="仿宋_GB2312" w:hAnsi="仿宋_GB2312" w:cs="仿宋_GB2312"/>
          <w:kern w:val="0"/>
          <w:shd w:val="clear" w:color="auto" w:fill="FFFFFF"/>
          <w:lang w:val="en-US" w:eastAsia="zh-CN"/>
        </w:rPr>
        <w:t>单位</w:t>
      </w:r>
      <w:r>
        <w:rPr>
          <w:rFonts w:hint="eastAsia" w:ascii="仿宋_GB2312" w:hAnsi="仿宋_GB2312" w:cs="仿宋_GB2312"/>
          <w:kern w:val="0"/>
          <w:shd w:val="clear" w:color="auto" w:fill="FFFFFF"/>
          <w:lang w:val="zh-CN"/>
        </w:rPr>
        <w:t>效益指标：</w:t>
      </w:r>
      <w:r>
        <w:rPr>
          <w:rFonts w:hint="eastAsia" w:ascii="仿宋_GB2312" w:hAnsi="仿宋_GB2312" w:cs="仿宋_GB2312"/>
          <w:kern w:val="0"/>
          <w:shd w:val="clear" w:color="auto" w:fill="FFFFFF"/>
          <w:lang w:val="en-US" w:eastAsia="zh-CN"/>
        </w:rPr>
        <w:t>设备配置率</w:t>
      </w:r>
      <w:r>
        <w:rPr>
          <w:rFonts w:hint="eastAsia" w:ascii="仿宋_GB2312" w:hAnsi="仿宋_GB2312" w:cs="仿宋_GB2312"/>
          <w:kern w:val="0"/>
          <w:shd w:val="clear" w:color="auto" w:fill="FFFFFF"/>
          <w:lang w:val="zh-CN"/>
        </w:rPr>
        <w:t>≥</w:t>
      </w:r>
      <w:r>
        <w:rPr>
          <w:rFonts w:hint="eastAsia" w:ascii="仿宋_GB2312" w:hAnsi="仿宋_GB2312" w:cs="仿宋_GB2312"/>
          <w:kern w:val="0"/>
          <w:shd w:val="clear" w:color="auto" w:fill="FFFFFF"/>
          <w:lang w:val="en-US" w:eastAsia="zh-CN"/>
        </w:rPr>
        <w:t>95%</w:t>
      </w:r>
      <w:r>
        <w:rPr>
          <w:rFonts w:hint="eastAsia" w:ascii="仿宋_GB2312" w:hAnsi="仿宋_GB2312" w:cs="仿宋_GB2312"/>
          <w:kern w:val="0"/>
          <w:shd w:val="clear" w:color="auto" w:fill="FFFFFF"/>
          <w:lang w:val="zh-CN"/>
        </w:rPr>
        <w:t>，满意度指标：</w:t>
      </w:r>
      <w:r>
        <w:rPr>
          <w:rFonts w:hint="eastAsia" w:ascii="仿宋_GB2312" w:hAnsi="仿宋_GB2312" w:cs="仿宋_GB2312"/>
          <w:kern w:val="0"/>
          <w:shd w:val="clear" w:color="auto" w:fill="FFFFFF"/>
          <w:lang w:val="en-US" w:eastAsia="zh-CN"/>
        </w:rPr>
        <w:t>问题反馈次数≤15次，</w:t>
      </w:r>
      <w:r>
        <w:rPr>
          <w:rFonts w:hint="eastAsia" w:ascii="仿宋_GB2312" w:hAnsi="仿宋_GB2312" w:cs="仿宋_GB2312"/>
          <w:kern w:val="0"/>
          <w:shd w:val="clear" w:color="auto" w:fill="FFFFFF"/>
          <w:lang w:val="zh-CN"/>
        </w:rPr>
        <w:t>经济成本指标：项目成本</w:t>
      </w:r>
      <w:r>
        <w:rPr>
          <w:rFonts w:hint="default" w:ascii="Arial" w:hAnsi="Arial" w:cs="Arial"/>
          <w:kern w:val="0"/>
          <w:shd w:val="clear" w:color="auto" w:fill="FFFFFF"/>
          <w:lang w:val="zh-CN"/>
        </w:rPr>
        <w:t>≤</w:t>
      </w:r>
      <w:r>
        <w:rPr>
          <w:rFonts w:hint="eastAsia" w:ascii="仿宋_GB2312" w:hAnsi="仿宋_GB2312" w:cs="仿宋_GB2312"/>
          <w:kern w:val="0"/>
          <w:shd w:val="clear" w:color="auto" w:fill="FFFFFF"/>
          <w:lang w:val="en-US" w:eastAsia="zh-CN"/>
        </w:rPr>
        <w:t>20</w:t>
      </w:r>
      <w:r>
        <w:rPr>
          <w:rFonts w:hint="eastAsia" w:ascii="仿宋_GB2312" w:hAnsi="仿宋_GB2312" w:cs="仿宋_GB2312"/>
          <w:kern w:val="0"/>
          <w:shd w:val="clear" w:color="auto" w:fill="FFFFFF"/>
          <w:lang w:val="zh-CN"/>
        </w:rPr>
        <w:t>万。</w:t>
      </w:r>
    </w:p>
    <w:p w14:paraId="63AF7B43">
      <w:pPr>
        <w:adjustRightInd w:val="0"/>
        <w:snapToGrid w:val="0"/>
        <w:spacing w:line="578" w:lineRule="exact"/>
        <w:ind w:firstLine="640" w:firstLineChars="200"/>
        <w:rPr>
          <w:rFonts w:hint="default" w:ascii="Times New Roman" w:hAnsi="Times New Roman" w:cs="Times New Roman"/>
          <w:lang w:val="en-US" w:eastAsia="zh-CN"/>
        </w:rPr>
      </w:pPr>
      <w:r>
        <w:rPr>
          <w:rFonts w:hint="eastAsia" w:ascii="仿宋_GB2312" w:hAnsi="仿宋_GB2312" w:cs="仿宋_GB2312"/>
          <w:kern w:val="0"/>
          <w:shd w:val="clear" w:color="auto" w:fill="FFFFFF"/>
          <w:lang w:val="zh-CN"/>
        </w:rPr>
        <w:t>项目自评工作开展情况。根据《渠县财政局关于开展202</w:t>
      </w:r>
      <w:r>
        <w:rPr>
          <w:rFonts w:hint="eastAsia" w:ascii="仿宋_GB2312" w:hAnsi="仿宋_GB2312" w:cs="仿宋_GB2312"/>
          <w:kern w:val="0"/>
          <w:shd w:val="clear" w:color="auto" w:fill="FFFFFF"/>
          <w:lang w:val="en-US" w:eastAsia="zh-CN"/>
        </w:rPr>
        <w:t>5</w:t>
      </w:r>
      <w:r>
        <w:rPr>
          <w:rFonts w:hint="eastAsia" w:ascii="仿宋_GB2312" w:hAnsi="仿宋_GB2312" w:cs="仿宋_GB2312"/>
          <w:kern w:val="0"/>
          <w:shd w:val="clear" w:color="auto" w:fill="FFFFFF"/>
          <w:lang w:val="zh-CN"/>
        </w:rPr>
        <w:t>年县级部门绩效自评工作的通知》（渠财绩〔202</w:t>
      </w:r>
      <w:r>
        <w:rPr>
          <w:rFonts w:hint="eastAsia" w:ascii="仿宋_GB2312" w:hAnsi="仿宋_GB2312" w:cs="仿宋_GB2312"/>
          <w:kern w:val="0"/>
          <w:shd w:val="clear" w:color="auto" w:fill="FFFFFF"/>
          <w:lang w:val="en-US" w:eastAsia="zh-CN"/>
        </w:rPr>
        <w:t>5</w:t>
      </w:r>
      <w:r>
        <w:rPr>
          <w:rFonts w:hint="eastAsia" w:ascii="仿宋_GB2312" w:hAnsi="仿宋_GB2312" w:cs="仿宋_GB2312"/>
          <w:kern w:val="0"/>
          <w:shd w:val="clear" w:color="auto" w:fill="FFFFFF"/>
          <w:lang w:val="zh-CN"/>
        </w:rPr>
        <w:t>〕</w:t>
      </w:r>
      <w:r>
        <w:rPr>
          <w:rFonts w:hint="eastAsia" w:ascii="仿宋_GB2312" w:hAnsi="仿宋_GB2312" w:cs="仿宋_GB2312"/>
          <w:kern w:val="0"/>
          <w:shd w:val="clear" w:color="auto" w:fill="FFFFFF"/>
          <w:lang w:val="en-US" w:eastAsia="zh-CN"/>
        </w:rPr>
        <w:t>5</w:t>
      </w:r>
      <w:r>
        <w:rPr>
          <w:rFonts w:hint="eastAsia" w:ascii="仿宋_GB2312" w:hAnsi="仿宋_GB2312" w:cs="仿宋_GB2312"/>
          <w:kern w:val="0"/>
          <w:shd w:val="clear" w:color="auto" w:fill="FFFFFF"/>
          <w:lang w:val="zh-CN"/>
        </w:rPr>
        <w:t>号）要求，对</w:t>
      </w:r>
      <w:r>
        <w:rPr>
          <w:rFonts w:hint="eastAsia" w:ascii="仿宋_GB2312" w:hAnsi="仿宋_GB2312" w:cs="仿宋_GB2312"/>
          <w:kern w:val="0"/>
          <w:shd w:val="clear" w:color="auto" w:fill="FFFFFF"/>
          <w:lang w:val="en-US" w:eastAsia="zh-CN"/>
        </w:rPr>
        <w:t>前期服务工作经费专项预算项目</w:t>
      </w:r>
      <w:r>
        <w:rPr>
          <w:rFonts w:hint="eastAsia" w:ascii="仿宋_GB2312" w:hAnsi="仿宋_GB2312" w:cs="仿宋_GB2312"/>
          <w:kern w:val="0"/>
          <w:shd w:val="clear" w:color="auto" w:fill="FFFFFF"/>
          <w:lang w:val="zh-CN"/>
        </w:rPr>
        <w:t>开展了绩效自评，按照项目完成情况填列了《专项预算项目绩效目标完成情况自评表》，同时根据专项预算项目绩效评价指标体系选择适用的评价指标，形成项目的绩效评价指标体系，根据评价要点和评分方法，对项目绩效实现情况进行打分，形成评价结论，</w:t>
      </w:r>
      <w:r>
        <w:rPr>
          <w:rFonts w:hint="eastAsia" w:ascii="仿宋_GB2312" w:hAnsi="仿宋_GB2312" w:cs="仿宋_GB2312"/>
          <w:kern w:val="0"/>
          <w:shd w:val="clear" w:color="auto" w:fill="FFFFFF"/>
          <w:lang w:val="en-US" w:eastAsia="zh-CN"/>
        </w:rPr>
        <w:t>分析发现问题给出改进措施，</w:t>
      </w:r>
      <w:r>
        <w:rPr>
          <w:rFonts w:hint="eastAsia" w:ascii="仿宋_GB2312" w:hAnsi="仿宋_GB2312" w:cs="仿宋_GB2312"/>
          <w:kern w:val="0"/>
          <w:shd w:val="clear" w:color="auto" w:fill="FFFFFF"/>
          <w:lang w:val="zh-CN"/>
        </w:rPr>
        <w:t>撰写</w:t>
      </w:r>
      <w:r>
        <w:rPr>
          <w:rFonts w:hint="eastAsia" w:ascii="仿宋_GB2312" w:hAnsi="仿宋_GB2312" w:cs="仿宋_GB2312"/>
          <w:kern w:val="0"/>
          <w:shd w:val="clear" w:color="auto" w:fill="FFFFFF"/>
          <w:lang w:val="en-US" w:eastAsia="zh-CN"/>
        </w:rPr>
        <w:t>形成</w:t>
      </w:r>
      <w:r>
        <w:rPr>
          <w:rFonts w:hint="eastAsia" w:ascii="仿宋_GB2312" w:hAnsi="仿宋_GB2312" w:cs="仿宋_GB2312"/>
          <w:kern w:val="0"/>
          <w:shd w:val="clear" w:color="auto" w:fill="FFFFFF"/>
          <w:lang w:val="zh-CN"/>
        </w:rPr>
        <w:t>专项预算项目绩效自评报告。</w:t>
      </w:r>
    </w:p>
    <w:p w14:paraId="12FD8451">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outlineLvl w:val="9"/>
        <w:rPr>
          <w:rFonts w:hint="default" w:ascii="Times New Roman" w:hAnsi="Times New Roman" w:eastAsia="黑体" w:cs="Times New Roman"/>
          <w:highlight w:val="none"/>
          <w:lang w:eastAsia="zh-CN"/>
        </w:rPr>
      </w:pPr>
      <w:r>
        <w:rPr>
          <w:rFonts w:hint="default" w:ascii="Times New Roman" w:hAnsi="Times New Roman" w:eastAsia="黑体" w:cs="Times New Roman"/>
          <w:highlight w:val="none"/>
        </w:rPr>
        <w:t>二、</w:t>
      </w:r>
      <w:r>
        <w:rPr>
          <w:rFonts w:hint="default" w:ascii="Times New Roman" w:hAnsi="Times New Roman" w:eastAsia="黑体" w:cs="Times New Roman"/>
          <w:highlight w:val="none"/>
          <w:lang w:eastAsia="zh-CN"/>
        </w:rPr>
        <w:t>评价实施</w:t>
      </w:r>
    </w:p>
    <w:p w14:paraId="2FFEDCD4">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default" w:ascii="Times New Roman" w:hAnsi="Times New Roman" w:eastAsia="楷体_GB2312" w:cs="Times New Roman"/>
          <w:b/>
          <w:color w:val="auto"/>
          <w:sz w:val="32"/>
          <w:szCs w:val="32"/>
          <w:highlight w:val="none"/>
          <w:u w:val="none"/>
          <w:lang w:val="zh-CN"/>
        </w:rPr>
      </w:pPr>
      <w:r>
        <w:rPr>
          <w:rFonts w:hint="default" w:ascii="Times New Roman" w:hAnsi="Times New Roman" w:eastAsia="楷体_GB2312" w:cs="Times New Roman"/>
          <w:b/>
          <w:color w:val="auto"/>
          <w:sz w:val="32"/>
          <w:szCs w:val="32"/>
          <w:highlight w:val="none"/>
          <w:u w:val="none"/>
          <w:lang w:val="zh-CN"/>
        </w:rPr>
        <w:t>（一）评价目的</w:t>
      </w:r>
    </w:p>
    <w:p w14:paraId="5958A039">
      <w:pPr>
        <w:spacing w:line="578" w:lineRule="exact"/>
        <w:ind w:firstLine="640"/>
        <w:rPr>
          <w:rFonts w:hint="default" w:ascii="Times New Roman" w:hAnsi="Times New Roman" w:eastAsia="仿宋_GB2312" w:cs="Times New Roman"/>
          <w:lang w:val="en-US" w:eastAsia="zh-CN"/>
        </w:rPr>
      </w:pPr>
      <w:r>
        <w:rPr>
          <w:rFonts w:hint="eastAsia" w:cs="Times New Roman"/>
          <w:szCs w:val="32"/>
          <w:lang w:val="en-US" w:eastAsia="zh-CN"/>
        </w:rPr>
        <w:t>通过</w:t>
      </w:r>
      <w:r>
        <w:rPr>
          <w:rFonts w:hint="default" w:ascii="Times New Roman" w:hAnsi="Times New Roman" w:cs="Times New Roman"/>
          <w:szCs w:val="32"/>
          <w:lang w:eastAsia="zh-CN"/>
        </w:rPr>
        <w:t>项目</w:t>
      </w:r>
      <w:r>
        <w:rPr>
          <w:rFonts w:hint="default" w:ascii="Times New Roman" w:hAnsi="Times New Roman" w:eastAsia="仿宋_GB2312" w:cs="Times New Roman"/>
          <w:szCs w:val="32"/>
        </w:rPr>
        <w:t>绩效</w:t>
      </w:r>
      <w:r>
        <w:rPr>
          <w:rFonts w:hint="default" w:ascii="Times New Roman" w:hAnsi="Times New Roman" w:cs="Times New Roman"/>
          <w:szCs w:val="32"/>
          <w:lang w:eastAsia="zh-CN"/>
        </w:rPr>
        <w:t>自评</w:t>
      </w:r>
      <w:r>
        <w:rPr>
          <w:rFonts w:hint="default" w:ascii="Times New Roman" w:hAnsi="Times New Roman" w:cs="Times New Roman"/>
        </w:rPr>
        <w:t>提高</w:t>
      </w:r>
      <w:r>
        <w:rPr>
          <w:rFonts w:hint="default" w:ascii="Times New Roman" w:hAnsi="Times New Roman" w:cs="Times New Roman"/>
          <w:lang w:val="en-US" w:eastAsia="zh-CN"/>
        </w:rPr>
        <w:t>财政</w:t>
      </w:r>
      <w:r>
        <w:rPr>
          <w:rFonts w:hint="default" w:ascii="Times New Roman" w:hAnsi="Times New Roman" w:cs="Times New Roman"/>
        </w:rPr>
        <w:t>资金透明度，接受监督，</w:t>
      </w:r>
      <w:r>
        <w:rPr>
          <w:rFonts w:hint="default" w:ascii="Times New Roman" w:hAnsi="Times New Roman" w:cs="Times New Roman"/>
          <w:lang w:val="en-US" w:eastAsia="zh-CN"/>
        </w:rPr>
        <w:t>了解年度目标完成情况</w:t>
      </w:r>
      <w:r>
        <w:rPr>
          <w:rFonts w:hint="eastAsia" w:cs="Times New Roman"/>
          <w:lang w:val="en-US" w:eastAsia="zh-CN"/>
        </w:rPr>
        <w:t>，及时发现问题并提出整改措施，以提高资金使用效益达到预期目的</w:t>
      </w:r>
      <w:r>
        <w:rPr>
          <w:rFonts w:hint="default" w:ascii="Times New Roman" w:hAnsi="Times New Roman" w:cs="Times New Roman"/>
          <w:lang w:val="en-US" w:eastAsia="zh-CN"/>
        </w:rPr>
        <w:t>。</w:t>
      </w:r>
    </w:p>
    <w:p w14:paraId="4A45C888">
      <w:pPr>
        <w:keepNext w:val="0"/>
        <w:keepLines w:val="0"/>
        <w:pageBreakBefore w:val="0"/>
        <w:widowControl w:val="0"/>
        <w:numPr>
          <w:ilvl w:val="0"/>
          <w:numId w:val="7"/>
        </w:numPr>
        <w:kinsoku/>
        <w:wordWrap/>
        <w:overflowPunct/>
        <w:topLinePunct w:val="0"/>
        <w:autoSpaceDE/>
        <w:autoSpaceDN/>
        <w:bidi w:val="0"/>
        <w:adjustRightInd w:val="0"/>
        <w:snapToGrid w:val="0"/>
        <w:spacing w:line="578" w:lineRule="exact"/>
        <w:ind w:firstLine="643" w:firstLineChars="200"/>
        <w:textAlignment w:val="auto"/>
        <w:outlineLvl w:val="9"/>
        <w:rPr>
          <w:rFonts w:hint="default" w:ascii="Times New Roman" w:hAnsi="Times New Roman" w:eastAsia="楷体_GB2312" w:cs="Times New Roman"/>
          <w:b/>
          <w:color w:val="auto"/>
          <w:sz w:val="32"/>
          <w:szCs w:val="32"/>
          <w:highlight w:val="none"/>
          <w:u w:val="none"/>
          <w:lang w:val="zh-CN"/>
        </w:rPr>
      </w:pPr>
      <w:r>
        <w:rPr>
          <w:rFonts w:hint="default" w:ascii="Times New Roman" w:hAnsi="Times New Roman" w:eastAsia="楷体_GB2312" w:cs="Times New Roman"/>
          <w:b/>
          <w:color w:val="auto"/>
          <w:sz w:val="32"/>
          <w:szCs w:val="32"/>
          <w:highlight w:val="none"/>
          <w:u w:val="none"/>
          <w:lang w:val="zh-CN"/>
        </w:rPr>
        <w:t>预设问题及评价重点</w:t>
      </w:r>
    </w:p>
    <w:p w14:paraId="63C66279">
      <w:pPr>
        <w:pStyle w:val="3"/>
        <w:keepNext w:val="0"/>
        <w:keepLines w:val="0"/>
        <w:pageBreakBefore w:val="0"/>
        <w:kinsoku/>
        <w:wordWrap/>
        <w:overflowPunct/>
        <w:topLinePunct w:val="0"/>
        <w:autoSpaceDE/>
        <w:autoSpaceDN/>
        <w:bidi w:val="0"/>
        <w:spacing w:line="578" w:lineRule="exact"/>
        <w:ind w:left="0" w:leftChars="0" w:firstLine="640" w:firstLineChars="200"/>
        <w:textAlignment w:val="auto"/>
        <w:rPr>
          <w:rFonts w:hint="eastAsia" w:ascii="Times New Roman" w:hAnsi="Times New Roman" w:eastAsia="仿宋_GB2312" w:cs="Times New Roman"/>
          <w:szCs w:val="32"/>
          <w:lang w:val="en-US" w:eastAsia="zh-CN"/>
        </w:rPr>
      </w:pPr>
      <w:r>
        <w:rPr>
          <w:rFonts w:hint="eastAsia" w:ascii="Times New Roman" w:cs="Times New Roman"/>
          <w:szCs w:val="32"/>
          <w:lang w:val="en-US" w:eastAsia="zh-CN"/>
        </w:rPr>
        <w:t>前期服务工作经费专项预算</w:t>
      </w:r>
      <w:r>
        <w:rPr>
          <w:rFonts w:hint="default" w:ascii="Times New Roman" w:hAnsi="Times New Roman" w:cs="Times New Roman"/>
          <w:szCs w:val="32"/>
          <w:lang w:val="en-US" w:eastAsia="zh-CN"/>
        </w:rPr>
        <w:t>项目的</w:t>
      </w:r>
      <w:r>
        <w:rPr>
          <w:rFonts w:hint="eastAsia"/>
        </w:rPr>
        <w:t>资金使用符合国家财经法规和相关财务管理制度，</w:t>
      </w:r>
      <w:r>
        <w:rPr>
          <w:rFonts w:hint="default" w:ascii="Times New Roman" w:hAnsi="Times New Roman" w:cs="Times New Roman"/>
          <w:szCs w:val="32"/>
          <w:lang w:val="en-US" w:eastAsia="zh-CN"/>
        </w:rPr>
        <w:t>绩效监管、预算执行、资金使用等指标均</w:t>
      </w:r>
      <w:r>
        <w:rPr>
          <w:rFonts w:hint="eastAsia" w:ascii="Times New Roman" w:cs="Times New Roman"/>
          <w:szCs w:val="32"/>
          <w:lang w:val="en-US" w:eastAsia="zh-CN"/>
        </w:rPr>
        <w:t>符合相关要求</w:t>
      </w:r>
      <w:r>
        <w:rPr>
          <w:rFonts w:hint="default" w:ascii="Times New Roman" w:hAnsi="Times New Roman" w:cs="Times New Roman"/>
          <w:szCs w:val="32"/>
          <w:lang w:val="en-US" w:eastAsia="zh-CN"/>
        </w:rPr>
        <w:t>，</w:t>
      </w:r>
      <w:r>
        <w:rPr>
          <w:rFonts w:hint="eastAsia"/>
        </w:rPr>
        <w:t>不存在超范围、超标准使用专项资金</w:t>
      </w:r>
      <w:r>
        <w:rPr>
          <w:rFonts w:hint="eastAsia"/>
          <w:lang w:val="en-US" w:eastAsia="zh-CN"/>
        </w:rPr>
        <w:t>以及</w:t>
      </w:r>
      <w:r>
        <w:rPr>
          <w:rFonts w:hint="eastAsia"/>
        </w:rPr>
        <w:t>截留、挤占、挪用、虚列支出等情况，</w:t>
      </w:r>
      <w:r>
        <w:rPr>
          <w:rFonts w:hint="eastAsia"/>
          <w:lang w:val="en-US" w:eastAsia="zh-CN"/>
        </w:rPr>
        <w:t>保持全过程</w:t>
      </w:r>
      <w:r>
        <w:rPr>
          <w:rFonts w:hint="eastAsia"/>
        </w:rPr>
        <w:t>遵守相关法律法规，</w:t>
      </w:r>
      <w:r>
        <w:rPr>
          <w:rFonts w:hint="eastAsia"/>
          <w:lang w:val="en-US" w:eastAsia="zh-CN"/>
        </w:rPr>
        <w:t>保障</w:t>
      </w:r>
      <w:r>
        <w:rPr>
          <w:rFonts w:hint="eastAsia"/>
        </w:rPr>
        <w:t>实施结果与绩效目标相匹配</w:t>
      </w:r>
      <w:r>
        <w:rPr>
          <w:rFonts w:hint="eastAsia"/>
          <w:lang w:eastAsia="zh-CN"/>
        </w:rPr>
        <w:t>。</w:t>
      </w:r>
    </w:p>
    <w:p w14:paraId="0E0C1629">
      <w:pPr>
        <w:keepNext w:val="0"/>
        <w:keepLines w:val="0"/>
        <w:pageBreakBefore w:val="0"/>
        <w:widowControl w:val="0"/>
        <w:numPr>
          <w:ilvl w:val="0"/>
          <w:numId w:val="7"/>
        </w:numPr>
        <w:kinsoku/>
        <w:wordWrap/>
        <w:overflowPunct/>
        <w:topLinePunct w:val="0"/>
        <w:autoSpaceDE/>
        <w:autoSpaceDN/>
        <w:bidi w:val="0"/>
        <w:adjustRightInd w:val="0"/>
        <w:snapToGrid w:val="0"/>
        <w:spacing w:line="578" w:lineRule="exact"/>
        <w:ind w:left="0" w:leftChars="0" w:firstLine="643" w:firstLineChars="200"/>
        <w:textAlignment w:val="auto"/>
        <w:outlineLvl w:val="9"/>
        <w:rPr>
          <w:rFonts w:hint="default" w:ascii="Times New Roman" w:hAnsi="Times New Roman" w:eastAsia="楷体_GB2312" w:cs="Times New Roman"/>
          <w:b/>
          <w:color w:val="auto"/>
          <w:sz w:val="32"/>
          <w:szCs w:val="32"/>
          <w:highlight w:val="none"/>
          <w:u w:val="none"/>
          <w:lang w:val="zh-CN"/>
        </w:rPr>
      </w:pPr>
      <w:r>
        <w:rPr>
          <w:rFonts w:hint="default" w:ascii="Times New Roman" w:hAnsi="Times New Roman" w:eastAsia="楷体_GB2312" w:cs="Times New Roman"/>
          <w:b/>
          <w:color w:val="auto"/>
          <w:sz w:val="32"/>
          <w:szCs w:val="32"/>
          <w:highlight w:val="none"/>
          <w:u w:val="none"/>
          <w:lang w:val="zh-CN"/>
        </w:rPr>
        <w:t>评价选点</w:t>
      </w:r>
    </w:p>
    <w:p w14:paraId="69B7F874">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textAlignment w:val="auto"/>
        <w:outlineLvl w:val="9"/>
        <w:rPr>
          <w:rFonts w:hint="default" w:ascii="Times New Roman" w:hAnsi="Times New Roman" w:cs="Times New Roman"/>
          <w:szCs w:val="32"/>
          <w:lang w:val="zh-CN" w:eastAsia="zh-CN"/>
        </w:rPr>
      </w:pPr>
      <w:r>
        <w:rPr>
          <w:rFonts w:hint="eastAsia"/>
          <w:lang w:val="zh-CN"/>
        </w:rPr>
        <w:t>本项目不涉及评价选点，此次绩效自评对本</w:t>
      </w:r>
      <w:r>
        <w:rPr>
          <w:rFonts w:hint="eastAsia"/>
          <w:lang w:val="en-US" w:eastAsia="zh-CN"/>
        </w:rPr>
        <w:t>中心前期服务工作</w:t>
      </w:r>
      <w:r>
        <w:rPr>
          <w:rFonts w:hint="eastAsia"/>
          <w:lang w:val="zh-CN"/>
        </w:rPr>
        <w:t>经费</w:t>
      </w:r>
      <w:r>
        <w:rPr>
          <w:rFonts w:hint="eastAsia"/>
          <w:lang w:val="en-US" w:eastAsia="zh-CN"/>
        </w:rPr>
        <w:t>专项预算</w:t>
      </w:r>
      <w:r>
        <w:rPr>
          <w:rFonts w:hint="eastAsia"/>
          <w:lang w:val="zh-CN"/>
        </w:rPr>
        <w:t>项目实施的所有内容进行评价。</w:t>
      </w:r>
    </w:p>
    <w:p w14:paraId="1E448C4E">
      <w:pPr>
        <w:keepNext w:val="0"/>
        <w:keepLines w:val="0"/>
        <w:pageBreakBefore w:val="0"/>
        <w:widowControl w:val="0"/>
        <w:numPr>
          <w:ilvl w:val="0"/>
          <w:numId w:val="7"/>
        </w:numPr>
        <w:kinsoku/>
        <w:wordWrap/>
        <w:overflowPunct/>
        <w:topLinePunct w:val="0"/>
        <w:autoSpaceDE/>
        <w:autoSpaceDN/>
        <w:bidi w:val="0"/>
        <w:spacing w:line="578" w:lineRule="exact"/>
        <w:ind w:left="0" w:leftChars="0" w:firstLine="643" w:firstLineChars="200"/>
        <w:textAlignment w:val="auto"/>
        <w:outlineLvl w:val="9"/>
        <w:rPr>
          <w:rFonts w:hint="default" w:ascii="Times New Roman" w:hAnsi="Times New Roman" w:eastAsia="楷体_GB2312" w:cs="Times New Roman"/>
          <w:b/>
          <w:color w:val="auto"/>
          <w:sz w:val="32"/>
          <w:szCs w:val="32"/>
          <w:highlight w:val="none"/>
          <w:u w:val="none"/>
          <w:lang w:val="zh-CN"/>
        </w:rPr>
      </w:pPr>
      <w:r>
        <w:rPr>
          <w:rFonts w:hint="default" w:ascii="Times New Roman" w:hAnsi="Times New Roman" w:eastAsia="楷体_GB2312" w:cs="Times New Roman"/>
          <w:b/>
          <w:color w:val="auto"/>
          <w:sz w:val="32"/>
          <w:szCs w:val="32"/>
          <w:highlight w:val="none"/>
          <w:u w:val="none"/>
          <w:lang w:val="zh-CN"/>
        </w:rPr>
        <w:t>评价方法</w:t>
      </w:r>
    </w:p>
    <w:p w14:paraId="1C3FCAC4">
      <w:pPr>
        <w:spacing w:line="578" w:lineRule="exact"/>
        <w:ind w:firstLine="640"/>
        <w:rPr>
          <w:rFonts w:hint="default" w:ascii="Times New Roman" w:hAnsi="Times New Roman" w:eastAsia="仿宋_GB2312" w:cs="Times New Roman"/>
          <w:szCs w:val="32"/>
          <w:lang w:eastAsia="zh-CN"/>
        </w:rPr>
      </w:pPr>
      <w:r>
        <w:rPr>
          <w:rFonts w:hint="default" w:ascii="Times New Roman" w:hAnsi="Times New Roman" w:eastAsia="仿宋_GB2312" w:cs="Times New Roman"/>
          <w:szCs w:val="32"/>
        </w:rPr>
        <w:t>根据项目情况和评价重点，采用成本效益分析法、标杆管理法、案卷研究法、单位自评法、实地勘察法、问卷调查法、座谈调研法等多种方法</w:t>
      </w:r>
      <w:r>
        <w:rPr>
          <w:rFonts w:hint="eastAsia" w:cs="Times New Roman"/>
          <w:szCs w:val="32"/>
          <w:lang w:eastAsia="zh-CN"/>
        </w:rPr>
        <w:t>，</w:t>
      </w:r>
      <w:r>
        <w:rPr>
          <w:rFonts w:hint="eastAsia"/>
        </w:rPr>
        <w:t>对</w:t>
      </w:r>
      <w:r>
        <w:rPr>
          <w:rFonts w:hint="eastAsia"/>
          <w:lang w:val="en-US" w:eastAsia="zh-CN"/>
        </w:rPr>
        <w:t>前期服务工作经费专项预算</w:t>
      </w:r>
      <w:r>
        <w:rPr>
          <w:rFonts w:hint="eastAsia"/>
        </w:rPr>
        <w:t>项目绩效完成情况进行评价。</w:t>
      </w:r>
    </w:p>
    <w:p w14:paraId="1141D77C">
      <w:pPr>
        <w:keepNext w:val="0"/>
        <w:keepLines w:val="0"/>
        <w:pageBreakBefore w:val="0"/>
        <w:widowControl w:val="0"/>
        <w:numPr>
          <w:ilvl w:val="0"/>
          <w:numId w:val="7"/>
        </w:numPr>
        <w:kinsoku/>
        <w:wordWrap/>
        <w:overflowPunct/>
        <w:topLinePunct w:val="0"/>
        <w:autoSpaceDE/>
        <w:autoSpaceDN/>
        <w:bidi w:val="0"/>
        <w:spacing w:line="578" w:lineRule="exact"/>
        <w:ind w:left="0" w:leftChars="0" w:firstLine="643" w:firstLineChars="200"/>
        <w:textAlignment w:val="auto"/>
        <w:outlineLvl w:val="9"/>
        <w:rPr>
          <w:rFonts w:hint="default" w:ascii="Times New Roman" w:hAnsi="Times New Roman" w:eastAsia="楷体_GB2312" w:cs="Times New Roman"/>
          <w:b/>
          <w:color w:val="auto"/>
          <w:sz w:val="32"/>
          <w:szCs w:val="32"/>
          <w:highlight w:val="none"/>
          <w:u w:val="none"/>
          <w:lang w:val="zh-CN"/>
        </w:rPr>
      </w:pPr>
      <w:r>
        <w:rPr>
          <w:rFonts w:hint="default" w:ascii="Times New Roman" w:hAnsi="Times New Roman" w:eastAsia="楷体_GB2312" w:cs="Times New Roman"/>
          <w:b/>
          <w:color w:val="auto"/>
          <w:sz w:val="32"/>
          <w:szCs w:val="32"/>
          <w:highlight w:val="none"/>
          <w:u w:val="none"/>
          <w:lang w:val="zh-CN"/>
        </w:rPr>
        <w:t>评价组织</w:t>
      </w:r>
    </w:p>
    <w:p w14:paraId="158BF6ED">
      <w:pPr>
        <w:spacing w:line="578" w:lineRule="exact"/>
        <w:ind w:firstLine="640" w:firstLineChars="200"/>
        <w:rPr>
          <w:rFonts w:hint="default" w:ascii="Times New Roman" w:hAnsi="Times New Roman" w:cs="Times New Roman"/>
          <w:lang w:val="en-US" w:eastAsia="zh-CN"/>
        </w:rPr>
      </w:pPr>
      <w:r>
        <w:rPr>
          <w:rFonts w:hint="eastAsia"/>
        </w:rPr>
        <w:t>评价组人员由</w:t>
      </w:r>
      <w:r>
        <w:rPr>
          <w:rFonts w:hint="eastAsia"/>
          <w:lang w:val="en-US" w:eastAsia="zh-CN"/>
        </w:rPr>
        <w:t>项目</w:t>
      </w:r>
      <w:r>
        <w:rPr>
          <w:rFonts w:hint="eastAsia"/>
        </w:rPr>
        <w:t>管理人员和财务人员组成，项目管理人员主要负责对项目决策、项目管理、项目实施、项目结果等涉及指标进行评价；财务人员主要负责对资金用途合规性、程序合规性、标准合规性等涉及指标进行评价。</w:t>
      </w:r>
    </w:p>
    <w:p w14:paraId="6D812F4C">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default" w:ascii="Times New Roman" w:hAnsi="Times New Roman" w:cs="Times New Roman"/>
          <w:color w:val="auto"/>
          <w:sz w:val="32"/>
          <w:szCs w:val="32"/>
          <w:highlight w:val="none"/>
          <w:u w:val="none"/>
          <w:lang w:val="zh-CN"/>
        </w:rPr>
      </w:pPr>
      <w:r>
        <w:rPr>
          <w:rFonts w:hint="default" w:ascii="Times New Roman" w:hAnsi="Times New Roman" w:eastAsia="黑体" w:cs="Times New Roman"/>
          <w:color w:val="auto"/>
          <w:sz w:val="32"/>
          <w:szCs w:val="32"/>
          <w:highlight w:val="none"/>
          <w:u w:val="none"/>
        </w:rPr>
        <w:t>三、</w:t>
      </w:r>
      <w:r>
        <w:rPr>
          <w:rFonts w:hint="default" w:ascii="Times New Roman" w:hAnsi="Times New Roman" w:eastAsia="黑体" w:cs="Times New Roman"/>
          <w:color w:val="auto"/>
          <w:sz w:val="32"/>
          <w:szCs w:val="32"/>
          <w:highlight w:val="none"/>
          <w:u w:val="none"/>
          <w:lang w:eastAsia="zh-CN"/>
        </w:rPr>
        <w:t>绩效分析</w:t>
      </w:r>
      <w:r>
        <w:rPr>
          <w:rFonts w:hint="default" w:ascii="Times New Roman" w:hAnsi="Times New Roman" w:cs="Times New Roman"/>
          <w:color w:val="auto"/>
          <w:sz w:val="32"/>
          <w:szCs w:val="32"/>
          <w:highlight w:val="none"/>
          <w:u w:val="none"/>
          <w:lang w:val="zh-CN"/>
        </w:rPr>
        <w:tab/>
      </w:r>
    </w:p>
    <w:p w14:paraId="5D09003A">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default" w:ascii="Times New Roman" w:hAnsi="Times New Roman" w:eastAsia="楷体_GB2312" w:cs="Times New Roman"/>
          <w:b/>
          <w:bCs/>
          <w:color w:val="000000"/>
          <w:kern w:val="0"/>
          <w:szCs w:val="32"/>
          <w:highlight w:val="none"/>
          <w:shd w:val="clear" w:color="auto" w:fill="FFFFFF"/>
          <w:lang w:val="zh-CN"/>
        </w:rPr>
      </w:pPr>
      <w:r>
        <w:rPr>
          <w:rFonts w:hint="default" w:ascii="Times New Roman" w:hAnsi="Times New Roman" w:eastAsia="楷体_GB2312" w:cs="Times New Roman"/>
          <w:b/>
          <w:color w:val="auto"/>
          <w:sz w:val="32"/>
          <w:szCs w:val="32"/>
          <w:highlight w:val="none"/>
          <w:u w:val="none"/>
          <w:lang w:val="zh-CN"/>
        </w:rPr>
        <w:t>（一）</w:t>
      </w:r>
      <w:r>
        <w:rPr>
          <w:rFonts w:hint="default" w:ascii="Times New Roman" w:hAnsi="Times New Roman" w:eastAsia="楷体_GB2312" w:cs="Times New Roman"/>
          <w:b/>
          <w:color w:val="auto"/>
          <w:sz w:val="32"/>
          <w:szCs w:val="32"/>
          <w:highlight w:val="none"/>
          <w:u w:val="none"/>
          <w:lang w:val="en-US" w:eastAsia="zh-CN"/>
        </w:rPr>
        <w:t>通用指标</w:t>
      </w:r>
      <w:r>
        <w:rPr>
          <w:rFonts w:hint="default" w:ascii="Times New Roman" w:hAnsi="Times New Roman" w:eastAsia="楷体_GB2312" w:cs="Times New Roman"/>
          <w:b/>
          <w:bCs/>
          <w:color w:val="000000"/>
          <w:kern w:val="0"/>
          <w:szCs w:val="32"/>
          <w:highlight w:val="none"/>
          <w:shd w:val="clear" w:color="auto" w:fill="FFFFFF"/>
          <w:lang w:val="zh-CN"/>
        </w:rPr>
        <w:t>绩效分析</w:t>
      </w:r>
    </w:p>
    <w:p w14:paraId="7FC83E73">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default"/>
          <w:lang w:val="en-US" w:eastAsia="zh-CN"/>
        </w:rPr>
      </w:pPr>
      <w:r>
        <w:rPr>
          <w:rFonts w:hint="eastAsia" w:ascii="楷体_GB2312" w:hAnsi="楷体_GB2312" w:eastAsia="楷体_GB2312" w:cs="楷体_GB2312"/>
        </w:rPr>
        <w:t>1.项目决策</w:t>
      </w:r>
      <w:r>
        <w:rPr>
          <w:rFonts w:hint="eastAsia" w:ascii="楷体_GB2312" w:hAnsi="楷体_GB2312" w:eastAsia="楷体_GB2312" w:cs="楷体_GB2312"/>
          <w:lang w:eastAsia="zh-CN"/>
        </w:rPr>
        <w:t>。</w:t>
      </w:r>
      <w:r>
        <w:rPr>
          <w:rFonts w:hint="eastAsia" w:ascii="Times New Roman" w:hAnsi="Times New Roman" w:cs="Times New Roman"/>
          <w:color w:val="auto"/>
          <w:szCs w:val="32"/>
          <w:lang w:val="en-US" w:eastAsia="zh-CN"/>
        </w:rPr>
        <w:t>本中心前期服务工作经费</w:t>
      </w:r>
      <w:r>
        <w:rPr>
          <w:rFonts w:hint="default" w:ascii="Times New Roman" w:hAnsi="Times New Roman" w:cs="Times New Roman"/>
          <w:color w:val="auto"/>
          <w:szCs w:val="32"/>
          <w:lang w:val="en-US" w:eastAsia="zh-CN"/>
        </w:rPr>
        <w:t>项目设立符合资金管理基本规范和决策程序要求</w:t>
      </w:r>
      <w:r>
        <w:rPr>
          <w:rFonts w:hint="eastAsia" w:ascii="Times New Roman" w:cs="Times New Roman"/>
          <w:color w:val="auto"/>
          <w:szCs w:val="32"/>
          <w:lang w:val="en-US" w:eastAsia="zh-CN"/>
        </w:rPr>
        <w:t>；</w:t>
      </w:r>
      <w:r>
        <w:rPr>
          <w:rFonts w:hint="default" w:ascii="Times New Roman" w:hAnsi="Times New Roman" w:cs="Times New Roman"/>
          <w:color w:val="auto"/>
          <w:szCs w:val="32"/>
          <w:lang w:val="en-US" w:eastAsia="zh-CN"/>
        </w:rPr>
        <w:t>项目规划符合中央、省、市、县有关决策部署安排；</w:t>
      </w:r>
      <w:r>
        <w:rPr>
          <w:rFonts w:hint="eastAsia"/>
        </w:rPr>
        <w:t>项目绩效目标设置科学合理；项目资金与</w:t>
      </w:r>
      <w:r>
        <w:rPr>
          <w:rFonts w:hint="eastAsia"/>
          <w:lang w:val="en-US" w:eastAsia="zh-CN"/>
        </w:rPr>
        <w:t>中心</w:t>
      </w:r>
      <w:r>
        <w:rPr>
          <w:rFonts w:hint="eastAsia"/>
        </w:rPr>
        <w:t>总体规划发展相匹配</w:t>
      </w:r>
      <w:r>
        <w:rPr>
          <w:rFonts w:hint="default" w:ascii="Times New Roman" w:hAnsi="Times New Roman" w:cs="Times New Roman"/>
          <w:color w:val="auto"/>
          <w:szCs w:val="32"/>
          <w:lang w:val="en-US" w:eastAsia="zh-CN"/>
        </w:rPr>
        <w:t>属于政府支持范围</w:t>
      </w:r>
      <w:r>
        <w:rPr>
          <w:rFonts w:hint="eastAsia"/>
        </w:rPr>
        <w:t>。</w:t>
      </w:r>
    </w:p>
    <w:p w14:paraId="48C46F3E">
      <w:pPr>
        <w:spacing w:line="578" w:lineRule="exact"/>
        <w:ind w:firstLine="640"/>
        <w:rPr>
          <w:rFonts w:hint="default" w:ascii="Times New Roman" w:hAnsi="Times New Roman" w:cs="Times New Roman"/>
          <w:lang w:val="en-US" w:eastAsia="zh-CN"/>
        </w:rPr>
      </w:pPr>
      <w:r>
        <w:rPr>
          <w:rFonts w:hint="eastAsia" w:ascii="楷体_GB2312" w:hAnsi="楷体_GB2312" w:eastAsia="楷体_GB2312" w:cs="楷体_GB2312"/>
        </w:rPr>
        <w:t>2.项目管理。</w:t>
      </w:r>
      <w:r>
        <w:rPr>
          <w:rFonts w:hint="eastAsia"/>
        </w:rPr>
        <w:t>项</w:t>
      </w:r>
      <w:r>
        <w:rPr>
          <w:rFonts w:hint="eastAsia"/>
          <w:lang w:val="en-US" w:eastAsia="zh-CN"/>
        </w:rPr>
        <w:t>目</w:t>
      </w:r>
      <w:r>
        <w:rPr>
          <w:rFonts w:hint="default" w:ascii="Times New Roman" w:hAnsi="Times New Roman" w:cs="Times New Roman"/>
          <w:lang w:val="en-US" w:eastAsia="zh-CN"/>
        </w:rPr>
        <w:t>管理制度体系健全，不存在管理制度缺失、管理办法过期</w:t>
      </w:r>
      <w:r>
        <w:rPr>
          <w:rFonts w:hint="eastAsia" w:cs="Times New Roman"/>
          <w:lang w:val="en-US" w:eastAsia="zh-CN"/>
        </w:rPr>
        <w:t>等</w:t>
      </w:r>
      <w:r>
        <w:rPr>
          <w:rFonts w:hint="default" w:ascii="Times New Roman" w:hAnsi="Times New Roman" w:cs="Times New Roman"/>
          <w:lang w:val="en-US" w:eastAsia="zh-CN"/>
        </w:rPr>
        <w:t>情况</w:t>
      </w:r>
      <w:r>
        <w:rPr>
          <w:rFonts w:hint="eastAsia" w:cs="Times New Roman"/>
          <w:lang w:val="en-US" w:eastAsia="zh-CN"/>
        </w:rPr>
        <w:t>；</w:t>
      </w:r>
      <w:r>
        <w:rPr>
          <w:rFonts w:hint="default" w:ascii="Times New Roman" w:hAnsi="Times New Roman" w:cs="Times New Roman"/>
          <w:lang w:val="en-US" w:eastAsia="zh-CN"/>
        </w:rPr>
        <w:t>资金分配因素选取</w:t>
      </w:r>
      <w:r>
        <w:rPr>
          <w:rFonts w:hint="eastAsia" w:cs="Times New Roman"/>
          <w:lang w:val="en-US" w:eastAsia="zh-CN"/>
        </w:rPr>
        <w:t>符合</w:t>
      </w:r>
      <w:r>
        <w:rPr>
          <w:rFonts w:hint="default" w:ascii="Times New Roman" w:hAnsi="Times New Roman" w:cs="Times New Roman"/>
          <w:lang w:val="en-US" w:eastAsia="zh-CN"/>
        </w:rPr>
        <w:t>实际和发展需求；资金区域分布结果公平合理</w:t>
      </w:r>
      <w:r>
        <w:rPr>
          <w:rFonts w:hint="eastAsia" w:cs="Times New Roman"/>
          <w:lang w:val="en-US" w:eastAsia="zh-CN"/>
        </w:rPr>
        <w:t>；</w:t>
      </w:r>
      <w:r>
        <w:rPr>
          <w:rFonts w:hint="default" w:ascii="Times New Roman" w:hAnsi="Times New Roman" w:cs="Times New Roman"/>
          <w:lang w:val="en-US" w:eastAsia="zh-CN"/>
        </w:rPr>
        <w:t>资金分配严格按管理办法执行，决策程序符合管理要求，及时高效。</w:t>
      </w:r>
    </w:p>
    <w:p w14:paraId="088DC78D">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firstLine="640" w:firstLineChars="200"/>
        <w:textAlignment w:val="auto"/>
        <w:outlineLvl w:val="9"/>
        <w:rPr>
          <w:rFonts w:hint="default" w:ascii="Times New Roman" w:hAnsi="Times New Roman" w:cs="Times New Roman"/>
          <w:color w:val="auto"/>
          <w:szCs w:val="32"/>
          <w:lang w:eastAsia="zh-CN"/>
        </w:rPr>
      </w:pPr>
      <w:r>
        <w:rPr>
          <w:rFonts w:hint="eastAsia" w:ascii="楷体_GB2312" w:hAnsi="楷体_GB2312" w:eastAsia="楷体_GB2312" w:cs="楷体_GB2312"/>
        </w:rPr>
        <w:t>3.项目实施。</w:t>
      </w:r>
      <w:r>
        <w:rPr>
          <w:rFonts w:hint="eastAsia"/>
        </w:rPr>
        <w:t>本项目资金预算申报</w:t>
      </w:r>
      <w:r>
        <w:rPr>
          <w:rFonts w:hint="eastAsia"/>
          <w:lang w:val="en-US" w:eastAsia="zh-CN"/>
        </w:rPr>
        <w:t>20</w:t>
      </w:r>
      <w:r>
        <w:rPr>
          <w:rFonts w:hint="eastAsia"/>
        </w:rPr>
        <w:t>万元，实际到位</w:t>
      </w:r>
      <w:r>
        <w:rPr>
          <w:rFonts w:hint="eastAsia"/>
          <w:lang w:val="en-US" w:eastAsia="zh-CN"/>
        </w:rPr>
        <w:t>20</w:t>
      </w:r>
      <w:r>
        <w:rPr>
          <w:rFonts w:hint="eastAsia"/>
        </w:rPr>
        <w:t>万元，资金到位率</w:t>
      </w:r>
      <w:r>
        <w:rPr>
          <w:rFonts w:hint="eastAsia"/>
          <w:lang w:val="en-US" w:eastAsia="zh-CN"/>
        </w:rPr>
        <w:t>100</w:t>
      </w:r>
      <w:r>
        <w:rPr>
          <w:rFonts w:hint="eastAsia"/>
        </w:rPr>
        <w:t>%；截至202</w:t>
      </w:r>
      <w:r>
        <w:rPr>
          <w:rFonts w:hint="eastAsia"/>
          <w:lang w:val="en-US" w:eastAsia="zh-CN"/>
        </w:rPr>
        <w:t>4</w:t>
      </w:r>
      <w:r>
        <w:rPr>
          <w:rFonts w:hint="eastAsia"/>
        </w:rPr>
        <w:t>年12月31日，本项目实际支出资金</w:t>
      </w:r>
      <w:r>
        <w:rPr>
          <w:rFonts w:hint="eastAsia"/>
          <w:lang w:val="en-US" w:eastAsia="zh-CN"/>
        </w:rPr>
        <w:t>20</w:t>
      </w:r>
      <w:r>
        <w:rPr>
          <w:rFonts w:hint="eastAsia"/>
        </w:rPr>
        <w:t>万元，预算执行率</w:t>
      </w:r>
      <w:r>
        <w:rPr>
          <w:rFonts w:hint="eastAsia"/>
          <w:lang w:val="en-US" w:eastAsia="zh-CN"/>
        </w:rPr>
        <w:t>100</w:t>
      </w:r>
      <w:r>
        <w:rPr>
          <w:rFonts w:hint="eastAsia"/>
        </w:rPr>
        <w:t>%。</w:t>
      </w:r>
    </w:p>
    <w:p w14:paraId="2E378A46">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firstLine="640" w:firstLineChars="200"/>
        <w:textAlignment w:val="auto"/>
        <w:outlineLvl w:val="9"/>
        <w:rPr>
          <w:rFonts w:hint="default" w:ascii="Times New Roman" w:hAnsi="Times New Roman" w:cs="Times New Roman"/>
          <w:color w:val="auto"/>
          <w:szCs w:val="32"/>
          <w:lang w:eastAsia="zh-CN"/>
        </w:rPr>
      </w:pPr>
      <w:r>
        <w:rPr>
          <w:rFonts w:hint="eastAsia" w:ascii="楷体_GB2312" w:hAnsi="楷体_GB2312" w:eastAsia="楷体_GB2312" w:cs="楷体_GB2312"/>
        </w:rPr>
        <w:t>4.项目结果。</w:t>
      </w:r>
      <w:r>
        <w:rPr>
          <w:rFonts w:hint="eastAsia"/>
        </w:rPr>
        <w:t>本</w:t>
      </w:r>
      <w:r>
        <w:rPr>
          <w:rFonts w:hint="eastAsia"/>
          <w:lang w:val="en-US" w:eastAsia="zh-CN"/>
        </w:rPr>
        <w:t>中心</w:t>
      </w:r>
      <w:r>
        <w:rPr>
          <w:rFonts w:hint="eastAsia"/>
        </w:rPr>
        <w:t>围绕项目绩效目标认真履职，</w:t>
      </w:r>
      <w:r>
        <w:rPr>
          <w:rFonts w:hint="eastAsia"/>
          <w:lang w:val="en-US" w:eastAsia="zh-CN"/>
        </w:rPr>
        <w:t>前期服务工作经费专项预算</w:t>
      </w:r>
      <w:r>
        <w:rPr>
          <w:rFonts w:hint="eastAsia"/>
        </w:rPr>
        <w:t>项目按计划实施，</w:t>
      </w:r>
      <w:r>
        <w:rPr>
          <w:rFonts w:hint="eastAsia"/>
          <w:lang w:val="en-US" w:eastAsia="zh-CN"/>
        </w:rPr>
        <w:t>在规定时效内</w:t>
      </w:r>
      <w:r>
        <w:rPr>
          <w:rFonts w:hint="eastAsia"/>
        </w:rPr>
        <w:t>完成</w:t>
      </w:r>
      <w:r>
        <w:rPr>
          <w:rFonts w:hint="eastAsia"/>
          <w:lang w:eastAsia="zh-CN"/>
        </w:rPr>
        <w:t>了</w:t>
      </w:r>
      <w:r>
        <w:rPr>
          <w:rFonts w:hint="eastAsia"/>
          <w:lang w:val="en-US" w:eastAsia="zh-CN"/>
        </w:rPr>
        <w:t>办公用品购置，验收合格率达100%，设备配置率达95%以上。</w:t>
      </w:r>
    </w:p>
    <w:p w14:paraId="3D20255F">
      <w:pPr>
        <w:keepNext w:val="0"/>
        <w:keepLines w:val="0"/>
        <w:pageBreakBefore w:val="0"/>
        <w:widowControl w:val="0"/>
        <w:numPr>
          <w:ilvl w:val="0"/>
          <w:numId w:val="8"/>
        </w:numPr>
        <w:kinsoku/>
        <w:wordWrap/>
        <w:overflowPunct/>
        <w:topLinePunct w:val="0"/>
        <w:autoSpaceDE/>
        <w:autoSpaceDN/>
        <w:bidi w:val="0"/>
        <w:adjustRightInd/>
        <w:snapToGrid/>
        <w:spacing w:line="578" w:lineRule="exact"/>
        <w:ind w:left="-3" w:leftChars="0" w:firstLine="643" w:firstLineChars="0"/>
        <w:textAlignment w:val="auto"/>
        <w:outlineLvl w:val="9"/>
        <w:rPr>
          <w:rFonts w:hint="default" w:ascii="Times New Roman" w:hAnsi="Times New Roman" w:cs="Times New Roman"/>
          <w:color w:val="auto"/>
          <w:szCs w:val="32"/>
          <w:lang w:val="en-US" w:eastAsia="zh-CN"/>
        </w:rPr>
      </w:pPr>
      <w:r>
        <w:rPr>
          <w:rFonts w:hint="default" w:ascii="Times New Roman" w:hAnsi="Times New Roman" w:eastAsia="楷体_GB2312" w:cs="Times New Roman"/>
          <w:b/>
          <w:color w:val="auto"/>
          <w:sz w:val="32"/>
          <w:szCs w:val="32"/>
          <w:highlight w:val="none"/>
          <w:u w:val="none"/>
          <w:lang w:val="en-US" w:eastAsia="zh-CN"/>
        </w:rPr>
        <w:t>专用指标</w:t>
      </w:r>
      <w:r>
        <w:rPr>
          <w:rFonts w:hint="default" w:ascii="Times New Roman" w:hAnsi="Times New Roman" w:eastAsia="楷体_GB2312" w:cs="Times New Roman"/>
          <w:b/>
          <w:bCs/>
          <w:color w:val="000000"/>
          <w:kern w:val="0"/>
          <w:szCs w:val="32"/>
          <w:highlight w:val="none"/>
          <w:shd w:val="clear" w:color="auto" w:fill="FFFFFF"/>
          <w:lang w:val="zh-CN"/>
        </w:rPr>
        <w:t>绩效分析</w:t>
      </w:r>
    </w:p>
    <w:p w14:paraId="05073595">
      <w:pPr>
        <w:spacing w:line="578" w:lineRule="exact"/>
        <w:ind w:firstLine="640" w:firstLineChars="200"/>
        <w:rPr>
          <w:rFonts w:hint="default" w:ascii="Times New Roman" w:hAnsi="Times New Roman" w:cs="Times New Roman"/>
          <w:lang w:val="en-US" w:eastAsia="zh-CN"/>
        </w:rPr>
      </w:pPr>
      <w:r>
        <w:rPr>
          <w:rFonts w:hint="eastAsia" w:ascii="楷体_GB2312" w:hAnsi="楷体_GB2312" w:eastAsia="楷体_GB2312" w:cs="楷体_GB2312"/>
          <w:lang w:val="zh-CN"/>
        </w:rPr>
        <w:t>行政运转。</w:t>
      </w:r>
      <w:r>
        <w:rPr>
          <w:rFonts w:hint="eastAsia" w:ascii="Times New Roman" w:cs="Times New Roman"/>
          <w:color w:val="auto"/>
          <w:szCs w:val="32"/>
          <w:lang w:val="en-US" w:eastAsia="zh-CN"/>
        </w:rPr>
        <w:t>本项目</w:t>
      </w:r>
      <w:r>
        <w:rPr>
          <w:rFonts w:hint="default" w:ascii="Times New Roman" w:hAnsi="Times New Roman" w:cs="Times New Roman"/>
          <w:lang w:val="en-US" w:eastAsia="zh-CN"/>
        </w:rPr>
        <w:t>按规定用途、适用范围进行专项资金分配，资金管理程序</w:t>
      </w:r>
      <w:r>
        <w:rPr>
          <w:rFonts w:hint="eastAsia" w:cs="Times New Roman"/>
          <w:lang w:val="en-US" w:eastAsia="zh-CN"/>
        </w:rPr>
        <w:t>以及</w:t>
      </w:r>
      <w:r>
        <w:rPr>
          <w:rFonts w:hint="default" w:ascii="Times New Roman" w:hAnsi="Times New Roman" w:cs="Times New Roman"/>
          <w:lang w:val="en-US" w:eastAsia="zh-CN"/>
        </w:rPr>
        <w:t>资金分配标准</w:t>
      </w:r>
      <w:r>
        <w:rPr>
          <w:rFonts w:hint="eastAsia" w:cs="Times New Roman"/>
          <w:lang w:val="en-US" w:eastAsia="zh-CN"/>
        </w:rPr>
        <w:t>均</w:t>
      </w:r>
      <w:r>
        <w:rPr>
          <w:rFonts w:hint="default" w:ascii="Times New Roman" w:hAnsi="Times New Roman" w:cs="Times New Roman"/>
          <w:lang w:val="en-US" w:eastAsia="zh-CN"/>
        </w:rPr>
        <w:t>符合专项资金管理要求，</w:t>
      </w:r>
      <w:r>
        <w:rPr>
          <w:rFonts w:hint="eastAsia" w:ascii="Times New Roman" w:cs="Times New Roman"/>
          <w:lang w:val="en-US" w:eastAsia="zh-CN"/>
        </w:rPr>
        <w:t>不存在</w:t>
      </w:r>
      <w:r>
        <w:rPr>
          <w:rFonts w:hint="eastAsia"/>
          <w:lang w:val="zh-CN"/>
        </w:rPr>
        <w:t>资金管理和使用过程中不符合专项资金管理要求的情况。</w:t>
      </w:r>
    </w:p>
    <w:p w14:paraId="27A12316">
      <w:pPr>
        <w:keepNext w:val="0"/>
        <w:keepLines w:val="0"/>
        <w:pageBreakBefore w:val="0"/>
        <w:widowControl w:val="0"/>
        <w:numPr>
          <w:ilvl w:val="0"/>
          <w:numId w:val="8"/>
        </w:numPr>
        <w:kinsoku/>
        <w:wordWrap/>
        <w:overflowPunct/>
        <w:topLinePunct w:val="0"/>
        <w:autoSpaceDE/>
        <w:autoSpaceDN/>
        <w:bidi w:val="0"/>
        <w:adjustRightInd/>
        <w:snapToGrid/>
        <w:spacing w:line="578" w:lineRule="exact"/>
        <w:ind w:left="-3" w:leftChars="0" w:firstLine="643" w:firstLineChars="0"/>
        <w:textAlignment w:val="auto"/>
        <w:outlineLvl w:val="9"/>
        <w:rPr>
          <w:rFonts w:hint="default" w:ascii="Times New Roman" w:hAnsi="Times New Roman" w:cs="Times New Roman"/>
          <w:color w:val="auto"/>
          <w:szCs w:val="32"/>
          <w:lang w:val="zh-CN" w:eastAsia="zh-CN"/>
        </w:rPr>
      </w:pPr>
      <w:r>
        <w:rPr>
          <w:rFonts w:hint="default" w:ascii="Times New Roman" w:hAnsi="Times New Roman" w:eastAsia="楷体_GB2312" w:cs="Times New Roman"/>
          <w:b/>
          <w:color w:val="auto"/>
          <w:sz w:val="32"/>
          <w:szCs w:val="32"/>
          <w:highlight w:val="none"/>
          <w:u w:val="none"/>
          <w:lang w:val="en-US" w:eastAsia="zh-CN"/>
        </w:rPr>
        <w:t>个性指标</w:t>
      </w:r>
      <w:r>
        <w:rPr>
          <w:rFonts w:hint="default" w:ascii="Times New Roman" w:hAnsi="Times New Roman" w:eastAsia="楷体_GB2312" w:cs="Times New Roman"/>
          <w:b/>
          <w:bCs/>
          <w:color w:val="000000"/>
          <w:kern w:val="0"/>
          <w:szCs w:val="32"/>
          <w:highlight w:val="none"/>
          <w:shd w:val="clear" w:color="auto" w:fill="FFFFFF"/>
          <w:lang w:val="zh-CN"/>
        </w:rPr>
        <w:t>绩效分析</w:t>
      </w:r>
    </w:p>
    <w:p w14:paraId="20D20EA1">
      <w:pPr>
        <w:spacing w:line="578" w:lineRule="exact"/>
        <w:ind w:firstLine="640" w:firstLineChars="200"/>
        <w:rPr>
          <w:rFonts w:hint="default" w:ascii="楷体_GB2312" w:hAnsi="楷体_GB2312" w:eastAsia="楷体_GB2312" w:cs="楷体_GB2312"/>
          <w:lang w:val="en-US" w:eastAsia="zh-CN"/>
        </w:rPr>
      </w:pPr>
      <w:r>
        <w:rPr>
          <w:rFonts w:hint="eastAsia" w:ascii="楷体_GB2312" w:hAnsi="楷体_GB2312" w:eastAsia="楷体_GB2312" w:cs="楷体_GB2312"/>
          <w:lang w:val="en-US" w:eastAsia="zh-CN"/>
        </w:rPr>
        <w:t>根据项目情况设定个性指标：前期服务工作</w:t>
      </w:r>
    </w:p>
    <w:p w14:paraId="6E752290">
      <w:pPr>
        <w:spacing w:line="578" w:lineRule="exact"/>
        <w:ind w:firstLine="640" w:firstLineChars="200"/>
        <w:rPr>
          <w:rFonts w:hint="eastAsia" w:ascii="Times New Roman" w:cs="Times New Roman"/>
          <w:color w:val="auto"/>
          <w:szCs w:val="32"/>
          <w:lang w:val="en-US" w:eastAsia="zh-CN"/>
        </w:rPr>
      </w:pPr>
      <w:r>
        <w:rPr>
          <w:rFonts w:hint="default" w:ascii="Times New Roman" w:cs="Times New Roman"/>
          <w:color w:val="auto"/>
          <w:szCs w:val="32"/>
          <w:lang w:val="en-US" w:eastAsia="zh-CN"/>
        </w:rPr>
        <w:t>办公</w:t>
      </w:r>
      <w:r>
        <w:rPr>
          <w:rFonts w:hint="eastAsia" w:ascii="Times New Roman" w:cs="Times New Roman"/>
          <w:color w:val="auto"/>
          <w:szCs w:val="32"/>
          <w:lang w:val="en-US" w:eastAsia="zh-CN"/>
        </w:rPr>
        <w:t>设备</w:t>
      </w:r>
      <w:r>
        <w:rPr>
          <w:rFonts w:hint="default" w:ascii="Times New Roman" w:cs="Times New Roman"/>
          <w:color w:val="auto"/>
          <w:szCs w:val="32"/>
          <w:lang w:val="en-US" w:eastAsia="zh-CN"/>
        </w:rPr>
        <w:t>配置</w:t>
      </w:r>
      <w:r>
        <w:rPr>
          <w:rFonts w:hint="eastAsia" w:ascii="Times New Roman" w:cs="Times New Roman"/>
          <w:color w:val="auto"/>
          <w:szCs w:val="32"/>
          <w:lang w:val="en-US" w:eastAsia="zh-CN"/>
        </w:rPr>
        <w:t>：办公设备、家具配置台数未达到67套每缺一套扣0.5分，因预算执行，人员配置等问题，绩效目标中预计配置13台电脑，实际完成值11台。</w:t>
      </w:r>
    </w:p>
    <w:p w14:paraId="403BA4FE">
      <w:pPr>
        <w:spacing w:line="578" w:lineRule="exact"/>
        <w:ind w:firstLine="640" w:firstLineChars="200"/>
        <w:rPr>
          <w:rFonts w:hint="default" w:ascii="Times New Roman" w:cs="Times New Roman"/>
          <w:color w:val="auto"/>
          <w:szCs w:val="32"/>
          <w:lang w:val="en-US" w:eastAsia="zh-CN"/>
        </w:rPr>
      </w:pPr>
      <w:r>
        <w:rPr>
          <w:rFonts w:hint="eastAsia" w:ascii="Times New Roman" w:cs="Times New Roman"/>
          <w:color w:val="auto"/>
          <w:szCs w:val="32"/>
          <w:lang w:val="en-US" w:eastAsia="zh-CN"/>
        </w:rPr>
        <w:t>使用者满意度：使用者对配置的办公用品，</w:t>
      </w:r>
      <w:r>
        <w:rPr>
          <w:rFonts w:hint="eastAsia" w:cs="Times New Roman"/>
          <w:color w:val="auto"/>
          <w:szCs w:val="32"/>
          <w:lang w:val="en-US" w:eastAsia="zh-CN"/>
        </w:rPr>
        <w:t>未</w:t>
      </w:r>
      <w:r>
        <w:rPr>
          <w:rFonts w:hint="eastAsia" w:ascii="Times New Roman" w:cs="Times New Roman"/>
          <w:color w:val="auto"/>
          <w:szCs w:val="32"/>
          <w:lang w:val="en-US" w:eastAsia="zh-CN"/>
        </w:rPr>
        <w:t>收到不满意反馈。</w:t>
      </w:r>
    </w:p>
    <w:p w14:paraId="216C1ED4">
      <w:pPr>
        <w:pStyle w:val="12"/>
        <w:keepNext w:val="0"/>
        <w:keepLines w:val="0"/>
        <w:pageBreakBefore w:val="0"/>
        <w:numPr>
          <w:ilvl w:val="0"/>
          <w:numId w:val="0"/>
        </w:numPr>
        <w:tabs>
          <w:tab w:val="left" w:pos="2160"/>
        </w:tabs>
        <w:kinsoku/>
        <w:wordWrap/>
        <w:overflowPunct/>
        <w:topLinePunct w:val="0"/>
        <w:autoSpaceDE/>
        <w:autoSpaceDN/>
        <w:bidi w:val="0"/>
        <w:adjustRightInd/>
        <w:spacing w:line="578" w:lineRule="exact"/>
        <w:ind w:firstLine="640" w:firstLineChars="200"/>
        <w:textAlignment w:val="auto"/>
        <w:rPr>
          <w:rFonts w:hint="default" w:ascii="Times New Roman" w:hAnsi="Times New Roman" w:eastAsia="黑体" w:cs="Times New Roman"/>
          <w:color w:val="auto"/>
          <w:sz w:val="32"/>
          <w:szCs w:val="32"/>
          <w:highlight w:val="none"/>
          <w:u w:val="none"/>
        </w:rPr>
      </w:pPr>
      <w:r>
        <w:rPr>
          <w:rFonts w:hint="eastAsia" w:ascii="Times New Roman" w:cs="Times New Roman"/>
          <w:color w:val="auto"/>
          <w:sz w:val="32"/>
          <w:szCs w:val="32"/>
          <w:highlight w:val="none"/>
          <w:u w:val="none"/>
          <w:lang w:val="en-US" w:eastAsia="zh-CN"/>
        </w:rPr>
        <w:t>四、</w:t>
      </w:r>
      <w:r>
        <w:rPr>
          <w:rFonts w:hint="default" w:ascii="Times New Roman" w:hAnsi="Times New Roman" w:eastAsia="黑体" w:cs="Times New Roman"/>
          <w:color w:val="auto"/>
          <w:sz w:val="32"/>
          <w:szCs w:val="32"/>
          <w:highlight w:val="none"/>
          <w:u w:val="none"/>
        </w:rPr>
        <w:t>评价结论</w:t>
      </w:r>
    </w:p>
    <w:p w14:paraId="5689B78C">
      <w:pPr>
        <w:pStyle w:val="12"/>
        <w:keepNext w:val="0"/>
        <w:keepLines w:val="0"/>
        <w:pageBreakBefore w:val="0"/>
        <w:numPr>
          <w:ilvl w:val="0"/>
          <w:numId w:val="0"/>
        </w:numPr>
        <w:tabs>
          <w:tab w:val="left" w:pos="2160"/>
        </w:tabs>
        <w:kinsoku/>
        <w:wordWrap/>
        <w:overflowPunct/>
        <w:topLinePunct w:val="0"/>
        <w:autoSpaceDE/>
        <w:autoSpaceDN/>
        <w:bidi w:val="0"/>
        <w:adjustRightInd/>
        <w:spacing w:line="578" w:lineRule="exact"/>
        <w:ind w:firstLine="640" w:firstLineChars="200"/>
        <w:textAlignment w:val="auto"/>
        <w:rPr>
          <w:rFonts w:hint="eastAsia" w:ascii="仿宋_GB2312" w:hAnsi="仿宋_GB2312" w:eastAsia="仿宋_GB2312" w:cs="仿宋_GB2312"/>
          <w:sz w:val="32"/>
          <w:szCs w:val="32"/>
          <w:lang w:val="zh-CN" w:eastAsia="zh-CN"/>
        </w:rPr>
      </w:pPr>
      <w:r>
        <w:rPr>
          <w:rFonts w:hint="eastAsia" w:ascii="Times New Roman" w:eastAsia="仿宋_GB2312" w:cs="Times New Roman"/>
          <w:b w:val="0"/>
          <w:bCs w:val="0"/>
          <w:sz w:val="32"/>
          <w:szCs w:val="32"/>
          <w:highlight w:val="none"/>
          <w:lang w:val="en-US" w:eastAsia="zh-CN"/>
        </w:rPr>
        <w:t>中心前期服务工作经费专项预算项目，</w:t>
      </w:r>
      <w:r>
        <w:rPr>
          <w:rFonts w:hint="default" w:ascii="Times New Roman" w:hAnsi="Times New Roman" w:eastAsia="仿宋_GB2312" w:cs="Times New Roman"/>
          <w:b w:val="0"/>
          <w:bCs w:val="0"/>
          <w:sz w:val="32"/>
          <w:szCs w:val="32"/>
          <w:highlight w:val="none"/>
          <w:lang w:val="en-US" w:eastAsia="zh-CN"/>
        </w:rPr>
        <w:t>总体自评结果良好，项目立项程序完整、规范，设置了明确的绩效目标，财务相关管理制度健全，预算执行及时、有效，活动开展及时有效，</w:t>
      </w:r>
      <w:r>
        <w:rPr>
          <w:rFonts w:hint="eastAsia" w:ascii="Times New Roman" w:eastAsia="仿宋_GB2312" w:cs="Times New Roman"/>
          <w:b w:val="0"/>
          <w:bCs w:val="0"/>
          <w:sz w:val="32"/>
          <w:szCs w:val="32"/>
          <w:highlight w:val="none"/>
          <w:lang w:val="en-US" w:eastAsia="zh-CN"/>
        </w:rPr>
        <w:t>相关人员</w:t>
      </w:r>
      <w:r>
        <w:rPr>
          <w:rFonts w:hint="default" w:ascii="Times New Roman" w:hAnsi="Times New Roman" w:eastAsia="仿宋_GB2312" w:cs="Times New Roman"/>
          <w:b w:val="0"/>
          <w:bCs w:val="0"/>
          <w:sz w:val="32"/>
          <w:szCs w:val="32"/>
          <w:highlight w:val="none"/>
          <w:lang w:val="en-US" w:eastAsia="zh-CN"/>
        </w:rPr>
        <w:t>满意度</w:t>
      </w:r>
      <w:r>
        <w:rPr>
          <w:rFonts w:hint="eastAsia" w:ascii="Times New Roman" w:eastAsia="仿宋_GB2312" w:cs="Times New Roman"/>
          <w:b w:val="0"/>
          <w:bCs w:val="0"/>
          <w:sz w:val="32"/>
          <w:szCs w:val="32"/>
          <w:highlight w:val="none"/>
          <w:lang w:val="en-US" w:eastAsia="zh-CN"/>
        </w:rPr>
        <w:t>极高</w:t>
      </w:r>
      <w:r>
        <w:rPr>
          <w:rFonts w:hint="default" w:ascii="Times New Roman" w:hAnsi="Times New Roman" w:eastAsia="仿宋_GB2312" w:cs="Times New Roman"/>
          <w:b w:val="0"/>
          <w:bCs w:val="0"/>
          <w:sz w:val="32"/>
          <w:szCs w:val="32"/>
          <w:highlight w:val="none"/>
          <w:lang w:val="en-US" w:eastAsia="zh-CN"/>
        </w:rPr>
        <w:t>，</w:t>
      </w:r>
      <w:r>
        <w:rPr>
          <w:rFonts w:hint="eastAsia" w:ascii="仿宋_GB2312" w:hAnsi="仿宋_GB2312" w:eastAsia="仿宋_GB2312" w:cs="仿宋_GB2312"/>
          <w:position w:val="0"/>
          <w:sz w:val="32"/>
          <w:szCs w:val="32"/>
          <w:lang w:eastAsia="zh-CN"/>
        </w:rPr>
        <w:t>项目绩效目标完成情况达到预期效果，绩效自评得分为</w:t>
      </w:r>
      <w:r>
        <w:rPr>
          <w:rFonts w:hint="eastAsia" w:ascii="仿宋_GB2312" w:hAnsi="仿宋_GB2312" w:eastAsia="仿宋_GB2312" w:cs="仿宋_GB2312"/>
          <w:position w:val="0"/>
          <w:sz w:val="32"/>
          <w:szCs w:val="32"/>
          <w:lang w:val="en-US" w:eastAsia="zh-CN"/>
        </w:rPr>
        <w:t>100</w:t>
      </w:r>
      <w:r>
        <w:rPr>
          <w:rFonts w:hint="eastAsia" w:ascii="仿宋_GB2312" w:hAnsi="仿宋_GB2312" w:eastAsia="仿宋_GB2312" w:cs="仿宋_GB2312"/>
          <w:position w:val="0"/>
          <w:sz w:val="32"/>
          <w:szCs w:val="32"/>
          <w:lang w:eastAsia="zh-CN"/>
        </w:rPr>
        <w:t>分</w:t>
      </w:r>
      <w:r>
        <w:rPr>
          <w:rFonts w:hint="eastAsia" w:ascii="仿宋_GB2312" w:hAnsi="仿宋_GB2312" w:eastAsia="仿宋_GB2312" w:cs="仿宋_GB2312"/>
          <w:sz w:val="32"/>
          <w:szCs w:val="32"/>
          <w:lang w:val="zh-CN" w:eastAsia="zh-CN"/>
        </w:rPr>
        <w:t>。</w:t>
      </w:r>
    </w:p>
    <w:p w14:paraId="4E820F14">
      <w:pPr>
        <w:pStyle w:val="12"/>
        <w:keepNext w:val="0"/>
        <w:keepLines w:val="0"/>
        <w:pageBreakBefore w:val="0"/>
        <w:numPr>
          <w:ilvl w:val="0"/>
          <w:numId w:val="0"/>
        </w:numPr>
        <w:tabs>
          <w:tab w:val="left" w:pos="2160"/>
        </w:tabs>
        <w:kinsoku/>
        <w:wordWrap/>
        <w:overflowPunct/>
        <w:topLinePunct w:val="0"/>
        <w:autoSpaceDE/>
        <w:autoSpaceDN/>
        <w:bidi w:val="0"/>
        <w:adjustRightInd/>
        <w:spacing w:line="578" w:lineRule="exact"/>
        <w:ind w:firstLine="640" w:firstLineChars="200"/>
        <w:textAlignment w:val="auto"/>
        <w:rPr>
          <w:rFonts w:hint="default" w:ascii="Times New Roman" w:hAnsi="Times New Roman" w:eastAsia="仿宋_GB2312" w:cs="Times New Roman"/>
          <w:b w:val="0"/>
          <w:bCs w:val="0"/>
          <w:kern w:val="0"/>
          <w:position w:val="0"/>
          <w:sz w:val="32"/>
          <w:szCs w:val="32"/>
          <w:highlight w:val="none"/>
          <w:lang w:val="en-US" w:eastAsia="zh-CN" w:bidi="ar-SA"/>
        </w:rPr>
      </w:pPr>
      <w:r>
        <w:rPr>
          <w:rFonts w:hint="default" w:ascii="Times New Roman" w:hAnsi="Times New Roman" w:cs="Times New Roman"/>
          <w:color w:val="auto"/>
          <w:sz w:val="32"/>
          <w:szCs w:val="32"/>
          <w:highlight w:val="none"/>
          <w:u w:val="none"/>
          <w:lang w:eastAsia="zh-CN"/>
        </w:rPr>
        <w:t>五、</w:t>
      </w:r>
      <w:r>
        <w:rPr>
          <w:rFonts w:hint="default" w:ascii="Times New Roman" w:hAnsi="Times New Roman" w:eastAsia="黑体" w:cs="Times New Roman"/>
          <w:color w:val="auto"/>
          <w:sz w:val="32"/>
          <w:szCs w:val="32"/>
          <w:highlight w:val="none"/>
          <w:u w:val="none"/>
          <w:lang w:eastAsia="zh-CN"/>
        </w:rPr>
        <w:t>存在主要问题</w:t>
      </w:r>
    </w:p>
    <w:p w14:paraId="6195DE74">
      <w:pPr>
        <w:pStyle w:val="12"/>
        <w:keepNext w:val="0"/>
        <w:keepLines w:val="0"/>
        <w:pageBreakBefore w:val="0"/>
        <w:numPr>
          <w:ilvl w:val="0"/>
          <w:numId w:val="0"/>
        </w:numPr>
        <w:tabs>
          <w:tab w:val="left" w:pos="2160"/>
        </w:tabs>
        <w:kinsoku/>
        <w:wordWrap/>
        <w:overflowPunct/>
        <w:topLinePunct w:val="0"/>
        <w:autoSpaceDE/>
        <w:autoSpaceDN/>
        <w:bidi w:val="0"/>
        <w:adjustRightInd/>
        <w:spacing w:line="578" w:lineRule="exact"/>
        <w:ind w:firstLine="640" w:firstLineChars="200"/>
        <w:textAlignment w:val="auto"/>
        <w:rPr>
          <w:rFonts w:hint="default" w:ascii="Times New Roman" w:hAnsi="Times New Roman" w:eastAsia="仿宋_GB2312" w:cs="Times New Roman"/>
          <w:b w:val="0"/>
          <w:bCs w:val="0"/>
          <w:kern w:val="0"/>
          <w:position w:val="0"/>
          <w:sz w:val="32"/>
          <w:szCs w:val="32"/>
          <w:highlight w:val="none"/>
          <w:lang w:val="en-US" w:eastAsia="zh-CN" w:bidi="ar-SA"/>
        </w:rPr>
      </w:pPr>
      <w:r>
        <w:rPr>
          <w:rFonts w:hint="default" w:ascii="Times New Roman" w:hAnsi="Times New Roman" w:eastAsia="仿宋_GB2312" w:cs="Times New Roman"/>
          <w:b w:val="0"/>
          <w:bCs w:val="0"/>
          <w:kern w:val="0"/>
          <w:position w:val="0"/>
          <w:sz w:val="32"/>
          <w:szCs w:val="32"/>
          <w:highlight w:val="none"/>
          <w:lang w:val="en-US" w:eastAsia="zh-CN" w:bidi="ar-SA"/>
        </w:rPr>
        <w:t>由于资金拨付、办公室配备、人员不足等问题，</w:t>
      </w:r>
      <w:r>
        <w:rPr>
          <w:rFonts w:hint="eastAsia" w:ascii="Times New Roman" w:eastAsia="仿宋_GB2312" w:cs="Times New Roman"/>
          <w:b w:val="0"/>
          <w:bCs w:val="0"/>
          <w:kern w:val="0"/>
          <w:position w:val="0"/>
          <w:sz w:val="32"/>
          <w:szCs w:val="32"/>
          <w:highlight w:val="none"/>
          <w:lang w:val="en-US" w:eastAsia="zh-CN" w:bidi="ar-SA"/>
        </w:rPr>
        <w:t>部分</w:t>
      </w:r>
      <w:r>
        <w:rPr>
          <w:rFonts w:hint="default" w:ascii="Times New Roman" w:hAnsi="Times New Roman" w:eastAsia="仿宋_GB2312" w:cs="Times New Roman"/>
          <w:b w:val="0"/>
          <w:bCs w:val="0"/>
          <w:kern w:val="0"/>
          <w:position w:val="0"/>
          <w:sz w:val="32"/>
          <w:szCs w:val="32"/>
          <w:highlight w:val="none"/>
          <w:lang w:val="en-US" w:eastAsia="zh-CN" w:bidi="ar-SA"/>
        </w:rPr>
        <w:t>指标完成</w:t>
      </w:r>
      <w:r>
        <w:rPr>
          <w:rFonts w:hint="eastAsia" w:ascii="Times New Roman" w:eastAsia="仿宋_GB2312" w:cs="Times New Roman"/>
          <w:b w:val="0"/>
          <w:bCs w:val="0"/>
          <w:kern w:val="0"/>
          <w:position w:val="0"/>
          <w:sz w:val="32"/>
          <w:szCs w:val="32"/>
          <w:highlight w:val="none"/>
          <w:lang w:val="en-US" w:eastAsia="zh-CN" w:bidi="ar-SA"/>
        </w:rPr>
        <w:t>率未达100%</w:t>
      </w:r>
      <w:r>
        <w:rPr>
          <w:rFonts w:hint="default" w:ascii="Times New Roman" w:hAnsi="Times New Roman" w:eastAsia="仿宋_GB2312" w:cs="Times New Roman"/>
          <w:b w:val="0"/>
          <w:bCs w:val="0"/>
          <w:kern w:val="0"/>
          <w:position w:val="0"/>
          <w:sz w:val="32"/>
          <w:szCs w:val="32"/>
          <w:highlight w:val="none"/>
          <w:lang w:val="en-US" w:eastAsia="zh-CN" w:bidi="ar-SA"/>
        </w:rPr>
        <w:t>。</w:t>
      </w:r>
    </w:p>
    <w:p w14:paraId="2CBDCB60">
      <w:pPr>
        <w:pStyle w:val="12"/>
        <w:keepNext w:val="0"/>
        <w:keepLines w:val="0"/>
        <w:pageBreakBefore w:val="0"/>
        <w:numPr>
          <w:ilvl w:val="0"/>
          <w:numId w:val="0"/>
        </w:numPr>
        <w:tabs>
          <w:tab w:val="left" w:pos="2160"/>
        </w:tabs>
        <w:kinsoku/>
        <w:wordWrap/>
        <w:overflowPunct/>
        <w:topLinePunct w:val="0"/>
        <w:autoSpaceDE/>
        <w:autoSpaceDN/>
        <w:bidi w:val="0"/>
        <w:adjustRightInd/>
        <w:spacing w:line="578" w:lineRule="exact"/>
        <w:ind w:firstLine="640" w:firstLineChars="200"/>
        <w:textAlignment w:val="auto"/>
        <w:rPr>
          <w:rFonts w:hint="default" w:ascii="Times New Roman" w:hAnsi="Times New Roman" w:cs="Times New Roman"/>
          <w:b w:val="0"/>
          <w:bCs w:val="0"/>
          <w:kern w:val="0"/>
          <w:position w:val="0"/>
          <w:sz w:val="32"/>
          <w:szCs w:val="32"/>
          <w:highlight w:val="none"/>
          <w:lang w:val="en-US" w:eastAsia="zh-CN" w:bidi="ar-SA"/>
        </w:rPr>
      </w:pPr>
      <w:r>
        <w:rPr>
          <w:rFonts w:hint="default" w:ascii="Times New Roman" w:hAnsi="Times New Roman" w:eastAsia="黑体" w:cs="Times New Roman"/>
          <w:color w:val="auto"/>
          <w:kern w:val="0"/>
          <w:position w:val="3"/>
          <w:sz w:val="32"/>
          <w:szCs w:val="32"/>
          <w:highlight w:val="none"/>
          <w:u w:val="none"/>
          <w:lang w:val="zh-CN" w:eastAsia="zh-CN" w:bidi="ar-SA"/>
        </w:rPr>
        <w:t>六、改进建议</w:t>
      </w:r>
    </w:p>
    <w:p w14:paraId="6462D90C">
      <w:pPr>
        <w:keepNext w:val="0"/>
        <w:keepLines w:val="0"/>
        <w:pageBreakBefore w:val="0"/>
        <w:tabs>
          <w:tab w:val="left" w:pos="1911"/>
        </w:tabs>
        <w:kinsoku/>
        <w:wordWrap/>
        <w:overflowPunct/>
        <w:topLinePunct w:val="0"/>
        <w:autoSpaceDE/>
        <w:autoSpaceDN/>
        <w:bidi w:val="0"/>
        <w:spacing w:line="578" w:lineRule="exact"/>
        <w:ind w:firstLine="640"/>
        <w:jc w:val="left"/>
        <w:textAlignment w:val="auto"/>
        <w:rPr>
          <w:rFonts w:hint="default" w:ascii="Times New Roman" w:hAnsi="Times New Roman" w:cs="Times New Roman"/>
          <w:b w:val="0"/>
          <w:bCs w:val="0"/>
          <w:kern w:val="0"/>
          <w:position w:val="0"/>
          <w:sz w:val="32"/>
          <w:szCs w:val="32"/>
          <w:highlight w:val="none"/>
          <w:lang w:val="en-US" w:eastAsia="zh-CN" w:bidi="ar-SA"/>
        </w:rPr>
      </w:pPr>
      <w:r>
        <w:rPr>
          <w:rFonts w:hint="default" w:ascii="Times New Roman" w:hAnsi="Times New Roman" w:cs="Times New Roman"/>
          <w:b w:val="0"/>
          <w:bCs w:val="0"/>
          <w:kern w:val="0"/>
          <w:position w:val="0"/>
          <w:sz w:val="32"/>
          <w:szCs w:val="32"/>
          <w:highlight w:val="none"/>
          <w:lang w:val="en-US" w:eastAsia="zh-CN" w:bidi="ar-SA"/>
        </w:rPr>
        <w:t>1.</w:t>
      </w:r>
      <w:r>
        <w:rPr>
          <w:rFonts w:hint="eastAsia" w:cs="Times New Roman"/>
          <w:b w:val="0"/>
          <w:bCs w:val="0"/>
          <w:kern w:val="0"/>
          <w:position w:val="0"/>
          <w:sz w:val="32"/>
          <w:szCs w:val="32"/>
          <w:highlight w:val="none"/>
          <w:lang w:val="en-US" w:eastAsia="zh-CN" w:bidi="ar-SA"/>
        </w:rPr>
        <w:t>与财政部门及时沟通，保障财政资金拨付到位</w:t>
      </w:r>
      <w:r>
        <w:rPr>
          <w:rFonts w:hint="default" w:ascii="Times New Roman" w:hAnsi="Times New Roman" w:cs="Times New Roman"/>
          <w:b w:val="0"/>
          <w:bCs w:val="0"/>
          <w:kern w:val="0"/>
          <w:position w:val="0"/>
          <w:sz w:val="32"/>
          <w:szCs w:val="32"/>
          <w:highlight w:val="none"/>
          <w:lang w:val="en-US" w:eastAsia="zh-CN" w:bidi="ar-SA"/>
        </w:rPr>
        <w:t xml:space="preserve">。 </w:t>
      </w:r>
    </w:p>
    <w:p w14:paraId="5FCEEF06">
      <w:pPr>
        <w:keepNext w:val="0"/>
        <w:keepLines w:val="0"/>
        <w:pageBreakBefore w:val="0"/>
        <w:tabs>
          <w:tab w:val="left" w:pos="1911"/>
        </w:tabs>
        <w:kinsoku/>
        <w:wordWrap/>
        <w:overflowPunct/>
        <w:topLinePunct w:val="0"/>
        <w:autoSpaceDE/>
        <w:autoSpaceDN/>
        <w:bidi w:val="0"/>
        <w:spacing w:line="578" w:lineRule="exact"/>
        <w:ind w:firstLine="640" w:firstLineChars="200"/>
        <w:jc w:val="left"/>
        <w:textAlignment w:val="auto"/>
        <w:rPr>
          <w:rFonts w:hint="default" w:ascii="Times New Roman" w:hAnsi="Times New Roman" w:cs="Times New Roman"/>
          <w:color w:val="000000"/>
          <w:kern w:val="0"/>
          <w:szCs w:val="32"/>
          <w:highlight w:val="none"/>
          <w:shd w:val="clear" w:color="auto" w:fill="FFFFFF"/>
          <w:lang w:val="zh-CN" w:eastAsia="zh-CN"/>
        </w:rPr>
      </w:pPr>
      <w:r>
        <w:rPr>
          <w:rFonts w:hint="eastAsia" w:cs="Times New Roman"/>
          <w:b w:val="0"/>
          <w:bCs w:val="0"/>
          <w:kern w:val="0"/>
          <w:position w:val="0"/>
          <w:sz w:val="32"/>
          <w:szCs w:val="32"/>
          <w:highlight w:val="none"/>
          <w:lang w:val="en-US" w:eastAsia="zh-CN" w:bidi="ar-SA"/>
        </w:rPr>
        <w:t>2</w:t>
      </w:r>
      <w:r>
        <w:rPr>
          <w:rFonts w:hint="default" w:ascii="Times New Roman" w:hAnsi="Times New Roman" w:cs="Times New Roman"/>
          <w:b w:val="0"/>
          <w:bCs w:val="0"/>
          <w:kern w:val="0"/>
          <w:position w:val="0"/>
          <w:sz w:val="32"/>
          <w:szCs w:val="32"/>
          <w:highlight w:val="none"/>
          <w:lang w:val="en-US" w:eastAsia="zh-CN" w:bidi="ar-SA"/>
        </w:rPr>
        <w:t>.</w:t>
      </w:r>
      <w:r>
        <w:rPr>
          <w:rFonts w:hint="eastAsia" w:cs="Times New Roman"/>
          <w:b w:val="0"/>
          <w:bCs w:val="0"/>
          <w:kern w:val="0"/>
          <w:position w:val="0"/>
          <w:sz w:val="32"/>
          <w:szCs w:val="32"/>
          <w:highlight w:val="none"/>
          <w:lang w:val="en-US" w:eastAsia="zh-CN" w:bidi="ar-SA"/>
        </w:rPr>
        <w:t>按照计划及时配备人员，以更好地保障日常工作运作</w:t>
      </w:r>
      <w:r>
        <w:rPr>
          <w:rFonts w:hint="default" w:ascii="Times New Roman" w:hAnsi="Times New Roman" w:cs="Times New Roman"/>
          <w:b w:val="0"/>
          <w:bCs w:val="0"/>
          <w:kern w:val="0"/>
          <w:position w:val="0"/>
          <w:sz w:val="32"/>
          <w:szCs w:val="32"/>
          <w:highlight w:val="none"/>
          <w:lang w:val="en-US" w:eastAsia="zh-CN" w:bidi="ar-SA"/>
        </w:rPr>
        <w:t>。</w:t>
      </w:r>
    </w:p>
    <w:p w14:paraId="6AC7F0CB">
      <w:pPr>
        <w:snapToGrid w:val="0"/>
        <w:spacing w:line="578" w:lineRule="exact"/>
        <w:ind w:firstLine="640" w:firstLineChars="200"/>
        <w:rPr>
          <w:rFonts w:hint="default" w:ascii="Times New Roman" w:hAnsi="Times New Roman" w:cs="Times New Roman"/>
          <w:color w:val="000000"/>
          <w:kern w:val="0"/>
          <w:szCs w:val="32"/>
          <w:highlight w:val="none"/>
          <w:shd w:val="clear" w:color="auto" w:fill="FFFFFF"/>
          <w:lang w:val="en-US" w:eastAsia="zh-CN"/>
        </w:rPr>
      </w:pPr>
      <w:r>
        <w:rPr>
          <w:rFonts w:hint="default" w:ascii="Times New Roman" w:hAnsi="Times New Roman" w:cs="Times New Roman"/>
          <w:color w:val="000000"/>
          <w:kern w:val="0"/>
          <w:szCs w:val="32"/>
          <w:highlight w:val="none"/>
          <w:shd w:val="clear" w:color="auto" w:fill="FFFFFF"/>
          <w:lang w:val="en-US" w:eastAsia="zh-CN"/>
        </w:rPr>
        <w:t xml:space="preserve"> </w:t>
      </w:r>
    </w:p>
    <w:p w14:paraId="28EF9E7D">
      <w:pPr>
        <w:snapToGrid w:val="0"/>
        <w:spacing w:line="578" w:lineRule="exact"/>
        <w:ind w:firstLine="640" w:firstLineChars="200"/>
        <w:rPr>
          <w:rFonts w:hint="eastAsia"/>
          <w:color w:val="000000"/>
          <w:kern w:val="0"/>
          <w:shd w:val="clear" w:color="auto" w:fill="FFFFFF"/>
          <w:lang w:val="en-US" w:eastAsia="zh-CN"/>
        </w:rPr>
      </w:pPr>
    </w:p>
    <w:p w14:paraId="1B3EEB1E">
      <w:pPr>
        <w:snapToGrid w:val="0"/>
        <w:spacing w:line="578" w:lineRule="exact"/>
        <w:ind w:firstLine="640" w:firstLineChars="200"/>
        <w:rPr>
          <w:color w:val="000000"/>
          <w:kern w:val="0"/>
          <w:shd w:val="clear" w:color="auto" w:fill="FFFFFF"/>
        </w:rPr>
      </w:pPr>
      <w:r>
        <w:rPr>
          <w:rFonts w:hint="eastAsia"/>
          <w:color w:val="000000"/>
          <w:kern w:val="0"/>
          <w:shd w:val="clear" w:color="auto" w:fill="FFFFFF"/>
          <w:lang w:val="en-US" w:eastAsia="zh-CN"/>
        </w:rPr>
        <w:t xml:space="preserve"> </w:t>
      </w:r>
    </w:p>
    <w:p w14:paraId="29456041">
      <w:pPr>
        <w:widowControl/>
        <w:spacing w:line="600" w:lineRule="exact"/>
        <w:jc w:val="left"/>
        <w:textAlignment w:val="center"/>
        <w:rPr>
          <w:rFonts w:hint="eastAsia" w:ascii="黑体" w:hAnsi="黑体" w:eastAsia="黑体" w:cs="黑体"/>
          <w:kern w:val="0"/>
          <w:shd w:val="clear" w:color="auto" w:fill="FFFFFF"/>
          <w:lang w:val="en-US" w:eastAsia="zh-CN"/>
        </w:rPr>
      </w:pPr>
      <w:r>
        <w:rPr>
          <w:rFonts w:hint="eastAsia" w:ascii="黑体" w:hAnsi="黑体" w:eastAsia="黑体" w:cs="黑体"/>
          <w:kern w:val="0"/>
          <w:shd w:val="clear" w:color="auto" w:fill="FFFFFF"/>
          <w:lang w:val="en-US" w:eastAsia="zh-CN"/>
        </w:rPr>
        <w:br w:type="page"/>
      </w:r>
    </w:p>
    <w:tbl>
      <w:tblPr>
        <w:tblStyle w:val="22"/>
        <w:tblW w:w="5000" w:type="pct"/>
        <w:jc w:val="center"/>
        <w:tblLayout w:type="fixed"/>
        <w:tblCellMar>
          <w:top w:w="15" w:type="dxa"/>
          <w:left w:w="15" w:type="dxa"/>
          <w:bottom w:w="15" w:type="dxa"/>
          <w:right w:w="15" w:type="dxa"/>
        </w:tblCellMar>
      </w:tblPr>
      <w:tblGrid>
        <w:gridCol w:w="526"/>
        <w:gridCol w:w="870"/>
        <w:gridCol w:w="1530"/>
        <w:gridCol w:w="1920"/>
        <w:gridCol w:w="780"/>
        <w:gridCol w:w="1005"/>
        <w:gridCol w:w="885"/>
        <w:gridCol w:w="660"/>
        <w:gridCol w:w="699"/>
      </w:tblGrid>
      <w:tr w14:paraId="7A20FB20">
        <w:tblPrEx>
          <w:tblCellMar>
            <w:top w:w="15" w:type="dxa"/>
            <w:left w:w="15" w:type="dxa"/>
            <w:bottom w:w="15" w:type="dxa"/>
            <w:right w:w="15" w:type="dxa"/>
          </w:tblCellMar>
        </w:tblPrEx>
        <w:trPr>
          <w:trHeight w:val="576" w:hRule="atLeast"/>
          <w:jc w:val="center"/>
        </w:trPr>
        <w:tc>
          <w:tcPr>
            <w:tcW w:w="5000" w:type="pct"/>
            <w:gridSpan w:val="9"/>
            <w:shd w:val="clear" w:color="auto" w:fill="auto"/>
            <w:vAlign w:val="center"/>
          </w:tcPr>
          <w:p w14:paraId="278E1A49">
            <w:pPr>
              <w:widowControl/>
              <w:spacing w:line="600" w:lineRule="exact"/>
              <w:jc w:val="center"/>
              <w:textAlignment w:val="center"/>
              <w:rPr>
                <w:rFonts w:hint="eastAsia" w:ascii="方正小标宋简体" w:hAnsi="方正小标宋简体" w:eastAsia="方正小标宋简体" w:cs="方正小标宋简体"/>
                <w:color w:val="000000"/>
                <w:kern w:val="0"/>
                <w:sz w:val="40"/>
                <w:szCs w:val="40"/>
                <w:lang w:bidi="ar"/>
              </w:rPr>
            </w:pPr>
          </w:p>
          <w:p w14:paraId="0901E743">
            <w:pPr>
              <w:widowControl/>
              <w:spacing w:line="600" w:lineRule="exact"/>
              <w:jc w:val="center"/>
              <w:textAlignment w:val="center"/>
              <w:rPr>
                <w:rFonts w:ascii="黑体" w:hAnsi="宋体" w:eastAsia="黑体" w:cs="黑体"/>
                <w:color w:val="000000"/>
                <w:sz w:val="30"/>
                <w:szCs w:val="30"/>
              </w:rPr>
            </w:pPr>
            <w:r>
              <w:rPr>
                <w:rFonts w:hint="eastAsia" w:ascii="方正仿宋_GBK" w:hAnsi="方正仿宋_GBK" w:eastAsia="方正仿宋_GBK" w:cs="方正仿宋_GBK"/>
                <w:color w:val="000000"/>
                <w:kern w:val="0"/>
                <w:sz w:val="44"/>
                <w:szCs w:val="44"/>
                <w:lang w:bidi="ar"/>
              </w:rPr>
              <w:t>专项预算项目绩效目标完成情况自评表</w:t>
            </w:r>
          </w:p>
        </w:tc>
      </w:tr>
      <w:tr w14:paraId="7934D504">
        <w:tblPrEx>
          <w:tblCellMar>
            <w:top w:w="15" w:type="dxa"/>
            <w:left w:w="15" w:type="dxa"/>
            <w:bottom w:w="15" w:type="dxa"/>
            <w:right w:w="15" w:type="dxa"/>
          </w:tblCellMar>
        </w:tblPrEx>
        <w:trPr>
          <w:trHeight w:val="23" w:hRule="atLeast"/>
          <w:jc w:val="center"/>
        </w:trPr>
        <w:tc>
          <w:tcPr>
            <w:tcW w:w="2730"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4140D8F">
            <w:pPr>
              <w:widowControl/>
              <w:spacing w:line="300" w:lineRule="exact"/>
              <w:jc w:val="left"/>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项目名称</w:t>
            </w:r>
          </w:p>
        </w:tc>
        <w:tc>
          <w:tcPr>
            <w:tcW w:w="2269"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62FE485">
            <w:pPr>
              <w:spacing w:line="300" w:lineRule="exact"/>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区域合作中心前期服务工作经费</w:t>
            </w:r>
          </w:p>
        </w:tc>
      </w:tr>
      <w:tr w14:paraId="7A346427">
        <w:tblPrEx>
          <w:tblCellMar>
            <w:top w:w="15" w:type="dxa"/>
            <w:left w:w="15" w:type="dxa"/>
            <w:bottom w:w="15" w:type="dxa"/>
            <w:right w:w="15" w:type="dxa"/>
          </w:tblCellMar>
        </w:tblPrEx>
        <w:trPr>
          <w:trHeight w:val="23" w:hRule="atLeast"/>
          <w:jc w:val="center"/>
        </w:trPr>
        <w:tc>
          <w:tcPr>
            <w:tcW w:w="2730"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1AF4FF9">
            <w:pPr>
              <w:widowControl/>
              <w:spacing w:line="300" w:lineRule="exact"/>
              <w:jc w:val="left"/>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预算单位</w:t>
            </w:r>
          </w:p>
        </w:tc>
        <w:tc>
          <w:tcPr>
            <w:tcW w:w="2269"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95EBE4C">
            <w:pPr>
              <w:spacing w:line="300" w:lineRule="exact"/>
              <w:rPr>
                <w:rFonts w:ascii="宋体" w:hAnsi="宋体" w:eastAsia="宋体" w:cs="宋体"/>
                <w:color w:val="000000"/>
                <w:sz w:val="24"/>
                <w:szCs w:val="24"/>
              </w:rPr>
            </w:pPr>
            <w:r>
              <w:rPr>
                <w:rFonts w:hint="eastAsia" w:ascii="宋体" w:hAnsi="宋体" w:eastAsia="宋体" w:cs="宋体"/>
                <w:color w:val="000000"/>
                <w:sz w:val="24"/>
                <w:szCs w:val="24"/>
                <w:lang w:val="en-US" w:eastAsia="zh-CN"/>
              </w:rPr>
              <w:t>渠县人民政府</w:t>
            </w:r>
            <w:r>
              <w:rPr>
                <w:rFonts w:hint="eastAsia" w:ascii="宋体" w:hAnsi="宋体" w:eastAsia="宋体" w:cs="宋体"/>
                <w:color w:val="000000"/>
                <w:sz w:val="24"/>
                <w:szCs w:val="24"/>
              </w:rPr>
              <w:t>办公室</w:t>
            </w:r>
          </w:p>
        </w:tc>
      </w:tr>
      <w:tr w14:paraId="7037EDFF">
        <w:tblPrEx>
          <w:tblCellMar>
            <w:top w:w="15" w:type="dxa"/>
            <w:left w:w="15" w:type="dxa"/>
            <w:bottom w:w="15" w:type="dxa"/>
            <w:right w:w="15" w:type="dxa"/>
          </w:tblCellMar>
        </w:tblPrEx>
        <w:trPr>
          <w:trHeight w:val="23" w:hRule="atLeast"/>
          <w:jc w:val="center"/>
        </w:trPr>
        <w:tc>
          <w:tcPr>
            <w:tcW w:w="2730"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CAC02F2">
            <w:pPr>
              <w:widowControl/>
              <w:spacing w:line="300" w:lineRule="exact"/>
              <w:jc w:val="left"/>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项目类型</w:t>
            </w:r>
          </w:p>
        </w:tc>
        <w:tc>
          <w:tcPr>
            <w:tcW w:w="2269"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8036B2D">
            <w:pPr>
              <w:spacing w:line="300" w:lineRule="exact"/>
              <w:jc w:val="left"/>
              <w:rPr>
                <w:rFonts w:ascii="宋体" w:hAnsi="宋体" w:eastAsia="宋体" w:cs="宋体"/>
                <w:color w:val="000000"/>
                <w:sz w:val="24"/>
                <w:szCs w:val="24"/>
              </w:rPr>
            </w:pPr>
          </w:p>
        </w:tc>
      </w:tr>
      <w:tr w14:paraId="0F9DE9C9">
        <w:tblPrEx>
          <w:tblCellMar>
            <w:top w:w="15" w:type="dxa"/>
            <w:left w:w="15" w:type="dxa"/>
            <w:bottom w:w="15" w:type="dxa"/>
            <w:right w:w="15" w:type="dxa"/>
          </w:tblCellMar>
        </w:tblPrEx>
        <w:trPr>
          <w:trHeight w:val="23" w:hRule="atLeast"/>
          <w:jc w:val="center"/>
        </w:trPr>
        <w:tc>
          <w:tcPr>
            <w:tcW w:w="2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A98C22">
            <w:pPr>
              <w:widowControl/>
              <w:spacing w:line="30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项目 概况</w:t>
            </w:r>
          </w:p>
        </w:tc>
        <w:tc>
          <w:tcPr>
            <w:tcW w:w="243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869E515">
            <w:pPr>
              <w:widowControl/>
              <w:spacing w:line="300" w:lineRule="exact"/>
              <w:jc w:val="left"/>
              <w:textAlignment w:val="center"/>
              <w:rPr>
                <w:rFonts w:ascii="宋体" w:hAnsi="宋体" w:eastAsia="宋体" w:cs="宋体"/>
                <w:color w:val="000000"/>
                <w:kern w:val="0"/>
                <w:sz w:val="24"/>
                <w:szCs w:val="24"/>
                <w:lang w:bidi="ar"/>
              </w:rPr>
            </w:pPr>
            <w:r>
              <w:rPr>
                <w:rFonts w:ascii="宋体" w:hAnsi="宋体" w:eastAsia="宋体" w:cs="宋体"/>
                <w:color w:val="000000"/>
                <w:kern w:val="0"/>
                <w:sz w:val="24"/>
                <w:szCs w:val="24"/>
                <w:lang w:bidi="ar"/>
              </w:rPr>
              <w:t>中长期规划（名称、文号，仅指常年项目）</w:t>
            </w:r>
          </w:p>
        </w:tc>
        <w:tc>
          <w:tcPr>
            <w:tcW w:w="2269"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8A6930A">
            <w:pPr>
              <w:spacing w:line="300" w:lineRule="exact"/>
              <w:jc w:val="left"/>
              <w:rPr>
                <w:rFonts w:ascii="宋体" w:hAnsi="宋体" w:eastAsia="宋体" w:cs="宋体"/>
                <w:color w:val="000000"/>
                <w:sz w:val="24"/>
                <w:szCs w:val="24"/>
              </w:rPr>
            </w:pPr>
          </w:p>
        </w:tc>
      </w:tr>
      <w:tr w14:paraId="069A72FF">
        <w:tblPrEx>
          <w:tblCellMar>
            <w:top w:w="15" w:type="dxa"/>
            <w:left w:w="15" w:type="dxa"/>
            <w:bottom w:w="15" w:type="dxa"/>
            <w:right w:w="15" w:type="dxa"/>
          </w:tblCellMar>
        </w:tblPrEx>
        <w:trPr>
          <w:trHeight w:val="23" w:hRule="atLeast"/>
          <w:jc w:val="center"/>
        </w:trPr>
        <w:tc>
          <w:tcPr>
            <w:tcW w:w="2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83B445">
            <w:pPr>
              <w:spacing w:line="300" w:lineRule="exact"/>
              <w:rPr>
                <w:rFonts w:ascii="宋体" w:hAnsi="宋体" w:eastAsia="宋体" w:cs="宋体"/>
                <w:color w:val="000000"/>
                <w:sz w:val="24"/>
                <w:szCs w:val="24"/>
              </w:rPr>
            </w:pPr>
          </w:p>
        </w:tc>
        <w:tc>
          <w:tcPr>
            <w:tcW w:w="243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0DAB1A5">
            <w:pPr>
              <w:widowControl/>
              <w:spacing w:line="300" w:lineRule="exact"/>
              <w:jc w:val="left"/>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资金管理办法（名称、文号）</w:t>
            </w:r>
          </w:p>
        </w:tc>
        <w:tc>
          <w:tcPr>
            <w:tcW w:w="2269"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1FF34C1">
            <w:pPr>
              <w:spacing w:line="300" w:lineRule="exact"/>
              <w:jc w:val="left"/>
              <w:rPr>
                <w:rFonts w:ascii="宋体" w:hAnsi="宋体" w:eastAsia="宋体" w:cs="宋体"/>
                <w:color w:val="000000"/>
                <w:sz w:val="24"/>
                <w:szCs w:val="24"/>
              </w:rPr>
            </w:pPr>
          </w:p>
        </w:tc>
      </w:tr>
      <w:tr w14:paraId="059ACCFD">
        <w:tblPrEx>
          <w:tblCellMar>
            <w:top w:w="15" w:type="dxa"/>
            <w:left w:w="15" w:type="dxa"/>
            <w:bottom w:w="15" w:type="dxa"/>
            <w:right w:w="15" w:type="dxa"/>
          </w:tblCellMar>
        </w:tblPrEx>
        <w:trPr>
          <w:trHeight w:val="23" w:hRule="atLeast"/>
          <w:jc w:val="center"/>
        </w:trPr>
        <w:tc>
          <w:tcPr>
            <w:tcW w:w="2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70897E">
            <w:pPr>
              <w:spacing w:line="300" w:lineRule="exact"/>
              <w:rPr>
                <w:rFonts w:ascii="宋体" w:hAnsi="宋体" w:eastAsia="宋体" w:cs="宋体"/>
                <w:color w:val="000000"/>
                <w:sz w:val="24"/>
                <w:szCs w:val="24"/>
              </w:rPr>
            </w:pPr>
          </w:p>
        </w:tc>
        <w:tc>
          <w:tcPr>
            <w:tcW w:w="243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FF31FDE">
            <w:pPr>
              <w:widowControl/>
              <w:spacing w:line="300" w:lineRule="exact"/>
              <w:jc w:val="left"/>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绩效分配方式</w:t>
            </w:r>
          </w:p>
        </w:tc>
        <w:tc>
          <w:tcPr>
            <w:tcW w:w="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FAC20D">
            <w:pPr>
              <w:widowControl/>
              <w:spacing w:line="300" w:lineRule="exact"/>
              <w:jc w:val="left"/>
              <w:textAlignment w:val="center"/>
              <w:rPr>
                <w:rFonts w:ascii="Wingdings 2" w:hAnsi="Wingdings 2" w:eastAsia="Wingdings 2" w:cs="Wingdings 2"/>
                <w:color w:val="000000"/>
                <w:sz w:val="24"/>
                <w:szCs w:val="24"/>
              </w:rPr>
            </w:pPr>
            <w:r>
              <w:rPr>
                <w:rFonts w:ascii="Wingdings 2" w:hAnsi="Wingdings 2" w:eastAsia="Wingdings 2" w:cs="Wingdings 2"/>
                <w:color w:val="000000"/>
                <w:kern w:val="0"/>
                <w:sz w:val="24"/>
                <w:szCs w:val="24"/>
                <w:lang w:bidi="ar"/>
              </w:rPr>
              <w:t>£</w:t>
            </w:r>
            <w:r>
              <w:rPr>
                <w:rFonts w:ascii="宋体" w:hAnsi="宋体" w:eastAsia="宋体" w:cs="宋体"/>
                <w:color w:val="000000"/>
                <w:kern w:val="0"/>
                <w:sz w:val="24"/>
                <w:szCs w:val="24"/>
                <w:lang w:bidi="ar"/>
              </w:rPr>
              <w:t>因素法</w:t>
            </w:r>
          </w:p>
        </w:tc>
        <w:tc>
          <w:tcPr>
            <w:tcW w:w="106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02C2A0">
            <w:pPr>
              <w:widowControl/>
              <w:spacing w:line="300" w:lineRule="exact"/>
              <w:jc w:val="center"/>
              <w:textAlignment w:val="center"/>
              <w:rPr>
                <w:rFonts w:ascii="Wingdings 2" w:hAnsi="Wingdings 2" w:eastAsia="Wingdings 2" w:cs="Wingdings 2"/>
                <w:color w:val="000000"/>
                <w:sz w:val="24"/>
                <w:szCs w:val="24"/>
              </w:rPr>
            </w:pPr>
            <w:r>
              <w:rPr>
                <w:rFonts w:ascii="Wingdings 2" w:hAnsi="Wingdings 2" w:eastAsia="Wingdings 2" w:cs="Wingdings 2"/>
                <w:color w:val="000000"/>
                <w:kern w:val="0"/>
                <w:sz w:val="24"/>
                <w:szCs w:val="24"/>
                <w:lang w:bidi="ar"/>
              </w:rPr>
              <w:t>£项目法</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11273D">
            <w:pPr>
              <w:widowControl/>
              <w:spacing w:line="300" w:lineRule="exact"/>
              <w:jc w:val="center"/>
              <w:textAlignment w:val="center"/>
              <w:rPr>
                <w:rFonts w:ascii="Wingdings 2" w:hAnsi="Wingdings 2" w:eastAsia="Wingdings 2" w:cs="Wingdings 2"/>
                <w:color w:val="000000"/>
                <w:sz w:val="24"/>
                <w:szCs w:val="24"/>
              </w:rPr>
            </w:pPr>
            <w:r>
              <w:rPr>
                <w:rFonts w:ascii="Wingdings 2" w:hAnsi="Wingdings 2" w:eastAsia="Wingdings 2" w:cs="Wingdings 2"/>
                <w:color w:val="000000"/>
                <w:kern w:val="0"/>
                <w:sz w:val="24"/>
                <w:szCs w:val="24"/>
                <w:lang w:bidi="ar"/>
              </w:rPr>
              <w:sym w:font="Wingdings 2" w:char="0052"/>
            </w:r>
            <w:r>
              <w:rPr>
                <w:rFonts w:ascii="宋体" w:hAnsi="宋体" w:eastAsia="宋体" w:cs="宋体"/>
                <w:color w:val="000000"/>
                <w:kern w:val="0"/>
                <w:sz w:val="24"/>
                <w:szCs w:val="24"/>
                <w:lang w:bidi="ar"/>
              </w:rPr>
              <w:t>据实据效</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BE7869">
            <w:pPr>
              <w:widowControl/>
              <w:spacing w:line="300" w:lineRule="exact"/>
              <w:jc w:val="center"/>
              <w:textAlignment w:val="center"/>
              <w:rPr>
                <w:rFonts w:ascii="Wingdings 2" w:hAnsi="Wingdings 2" w:eastAsia="Wingdings 2" w:cs="Wingdings 2"/>
                <w:color w:val="000000"/>
                <w:sz w:val="24"/>
                <w:szCs w:val="24"/>
              </w:rPr>
            </w:pPr>
            <w:r>
              <w:rPr>
                <w:rFonts w:ascii="Wingdings 2" w:hAnsi="Wingdings 2" w:eastAsia="Wingdings 2" w:cs="Wingdings 2"/>
                <w:color w:val="000000"/>
                <w:kern w:val="0"/>
                <w:sz w:val="24"/>
                <w:szCs w:val="24"/>
                <w:lang w:bidi="ar"/>
              </w:rPr>
              <w:t>£</w:t>
            </w:r>
            <w:r>
              <w:rPr>
                <w:rFonts w:ascii="宋体" w:hAnsi="宋体" w:eastAsia="宋体" w:cs="宋体"/>
                <w:color w:val="000000"/>
                <w:kern w:val="0"/>
                <w:sz w:val="24"/>
                <w:szCs w:val="24"/>
                <w:lang w:bidi="ar"/>
              </w:rPr>
              <w:t>因素法与项目法相结合</w:t>
            </w:r>
          </w:p>
        </w:tc>
      </w:tr>
      <w:tr w14:paraId="20B57A32">
        <w:tblPrEx>
          <w:tblCellMar>
            <w:top w:w="15" w:type="dxa"/>
            <w:left w:w="15" w:type="dxa"/>
            <w:bottom w:w="15" w:type="dxa"/>
            <w:right w:w="15" w:type="dxa"/>
          </w:tblCellMar>
        </w:tblPrEx>
        <w:trPr>
          <w:trHeight w:val="23" w:hRule="atLeast"/>
          <w:jc w:val="center"/>
        </w:trPr>
        <w:tc>
          <w:tcPr>
            <w:tcW w:w="2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36A483">
            <w:pPr>
              <w:spacing w:line="300" w:lineRule="exact"/>
              <w:rPr>
                <w:rFonts w:ascii="宋体" w:hAnsi="宋体" w:eastAsia="宋体" w:cs="宋体"/>
                <w:color w:val="000000"/>
                <w:sz w:val="24"/>
                <w:szCs w:val="24"/>
              </w:rPr>
            </w:pPr>
          </w:p>
        </w:tc>
        <w:tc>
          <w:tcPr>
            <w:tcW w:w="243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19CA21C">
            <w:pPr>
              <w:widowControl/>
              <w:spacing w:line="300" w:lineRule="exact"/>
              <w:jc w:val="left"/>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立项依据</w:t>
            </w:r>
          </w:p>
        </w:tc>
        <w:tc>
          <w:tcPr>
            <w:tcW w:w="2269"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C023448">
            <w:pPr>
              <w:spacing w:line="300" w:lineRule="exact"/>
              <w:jc w:val="left"/>
              <w:rPr>
                <w:rFonts w:ascii="宋体" w:hAnsi="宋体" w:eastAsia="宋体" w:cs="宋体"/>
                <w:color w:val="000000"/>
                <w:sz w:val="24"/>
                <w:szCs w:val="24"/>
              </w:rPr>
            </w:pPr>
          </w:p>
        </w:tc>
      </w:tr>
      <w:tr w14:paraId="45B74096">
        <w:tblPrEx>
          <w:tblCellMar>
            <w:top w:w="15" w:type="dxa"/>
            <w:left w:w="15" w:type="dxa"/>
            <w:bottom w:w="15" w:type="dxa"/>
            <w:right w:w="15" w:type="dxa"/>
          </w:tblCellMar>
        </w:tblPrEx>
        <w:trPr>
          <w:trHeight w:val="23" w:hRule="atLeast"/>
          <w:jc w:val="center"/>
        </w:trPr>
        <w:tc>
          <w:tcPr>
            <w:tcW w:w="2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9BA0C9">
            <w:pPr>
              <w:spacing w:line="300" w:lineRule="exact"/>
              <w:rPr>
                <w:rFonts w:ascii="宋体" w:hAnsi="宋体" w:eastAsia="宋体" w:cs="宋体"/>
                <w:color w:val="000000"/>
                <w:sz w:val="24"/>
                <w:szCs w:val="24"/>
              </w:rPr>
            </w:pPr>
          </w:p>
        </w:tc>
        <w:tc>
          <w:tcPr>
            <w:tcW w:w="243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A8A9259">
            <w:pPr>
              <w:widowControl/>
              <w:spacing w:line="300" w:lineRule="exact"/>
              <w:jc w:val="left"/>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使用范围</w:t>
            </w:r>
          </w:p>
        </w:tc>
        <w:tc>
          <w:tcPr>
            <w:tcW w:w="2269"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F20E017">
            <w:pPr>
              <w:spacing w:line="300" w:lineRule="exact"/>
              <w:jc w:val="left"/>
              <w:rPr>
                <w:rFonts w:ascii="宋体" w:hAnsi="宋体" w:eastAsia="宋体" w:cs="宋体"/>
                <w:color w:val="000000"/>
                <w:sz w:val="24"/>
                <w:szCs w:val="24"/>
              </w:rPr>
            </w:pPr>
          </w:p>
        </w:tc>
      </w:tr>
      <w:tr w14:paraId="6A2FAC90">
        <w:tblPrEx>
          <w:tblCellMar>
            <w:top w:w="15" w:type="dxa"/>
            <w:left w:w="15" w:type="dxa"/>
            <w:bottom w:w="15" w:type="dxa"/>
            <w:right w:w="15" w:type="dxa"/>
          </w:tblCellMar>
        </w:tblPrEx>
        <w:trPr>
          <w:trHeight w:val="23" w:hRule="atLeast"/>
          <w:jc w:val="center"/>
        </w:trPr>
        <w:tc>
          <w:tcPr>
            <w:tcW w:w="2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3BEC32">
            <w:pPr>
              <w:spacing w:line="300" w:lineRule="exact"/>
              <w:rPr>
                <w:rFonts w:ascii="宋体" w:hAnsi="宋体" w:eastAsia="宋体" w:cs="宋体"/>
                <w:color w:val="000000"/>
                <w:sz w:val="24"/>
                <w:szCs w:val="24"/>
              </w:rPr>
            </w:pPr>
          </w:p>
        </w:tc>
        <w:tc>
          <w:tcPr>
            <w:tcW w:w="243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712C9C3">
            <w:pPr>
              <w:widowControl/>
              <w:spacing w:line="300" w:lineRule="exact"/>
              <w:jc w:val="left"/>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申报（补助）条件</w:t>
            </w:r>
          </w:p>
        </w:tc>
        <w:tc>
          <w:tcPr>
            <w:tcW w:w="2269"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5DD3601">
            <w:pPr>
              <w:spacing w:line="300" w:lineRule="exact"/>
              <w:jc w:val="left"/>
              <w:rPr>
                <w:rFonts w:ascii="宋体" w:hAnsi="宋体" w:eastAsia="宋体" w:cs="宋体"/>
                <w:color w:val="000000"/>
                <w:sz w:val="24"/>
                <w:szCs w:val="24"/>
              </w:rPr>
            </w:pPr>
          </w:p>
        </w:tc>
      </w:tr>
      <w:tr w14:paraId="36F3DFD2">
        <w:tblPrEx>
          <w:tblCellMar>
            <w:top w:w="15" w:type="dxa"/>
            <w:left w:w="15" w:type="dxa"/>
            <w:bottom w:w="15" w:type="dxa"/>
            <w:right w:w="15" w:type="dxa"/>
          </w:tblCellMar>
        </w:tblPrEx>
        <w:trPr>
          <w:trHeight w:val="23" w:hRule="atLeast"/>
          <w:jc w:val="center"/>
        </w:trPr>
        <w:tc>
          <w:tcPr>
            <w:tcW w:w="2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B28EBA">
            <w:pPr>
              <w:spacing w:line="300" w:lineRule="exact"/>
              <w:rPr>
                <w:rFonts w:ascii="宋体" w:hAnsi="宋体" w:eastAsia="宋体" w:cs="宋体"/>
                <w:color w:val="000000"/>
                <w:sz w:val="24"/>
                <w:szCs w:val="24"/>
              </w:rPr>
            </w:pPr>
          </w:p>
        </w:tc>
        <w:tc>
          <w:tcPr>
            <w:tcW w:w="243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0102845">
            <w:pPr>
              <w:widowControl/>
              <w:spacing w:line="300" w:lineRule="exact"/>
              <w:jc w:val="left"/>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项目起止年限</w:t>
            </w:r>
          </w:p>
        </w:tc>
        <w:tc>
          <w:tcPr>
            <w:tcW w:w="2269"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B1A3155">
            <w:pPr>
              <w:spacing w:line="300" w:lineRule="exact"/>
              <w:ind w:firstLine="720" w:firstLineChars="300"/>
              <w:rPr>
                <w:rFonts w:ascii="宋体" w:hAnsi="宋体" w:eastAsia="宋体" w:cs="宋体"/>
                <w:color w:val="000000"/>
                <w:sz w:val="24"/>
                <w:szCs w:val="24"/>
              </w:rPr>
            </w:pPr>
            <w:r>
              <w:rPr>
                <w:rFonts w:hint="eastAsia" w:ascii="宋体" w:hAnsi="宋体" w:eastAsia="宋体" w:cs="宋体"/>
                <w:color w:val="000000"/>
                <w:sz w:val="24"/>
                <w:szCs w:val="24"/>
              </w:rPr>
              <w:t>202</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年</w:t>
            </w:r>
          </w:p>
        </w:tc>
      </w:tr>
      <w:tr w14:paraId="0EAEFA28">
        <w:tblPrEx>
          <w:tblCellMar>
            <w:top w:w="15" w:type="dxa"/>
            <w:left w:w="15" w:type="dxa"/>
            <w:bottom w:w="15" w:type="dxa"/>
            <w:right w:w="15" w:type="dxa"/>
          </w:tblCellMar>
        </w:tblPrEx>
        <w:trPr>
          <w:trHeight w:val="23" w:hRule="atLeast"/>
          <w:jc w:val="center"/>
        </w:trPr>
        <w:tc>
          <w:tcPr>
            <w:tcW w:w="786"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9F3673">
            <w:pPr>
              <w:widowControl/>
              <w:spacing w:line="300" w:lineRule="exact"/>
              <w:jc w:val="center"/>
              <w:textAlignment w:val="center"/>
              <w:rPr>
                <w:rFonts w:ascii="宋体" w:hAnsi="宋体" w:eastAsia="宋体" w:cs="宋体"/>
                <w:color w:val="000000"/>
                <w:kern w:val="0"/>
                <w:sz w:val="24"/>
                <w:szCs w:val="24"/>
                <w:lang w:bidi="ar"/>
              </w:rPr>
            </w:pPr>
            <w:r>
              <w:rPr>
                <w:rFonts w:ascii="宋体" w:hAnsi="宋体" w:eastAsia="宋体" w:cs="宋体"/>
                <w:color w:val="000000"/>
                <w:kern w:val="0"/>
                <w:sz w:val="24"/>
                <w:szCs w:val="24"/>
                <w:lang w:bidi="ar"/>
              </w:rPr>
              <w:t>项目资金</w:t>
            </w:r>
          </w:p>
          <w:p w14:paraId="16CA28F9">
            <w:pPr>
              <w:widowControl/>
              <w:spacing w:line="30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（万元）</w:t>
            </w:r>
          </w:p>
        </w:tc>
        <w:tc>
          <w:tcPr>
            <w:tcW w:w="194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1E9820">
            <w:pPr>
              <w:widowControl/>
              <w:spacing w:line="300" w:lineRule="exact"/>
              <w:jc w:val="left"/>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 xml:space="preserve">  年度资金总额：</w:t>
            </w:r>
          </w:p>
        </w:tc>
        <w:tc>
          <w:tcPr>
            <w:tcW w:w="2269"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3C6EEAA">
            <w:pPr>
              <w:spacing w:line="300" w:lineRule="exact"/>
              <w:jc w:val="cente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20</w:t>
            </w:r>
          </w:p>
        </w:tc>
      </w:tr>
      <w:tr w14:paraId="769D99C3">
        <w:tblPrEx>
          <w:tblCellMar>
            <w:top w:w="15" w:type="dxa"/>
            <w:left w:w="15" w:type="dxa"/>
            <w:bottom w:w="15" w:type="dxa"/>
            <w:right w:w="15" w:type="dxa"/>
          </w:tblCellMar>
        </w:tblPrEx>
        <w:trPr>
          <w:trHeight w:val="23" w:hRule="atLeast"/>
          <w:jc w:val="center"/>
        </w:trPr>
        <w:tc>
          <w:tcPr>
            <w:tcW w:w="786"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3DFEF1">
            <w:pPr>
              <w:spacing w:line="300" w:lineRule="exact"/>
              <w:rPr>
                <w:rFonts w:ascii="宋体" w:hAnsi="宋体" w:eastAsia="宋体" w:cs="宋体"/>
                <w:color w:val="000000"/>
                <w:sz w:val="24"/>
                <w:szCs w:val="24"/>
              </w:rPr>
            </w:pPr>
          </w:p>
        </w:tc>
        <w:tc>
          <w:tcPr>
            <w:tcW w:w="194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398A88">
            <w:pPr>
              <w:widowControl/>
              <w:spacing w:line="300" w:lineRule="exact"/>
              <w:jc w:val="left"/>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 xml:space="preserve">    其中：财政拨款</w:t>
            </w:r>
          </w:p>
        </w:tc>
        <w:tc>
          <w:tcPr>
            <w:tcW w:w="2269"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C3876AD">
            <w:pPr>
              <w:spacing w:line="300" w:lineRule="exact"/>
              <w:jc w:val="cente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20</w:t>
            </w:r>
          </w:p>
        </w:tc>
      </w:tr>
      <w:tr w14:paraId="6FAA6945">
        <w:tblPrEx>
          <w:tblCellMar>
            <w:top w:w="15" w:type="dxa"/>
            <w:left w:w="15" w:type="dxa"/>
            <w:bottom w:w="15" w:type="dxa"/>
            <w:right w:w="15" w:type="dxa"/>
          </w:tblCellMar>
        </w:tblPrEx>
        <w:trPr>
          <w:trHeight w:val="23" w:hRule="atLeast"/>
          <w:jc w:val="center"/>
        </w:trPr>
        <w:tc>
          <w:tcPr>
            <w:tcW w:w="786"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A1722F">
            <w:pPr>
              <w:spacing w:line="300" w:lineRule="exact"/>
              <w:rPr>
                <w:rFonts w:ascii="宋体" w:hAnsi="宋体" w:eastAsia="宋体" w:cs="宋体"/>
                <w:color w:val="000000"/>
                <w:sz w:val="24"/>
                <w:szCs w:val="24"/>
              </w:rPr>
            </w:pPr>
          </w:p>
        </w:tc>
        <w:tc>
          <w:tcPr>
            <w:tcW w:w="194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6DC70D">
            <w:pPr>
              <w:widowControl/>
              <w:spacing w:line="300" w:lineRule="exact"/>
              <w:jc w:val="left"/>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 xml:space="preserve">         其他资金</w:t>
            </w:r>
          </w:p>
        </w:tc>
        <w:tc>
          <w:tcPr>
            <w:tcW w:w="2269"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94F43D2">
            <w:pPr>
              <w:spacing w:line="300" w:lineRule="exact"/>
              <w:jc w:val="right"/>
              <w:rPr>
                <w:rFonts w:ascii="宋体" w:hAnsi="宋体" w:eastAsia="宋体" w:cs="宋体"/>
                <w:color w:val="000000"/>
                <w:sz w:val="24"/>
                <w:szCs w:val="24"/>
              </w:rPr>
            </w:pPr>
          </w:p>
        </w:tc>
      </w:tr>
      <w:tr w14:paraId="46470622">
        <w:tblPrEx>
          <w:tblCellMar>
            <w:top w:w="15" w:type="dxa"/>
            <w:left w:w="15" w:type="dxa"/>
            <w:bottom w:w="15" w:type="dxa"/>
            <w:right w:w="15" w:type="dxa"/>
          </w:tblCellMar>
        </w:tblPrEx>
        <w:trPr>
          <w:trHeight w:val="23" w:hRule="atLeast"/>
          <w:jc w:val="center"/>
        </w:trPr>
        <w:tc>
          <w:tcPr>
            <w:tcW w:w="2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9917BE">
            <w:pPr>
              <w:widowControl/>
              <w:spacing w:line="30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总体 目标</w:t>
            </w:r>
          </w:p>
        </w:tc>
        <w:tc>
          <w:tcPr>
            <w:tcW w:w="4703"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F2346CE">
            <w:pPr>
              <w:widowControl/>
              <w:spacing w:line="30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年度目标</w:t>
            </w:r>
          </w:p>
        </w:tc>
      </w:tr>
      <w:tr w14:paraId="0063AD1C">
        <w:tblPrEx>
          <w:tblCellMar>
            <w:top w:w="15" w:type="dxa"/>
            <w:left w:w="15" w:type="dxa"/>
            <w:bottom w:w="15" w:type="dxa"/>
            <w:right w:w="15" w:type="dxa"/>
          </w:tblCellMar>
        </w:tblPrEx>
        <w:trPr>
          <w:trHeight w:val="23" w:hRule="atLeast"/>
          <w:jc w:val="center"/>
        </w:trPr>
        <w:tc>
          <w:tcPr>
            <w:tcW w:w="2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5AFB01">
            <w:pPr>
              <w:spacing w:line="300" w:lineRule="exact"/>
              <w:rPr>
                <w:rFonts w:ascii="宋体" w:hAnsi="宋体" w:eastAsia="宋体" w:cs="宋体"/>
                <w:color w:val="000000"/>
                <w:sz w:val="24"/>
                <w:szCs w:val="24"/>
              </w:rPr>
            </w:pPr>
          </w:p>
        </w:tc>
        <w:tc>
          <w:tcPr>
            <w:tcW w:w="4703"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CF22DAF">
            <w:pPr>
              <w:spacing w:line="300" w:lineRule="exact"/>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购置一批办公家具用具，为区合中心日常工作开展提供必要保障。</w:t>
            </w:r>
          </w:p>
        </w:tc>
      </w:tr>
      <w:tr w14:paraId="4E8D9317">
        <w:tblPrEx>
          <w:tblCellMar>
            <w:top w:w="15" w:type="dxa"/>
            <w:left w:w="15" w:type="dxa"/>
            <w:bottom w:w="15" w:type="dxa"/>
            <w:right w:w="15" w:type="dxa"/>
          </w:tblCellMar>
        </w:tblPrEx>
        <w:trPr>
          <w:trHeight w:val="23" w:hRule="atLeast"/>
          <w:jc w:val="center"/>
        </w:trPr>
        <w:tc>
          <w:tcPr>
            <w:tcW w:w="296" w:type="pct"/>
            <w:vMerge w:val="restart"/>
            <w:tcBorders>
              <w:top w:val="single" w:color="000000" w:sz="4" w:space="0"/>
              <w:left w:val="single" w:color="000000" w:sz="4" w:space="0"/>
            </w:tcBorders>
            <w:shd w:val="clear" w:color="auto" w:fill="auto"/>
            <w:vAlign w:val="center"/>
          </w:tcPr>
          <w:p w14:paraId="47A303D4">
            <w:pPr>
              <w:widowControl/>
              <w:spacing w:line="300" w:lineRule="exact"/>
              <w:jc w:val="center"/>
              <w:textAlignment w:val="center"/>
              <w:rPr>
                <w:rFonts w:ascii="宋体" w:hAnsi="宋体" w:eastAsia="宋体" w:cs="宋体"/>
                <w:color w:val="000000"/>
                <w:kern w:val="0"/>
                <w:sz w:val="24"/>
                <w:szCs w:val="24"/>
                <w:lang w:bidi="ar"/>
              </w:rPr>
            </w:pPr>
            <w:r>
              <w:rPr>
                <w:rFonts w:ascii="宋体" w:hAnsi="宋体" w:eastAsia="宋体" w:cs="宋体"/>
                <w:color w:val="000000"/>
                <w:kern w:val="0"/>
                <w:sz w:val="24"/>
                <w:szCs w:val="24"/>
                <w:lang w:bidi="ar"/>
              </w:rPr>
              <w:t>绩</w:t>
            </w:r>
          </w:p>
          <w:p w14:paraId="40E13177">
            <w:pPr>
              <w:widowControl/>
              <w:spacing w:line="300" w:lineRule="exact"/>
              <w:jc w:val="center"/>
              <w:textAlignment w:val="center"/>
              <w:rPr>
                <w:rFonts w:ascii="宋体" w:hAnsi="宋体" w:eastAsia="宋体" w:cs="宋体"/>
                <w:color w:val="000000"/>
                <w:kern w:val="0"/>
                <w:sz w:val="24"/>
                <w:szCs w:val="24"/>
                <w:lang w:bidi="ar"/>
              </w:rPr>
            </w:pPr>
            <w:r>
              <w:rPr>
                <w:rFonts w:ascii="宋体" w:hAnsi="宋体" w:eastAsia="宋体" w:cs="宋体"/>
                <w:color w:val="000000"/>
                <w:kern w:val="0"/>
                <w:sz w:val="24"/>
                <w:szCs w:val="24"/>
                <w:lang w:bidi="ar"/>
              </w:rPr>
              <w:t>效 指</w:t>
            </w:r>
          </w:p>
          <w:p w14:paraId="26D73F22">
            <w:pPr>
              <w:widowControl/>
              <w:spacing w:line="30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标</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1AF3C6">
            <w:pPr>
              <w:widowControl/>
              <w:spacing w:line="300" w:lineRule="exact"/>
              <w:jc w:val="center"/>
              <w:textAlignment w:val="center"/>
              <w:rPr>
                <w:rFonts w:ascii="宋体" w:hAnsi="宋体" w:eastAsia="宋体" w:cs="宋体"/>
                <w:color w:val="000000"/>
                <w:sz w:val="21"/>
                <w:szCs w:val="21"/>
              </w:rPr>
            </w:pPr>
            <w:r>
              <w:rPr>
                <w:rFonts w:ascii="宋体" w:hAnsi="宋体" w:eastAsia="宋体" w:cs="宋体"/>
                <w:color w:val="000000"/>
                <w:kern w:val="0"/>
                <w:sz w:val="21"/>
                <w:szCs w:val="21"/>
                <w:lang w:bidi="ar"/>
              </w:rPr>
              <w:t>一级指标</w:t>
            </w:r>
          </w:p>
        </w:tc>
        <w:tc>
          <w:tcPr>
            <w:tcW w:w="8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639801">
            <w:pPr>
              <w:widowControl/>
              <w:spacing w:line="300" w:lineRule="exact"/>
              <w:jc w:val="center"/>
              <w:textAlignment w:val="center"/>
              <w:rPr>
                <w:rFonts w:ascii="宋体" w:hAnsi="宋体" w:eastAsia="宋体" w:cs="宋体"/>
                <w:color w:val="000000"/>
                <w:sz w:val="21"/>
                <w:szCs w:val="21"/>
              </w:rPr>
            </w:pPr>
            <w:r>
              <w:rPr>
                <w:rFonts w:ascii="宋体" w:hAnsi="宋体" w:eastAsia="宋体" w:cs="宋体"/>
                <w:color w:val="000000"/>
                <w:kern w:val="0"/>
                <w:sz w:val="21"/>
                <w:szCs w:val="21"/>
                <w:lang w:bidi="ar"/>
              </w:rPr>
              <w:t>二级指标</w:t>
            </w:r>
          </w:p>
        </w:tc>
        <w:tc>
          <w:tcPr>
            <w:tcW w:w="10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0E6D31">
            <w:pPr>
              <w:widowControl/>
              <w:spacing w:line="300" w:lineRule="exact"/>
              <w:jc w:val="center"/>
              <w:textAlignment w:val="center"/>
              <w:rPr>
                <w:rFonts w:ascii="宋体" w:hAnsi="宋体" w:eastAsia="宋体" w:cs="宋体"/>
                <w:color w:val="000000"/>
                <w:sz w:val="21"/>
                <w:szCs w:val="21"/>
              </w:rPr>
            </w:pPr>
            <w:r>
              <w:rPr>
                <w:rFonts w:ascii="宋体" w:hAnsi="宋体" w:eastAsia="宋体" w:cs="宋体"/>
                <w:color w:val="000000"/>
                <w:kern w:val="0"/>
                <w:sz w:val="21"/>
                <w:szCs w:val="21"/>
                <w:lang w:bidi="ar"/>
              </w:rPr>
              <w:t>三级指标</w:t>
            </w:r>
          </w:p>
        </w:tc>
        <w:tc>
          <w:tcPr>
            <w:tcW w:w="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D7B271">
            <w:pPr>
              <w:widowControl/>
              <w:spacing w:line="300" w:lineRule="exact"/>
              <w:jc w:val="center"/>
              <w:textAlignment w:val="center"/>
              <w:rPr>
                <w:rFonts w:ascii="宋体" w:hAnsi="宋体" w:eastAsia="宋体" w:cs="宋体"/>
                <w:color w:val="000000"/>
                <w:sz w:val="21"/>
                <w:szCs w:val="21"/>
              </w:rPr>
            </w:pPr>
            <w:r>
              <w:rPr>
                <w:rFonts w:ascii="宋体" w:hAnsi="宋体" w:eastAsia="宋体" w:cs="宋体"/>
                <w:color w:val="000000"/>
                <w:kern w:val="0"/>
                <w:sz w:val="21"/>
                <w:szCs w:val="21"/>
                <w:lang w:bidi="ar"/>
              </w:rPr>
              <w:t>指标性质</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27189A">
            <w:pPr>
              <w:widowControl/>
              <w:spacing w:line="300" w:lineRule="exact"/>
              <w:jc w:val="center"/>
              <w:textAlignment w:val="center"/>
              <w:rPr>
                <w:rFonts w:ascii="宋体" w:hAnsi="宋体" w:eastAsia="宋体" w:cs="宋体"/>
                <w:color w:val="000000"/>
                <w:sz w:val="21"/>
                <w:szCs w:val="21"/>
              </w:rPr>
            </w:pPr>
            <w:r>
              <w:rPr>
                <w:rFonts w:ascii="宋体" w:hAnsi="宋体" w:eastAsia="宋体" w:cs="宋体"/>
                <w:color w:val="000000"/>
                <w:kern w:val="0"/>
                <w:sz w:val="21"/>
                <w:szCs w:val="21"/>
                <w:lang w:bidi="ar"/>
              </w:rPr>
              <w:t>指标值</w:t>
            </w:r>
          </w:p>
        </w:tc>
        <w:tc>
          <w:tcPr>
            <w:tcW w:w="4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C729DF">
            <w:pPr>
              <w:widowControl/>
              <w:spacing w:line="300" w:lineRule="exact"/>
              <w:jc w:val="center"/>
              <w:textAlignment w:val="center"/>
              <w:rPr>
                <w:rFonts w:ascii="宋体" w:hAnsi="宋体" w:eastAsia="宋体" w:cs="宋体"/>
                <w:color w:val="000000"/>
                <w:sz w:val="21"/>
                <w:szCs w:val="21"/>
              </w:rPr>
            </w:pPr>
            <w:r>
              <w:rPr>
                <w:rFonts w:ascii="宋体" w:hAnsi="宋体" w:eastAsia="宋体" w:cs="宋体"/>
                <w:color w:val="000000"/>
                <w:kern w:val="0"/>
                <w:sz w:val="21"/>
                <w:szCs w:val="21"/>
                <w:lang w:bidi="ar"/>
              </w:rPr>
              <w:t>度量单位</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64DBEB">
            <w:pPr>
              <w:widowControl/>
              <w:spacing w:line="300" w:lineRule="exact"/>
              <w:jc w:val="center"/>
              <w:textAlignment w:val="center"/>
              <w:rPr>
                <w:rFonts w:ascii="宋体" w:hAnsi="宋体" w:eastAsia="宋体" w:cs="宋体"/>
                <w:color w:val="000000"/>
                <w:sz w:val="21"/>
                <w:szCs w:val="21"/>
              </w:rPr>
            </w:pPr>
            <w:r>
              <w:rPr>
                <w:rFonts w:ascii="宋体" w:hAnsi="宋体" w:eastAsia="宋体" w:cs="宋体"/>
                <w:color w:val="000000"/>
                <w:kern w:val="0"/>
                <w:sz w:val="21"/>
                <w:szCs w:val="21"/>
                <w:lang w:bidi="ar"/>
              </w:rPr>
              <w:t>权重</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18DDB2">
            <w:pPr>
              <w:widowControl/>
              <w:spacing w:line="300" w:lineRule="exact"/>
              <w:jc w:val="center"/>
              <w:textAlignment w:val="center"/>
              <w:rPr>
                <w:rFonts w:ascii="宋体" w:hAnsi="宋体" w:eastAsia="宋体" w:cs="宋体"/>
                <w:color w:val="000000"/>
                <w:sz w:val="21"/>
                <w:szCs w:val="21"/>
              </w:rPr>
            </w:pPr>
            <w:r>
              <w:rPr>
                <w:rFonts w:ascii="宋体" w:hAnsi="宋体" w:eastAsia="宋体" w:cs="宋体"/>
                <w:color w:val="000000"/>
                <w:kern w:val="0"/>
                <w:sz w:val="21"/>
                <w:szCs w:val="21"/>
                <w:lang w:bidi="ar"/>
              </w:rPr>
              <w:t>实际完成指标值</w:t>
            </w:r>
          </w:p>
        </w:tc>
      </w:tr>
      <w:tr w14:paraId="08CDA194">
        <w:tblPrEx>
          <w:tblCellMar>
            <w:top w:w="15" w:type="dxa"/>
            <w:left w:w="15" w:type="dxa"/>
            <w:bottom w:w="15" w:type="dxa"/>
            <w:right w:w="15" w:type="dxa"/>
          </w:tblCellMar>
        </w:tblPrEx>
        <w:trPr>
          <w:trHeight w:val="23" w:hRule="atLeast"/>
          <w:jc w:val="center"/>
        </w:trPr>
        <w:tc>
          <w:tcPr>
            <w:tcW w:w="296" w:type="pct"/>
            <w:vMerge w:val="continue"/>
            <w:tcBorders>
              <w:left w:val="single" w:color="000000" w:sz="4" w:space="0"/>
            </w:tcBorders>
            <w:shd w:val="clear" w:color="auto" w:fill="auto"/>
            <w:vAlign w:val="center"/>
          </w:tcPr>
          <w:p w14:paraId="4C88F8A4">
            <w:pPr>
              <w:widowControl/>
              <w:spacing w:line="300" w:lineRule="exact"/>
              <w:jc w:val="center"/>
              <w:textAlignment w:val="center"/>
              <w:rPr>
                <w:rFonts w:ascii="宋体" w:hAnsi="宋体" w:eastAsia="宋体" w:cs="宋体"/>
                <w:color w:val="000000"/>
                <w:kern w:val="0"/>
                <w:sz w:val="24"/>
                <w:szCs w:val="24"/>
                <w:lang w:bidi="ar"/>
              </w:rPr>
            </w:pPr>
          </w:p>
        </w:tc>
        <w:tc>
          <w:tcPr>
            <w:tcW w:w="490" w:type="pct"/>
            <w:vMerge w:val="restart"/>
            <w:tcBorders>
              <w:left w:val="single" w:color="000000" w:sz="4" w:space="0"/>
              <w:right w:val="single" w:color="000000" w:sz="4" w:space="0"/>
            </w:tcBorders>
            <w:shd w:val="clear" w:color="auto" w:fill="auto"/>
            <w:vAlign w:val="center"/>
          </w:tcPr>
          <w:p w14:paraId="1D3A73BF">
            <w:pPr>
              <w:widowControl/>
              <w:spacing w:line="300" w:lineRule="exact"/>
              <w:jc w:val="center"/>
              <w:textAlignment w:val="center"/>
              <w:rPr>
                <w:rFonts w:ascii="宋体" w:hAnsi="宋体" w:eastAsia="宋体" w:cs="宋体"/>
                <w:color w:val="000000"/>
                <w:kern w:val="0"/>
                <w:sz w:val="18"/>
                <w:szCs w:val="18"/>
                <w:lang w:bidi="ar"/>
              </w:rPr>
            </w:pPr>
          </w:p>
        </w:tc>
        <w:tc>
          <w:tcPr>
            <w:tcW w:w="861" w:type="pct"/>
            <w:vMerge w:val="restart"/>
            <w:tcBorders>
              <w:left w:val="single" w:color="000000" w:sz="4" w:space="0"/>
              <w:right w:val="single" w:color="000000" w:sz="4" w:space="0"/>
            </w:tcBorders>
            <w:shd w:val="clear" w:color="auto" w:fill="auto"/>
            <w:vAlign w:val="center"/>
          </w:tcPr>
          <w:p w14:paraId="1BBCCD9D">
            <w:pPr>
              <w:widowControl/>
              <w:spacing w:line="300" w:lineRule="exact"/>
              <w:jc w:val="center"/>
              <w:textAlignment w:val="center"/>
              <w:rPr>
                <w:rFonts w:ascii="宋体" w:hAnsi="宋体" w:eastAsia="宋体" w:cs="宋体"/>
                <w:color w:val="000000"/>
                <w:kern w:val="0"/>
                <w:sz w:val="18"/>
                <w:szCs w:val="18"/>
                <w:lang w:bidi="ar"/>
              </w:rPr>
            </w:pPr>
          </w:p>
        </w:tc>
        <w:tc>
          <w:tcPr>
            <w:tcW w:w="10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5FAE09">
            <w:pPr>
              <w:widowControl/>
              <w:spacing w:line="300" w:lineRule="exact"/>
              <w:jc w:val="center"/>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购置办公沙发套数</w:t>
            </w:r>
          </w:p>
        </w:tc>
        <w:tc>
          <w:tcPr>
            <w:tcW w:w="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E55E2C">
            <w:pPr>
              <w:widowControl/>
              <w:spacing w:line="300" w:lineRule="exact"/>
              <w:jc w:val="center"/>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val="en-US" w:eastAsia="zh-CN" w:bidi="ar"/>
              </w:rPr>
              <w:t>=</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6E0F1C">
            <w:pPr>
              <w:widowControl/>
              <w:spacing w:line="300" w:lineRule="exact"/>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7</w:t>
            </w:r>
          </w:p>
        </w:tc>
        <w:tc>
          <w:tcPr>
            <w:tcW w:w="4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02D34C">
            <w:pPr>
              <w:widowControl/>
              <w:spacing w:line="300" w:lineRule="exact"/>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套</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5025C6">
            <w:pPr>
              <w:widowControl/>
              <w:spacing w:line="300" w:lineRule="exact"/>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5</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0AA161">
            <w:pPr>
              <w:widowControl/>
              <w:spacing w:line="300" w:lineRule="exact"/>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7</w:t>
            </w:r>
          </w:p>
        </w:tc>
      </w:tr>
      <w:tr w14:paraId="4CE0543F">
        <w:tblPrEx>
          <w:tblCellMar>
            <w:top w:w="15" w:type="dxa"/>
            <w:left w:w="15" w:type="dxa"/>
            <w:bottom w:w="15" w:type="dxa"/>
            <w:right w:w="15" w:type="dxa"/>
          </w:tblCellMar>
        </w:tblPrEx>
        <w:trPr>
          <w:trHeight w:val="23" w:hRule="atLeast"/>
          <w:jc w:val="center"/>
        </w:trPr>
        <w:tc>
          <w:tcPr>
            <w:tcW w:w="296" w:type="pct"/>
            <w:vMerge w:val="continue"/>
            <w:tcBorders>
              <w:left w:val="single" w:color="000000" w:sz="4" w:space="0"/>
            </w:tcBorders>
            <w:shd w:val="clear" w:color="auto" w:fill="auto"/>
            <w:vAlign w:val="center"/>
          </w:tcPr>
          <w:p w14:paraId="301FEDA8">
            <w:pPr>
              <w:widowControl/>
              <w:spacing w:line="300" w:lineRule="exact"/>
              <w:jc w:val="center"/>
              <w:textAlignment w:val="center"/>
              <w:rPr>
                <w:rFonts w:ascii="宋体" w:hAnsi="宋体" w:eastAsia="宋体" w:cs="宋体"/>
                <w:color w:val="000000"/>
                <w:kern w:val="0"/>
                <w:sz w:val="24"/>
                <w:szCs w:val="24"/>
                <w:lang w:bidi="ar"/>
              </w:rPr>
            </w:pPr>
          </w:p>
        </w:tc>
        <w:tc>
          <w:tcPr>
            <w:tcW w:w="490" w:type="pct"/>
            <w:vMerge w:val="continue"/>
            <w:tcBorders>
              <w:left w:val="single" w:color="000000" w:sz="4" w:space="0"/>
              <w:right w:val="single" w:color="000000" w:sz="4" w:space="0"/>
            </w:tcBorders>
            <w:shd w:val="clear" w:color="auto" w:fill="auto"/>
            <w:vAlign w:val="center"/>
          </w:tcPr>
          <w:p w14:paraId="0D2EBA92">
            <w:pPr>
              <w:widowControl/>
              <w:spacing w:line="300" w:lineRule="exact"/>
              <w:jc w:val="center"/>
              <w:textAlignment w:val="center"/>
              <w:rPr>
                <w:rFonts w:ascii="宋体" w:hAnsi="宋体" w:eastAsia="宋体" w:cs="宋体"/>
                <w:color w:val="000000"/>
                <w:kern w:val="0"/>
                <w:sz w:val="18"/>
                <w:szCs w:val="18"/>
                <w:lang w:bidi="ar"/>
              </w:rPr>
            </w:pPr>
          </w:p>
        </w:tc>
        <w:tc>
          <w:tcPr>
            <w:tcW w:w="861" w:type="pct"/>
            <w:vMerge w:val="continue"/>
            <w:tcBorders>
              <w:left w:val="single" w:color="000000" w:sz="4" w:space="0"/>
              <w:right w:val="single" w:color="000000" w:sz="4" w:space="0"/>
            </w:tcBorders>
            <w:shd w:val="clear" w:color="auto" w:fill="auto"/>
            <w:vAlign w:val="center"/>
          </w:tcPr>
          <w:p w14:paraId="1296BF12">
            <w:pPr>
              <w:widowControl/>
              <w:spacing w:line="300" w:lineRule="exact"/>
              <w:jc w:val="center"/>
              <w:textAlignment w:val="center"/>
              <w:rPr>
                <w:rFonts w:ascii="宋体" w:hAnsi="宋体" w:eastAsia="宋体" w:cs="宋体"/>
                <w:color w:val="000000"/>
                <w:kern w:val="0"/>
                <w:sz w:val="18"/>
                <w:szCs w:val="18"/>
                <w:lang w:bidi="ar"/>
              </w:rPr>
            </w:pPr>
          </w:p>
        </w:tc>
        <w:tc>
          <w:tcPr>
            <w:tcW w:w="10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3035A">
            <w:pPr>
              <w:widowControl/>
              <w:spacing w:line="300" w:lineRule="exact"/>
              <w:jc w:val="center"/>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购置空调台数</w:t>
            </w:r>
          </w:p>
        </w:tc>
        <w:tc>
          <w:tcPr>
            <w:tcW w:w="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302700">
            <w:pPr>
              <w:widowControl/>
              <w:spacing w:line="300" w:lineRule="exact"/>
              <w:jc w:val="center"/>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val="en-US" w:eastAsia="zh-CN" w:bidi="ar"/>
              </w:rPr>
              <w:t>=</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1E26C6">
            <w:pPr>
              <w:widowControl/>
              <w:spacing w:line="300" w:lineRule="exact"/>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7</w:t>
            </w:r>
          </w:p>
        </w:tc>
        <w:tc>
          <w:tcPr>
            <w:tcW w:w="4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3D9C4E">
            <w:pPr>
              <w:widowControl/>
              <w:spacing w:line="300" w:lineRule="exact"/>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台</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0DBA41">
            <w:pPr>
              <w:widowControl/>
              <w:spacing w:line="300" w:lineRule="exact"/>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5</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495429">
            <w:pPr>
              <w:widowControl/>
              <w:spacing w:line="300" w:lineRule="exact"/>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7</w:t>
            </w:r>
          </w:p>
        </w:tc>
      </w:tr>
      <w:tr w14:paraId="351A7597">
        <w:tblPrEx>
          <w:tblCellMar>
            <w:top w:w="15" w:type="dxa"/>
            <w:left w:w="15" w:type="dxa"/>
            <w:bottom w:w="15" w:type="dxa"/>
            <w:right w:w="15" w:type="dxa"/>
          </w:tblCellMar>
        </w:tblPrEx>
        <w:trPr>
          <w:trHeight w:val="23" w:hRule="atLeast"/>
          <w:jc w:val="center"/>
        </w:trPr>
        <w:tc>
          <w:tcPr>
            <w:tcW w:w="296" w:type="pct"/>
            <w:vMerge w:val="continue"/>
            <w:tcBorders>
              <w:left w:val="single" w:color="000000" w:sz="4" w:space="0"/>
            </w:tcBorders>
            <w:shd w:val="clear" w:color="auto" w:fill="auto"/>
            <w:vAlign w:val="center"/>
          </w:tcPr>
          <w:p w14:paraId="3353A71A">
            <w:pPr>
              <w:widowControl/>
              <w:spacing w:line="300" w:lineRule="exact"/>
              <w:jc w:val="center"/>
              <w:textAlignment w:val="center"/>
              <w:rPr>
                <w:rFonts w:ascii="宋体" w:hAnsi="宋体" w:eastAsia="宋体" w:cs="宋体"/>
                <w:color w:val="000000"/>
                <w:kern w:val="0"/>
                <w:sz w:val="24"/>
                <w:szCs w:val="24"/>
                <w:lang w:bidi="ar"/>
              </w:rPr>
            </w:pPr>
          </w:p>
        </w:tc>
        <w:tc>
          <w:tcPr>
            <w:tcW w:w="490" w:type="pct"/>
            <w:vMerge w:val="continue"/>
            <w:tcBorders>
              <w:left w:val="single" w:color="000000" w:sz="4" w:space="0"/>
              <w:right w:val="single" w:color="000000" w:sz="4" w:space="0"/>
            </w:tcBorders>
            <w:shd w:val="clear" w:color="auto" w:fill="auto"/>
            <w:vAlign w:val="center"/>
          </w:tcPr>
          <w:p w14:paraId="49AC2097">
            <w:pPr>
              <w:widowControl/>
              <w:spacing w:line="300" w:lineRule="exact"/>
              <w:jc w:val="center"/>
              <w:textAlignment w:val="center"/>
              <w:rPr>
                <w:rFonts w:ascii="宋体" w:hAnsi="宋体" w:eastAsia="宋体" w:cs="宋体"/>
                <w:color w:val="000000"/>
                <w:kern w:val="0"/>
                <w:sz w:val="18"/>
                <w:szCs w:val="18"/>
                <w:lang w:bidi="ar"/>
              </w:rPr>
            </w:pPr>
          </w:p>
        </w:tc>
        <w:tc>
          <w:tcPr>
            <w:tcW w:w="861" w:type="pct"/>
            <w:vMerge w:val="continue"/>
            <w:tcBorders>
              <w:left w:val="single" w:color="000000" w:sz="4" w:space="0"/>
              <w:right w:val="single" w:color="000000" w:sz="4" w:space="0"/>
            </w:tcBorders>
            <w:shd w:val="clear" w:color="auto" w:fill="auto"/>
            <w:vAlign w:val="center"/>
          </w:tcPr>
          <w:p w14:paraId="580CBE3A">
            <w:pPr>
              <w:widowControl/>
              <w:spacing w:line="300" w:lineRule="exact"/>
              <w:jc w:val="center"/>
              <w:textAlignment w:val="center"/>
              <w:rPr>
                <w:rFonts w:ascii="宋体" w:hAnsi="宋体" w:eastAsia="宋体" w:cs="宋体"/>
                <w:color w:val="000000"/>
                <w:kern w:val="0"/>
                <w:sz w:val="18"/>
                <w:szCs w:val="18"/>
                <w:lang w:bidi="ar"/>
              </w:rPr>
            </w:pPr>
          </w:p>
        </w:tc>
        <w:tc>
          <w:tcPr>
            <w:tcW w:w="10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081B7B">
            <w:pPr>
              <w:widowControl/>
              <w:tabs>
                <w:tab w:val="left" w:pos="466"/>
              </w:tabs>
              <w:spacing w:line="300" w:lineRule="exact"/>
              <w:jc w:val="left"/>
              <w:textAlignment w:val="center"/>
              <w:rPr>
                <w:rFonts w:hint="eastAsia" w:ascii="宋体" w:hAnsi="宋体" w:eastAsia="宋体" w:cs="宋体"/>
                <w:color w:val="000000"/>
                <w:kern w:val="0"/>
                <w:sz w:val="18"/>
                <w:szCs w:val="18"/>
                <w:lang w:eastAsia="zh-CN" w:bidi="ar"/>
              </w:rPr>
            </w:pPr>
            <w:r>
              <w:rPr>
                <w:rFonts w:hint="eastAsia" w:ascii="宋体" w:hAnsi="宋体" w:eastAsia="宋体" w:cs="宋体"/>
                <w:color w:val="000000"/>
                <w:kern w:val="0"/>
                <w:sz w:val="18"/>
                <w:szCs w:val="18"/>
                <w:lang w:eastAsia="zh-CN" w:bidi="ar"/>
              </w:rPr>
              <w:tab/>
            </w:r>
            <w:r>
              <w:rPr>
                <w:rFonts w:hint="eastAsia" w:ascii="宋体" w:hAnsi="宋体" w:eastAsia="宋体" w:cs="宋体"/>
                <w:color w:val="000000"/>
                <w:kern w:val="0"/>
                <w:sz w:val="18"/>
                <w:szCs w:val="18"/>
                <w:lang w:eastAsia="zh-CN" w:bidi="ar"/>
              </w:rPr>
              <w:t>购置打印机台数</w:t>
            </w:r>
          </w:p>
        </w:tc>
        <w:tc>
          <w:tcPr>
            <w:tcW w:w="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B895C2">
            <w:pPr>
              <w:widowControl/>
              <w:spacing w:line="300" w:lineRule="exact"/>
              <w:jc w:val="center"/>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val="en-US" w:eastAsia="zh-CN" w:bidi="ar"/>
              </w:rPr>
              <w:t>=</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79BA21">
            <w:pPr>
              <w:widowControl/>
              <w:spacing w:line="300" w:lineRule="exact"/>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6</w:t>
            </w:r>
          </w:p>
        </w:tc>
        <w:tc>
          <w:tcPr>
            <w:tcW w:w="4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271238">
            <w:pPr>
              <w:widowControl/>
              <w:spacing w:line="300" w:lineRule="exact"/>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台</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3FB709">
            <w:pPr>
              <w:widowControl/>
              <w:spacing w:line="300" w:lineRule="exact"/>
              <w:jc w:val="center"/>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10</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3A7C8E">
            <w:pPr>
              <w:widowControl/>
              <w:spacing w:line="300" w:lineRule="exact"/>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6</w:t>
            </w:r>
          </w:p>
        </w:tc>
      </w:tr>
      <w:tr w14:paraId="771AEE40">
        <w:tblPrEx>
          <w:tblCellMar>
            <w:top w:w="15" w:type="dxa"/>
            <w:left w:w="15" w:type="dxa"/>
            <w:bottom w:w="15" w:type="dxa"/>
            <w:right w:w="15" w:type="dxa"/>
          </w:tblCellMar>
        </w:tblPrEx>
        <w:trPr>
          <w:trHeight w:val="23" w:hRule="atLeast"/>
          <w:jc w:val="center"/>
        </w:trPr>
        <w:tc>
          <w:tcPr>
            <w:tcW w:w="296" w:type="pct"/>
            <w:vMerge w:val="continue"/>
            <w:tcBorders>
              <w:left w:val="single" w:color="000000" w:sz="4" w:space="0"/>
            </w:tcBorders>
            <w:shd w:val="clear" w:color="auto" w:fill="auto"/>
            <w:vAlign w:val="center"/>
          </w:tcPr>
          <w:p w14:paraId="734301D7">
            <w:pPr>
              <w:widowControl/>
              <w:spacing w:line="300" w:lineRule="exact"/>
              <w:jc w:val="center"/>
              <w:textAlignment w:val="center"/>
              <w:rPr>
                <w:rFonts w:ascii="宋体" w:hAnsi="宋体" w:eastAsia="宋体" w:cs="宋体"/>
                <w:color w:val="000000"/>
                <w:kern w:val="0"/>
                <w:sz w:val="24"/>
                <w:szCs w:val="24"/>
                <w:lang w:bidi="ar"/>
              </w:rPr>
            </w:pPr>
          </w:p>
        </w:tc>
        <w:tc>
          <w:tcPr>
            <w:tcW w:w="490" w:type="pct"/>
            <w:vMerge w:val="continue"/>
            <w:tcBorders>
              <w:left w:val="single" w:color="000000" w:sz="4" w:space="0"/>
              <w:right w:val="single" w:color="000000" w:sz="4" w:space="0"/>
            </w:tcBorders>
            <w:shd w:val="clear" w:color="auto" w:fill="auto"/>
            <w:vAlign w:val="center"/>
          </w:tcPr>
          <w:p w14:paraId="6090B97F">
            <w:pPr>
              <w:widowControl/>
              <w:spacing w:line="300" w:lineRule="exact"/>
              <w:jc w:val="center"/>
              <w:textAlignment w:val="center"/>
              <w:rPr>
                <w:rFonts w:ascii="宋体" w:hAnsi="宋体" w:eastAsia="宋体" w:cs="宋体"/>
                <w:color w:val="000000"/>
                <w:kern w:val="0"/>
                <w:sz w:val="18"/>
                <w:szCs w:val="18"/>
                <w:lang w:bidi="ar"/>
              </w:rPr>
            </w:pPr>
          </w:p>
        </w:tc>
        <w:tc>
          <w:tcPr>
            <w:tcW w:w="861" w:type="pct"/>
            <w:vMerge w:val="continue"/>
            <w:tcBorders>
              <w:left w:val="single" w:color="000000" w:sz="4" w:space="0"/>
              <w:right w:val="single" w:color="000000" w:sz="4" w:space="0"/>
            </w:tcBorders>
            <w:shd w:val="clear" w:color="auto" w:fill="auto"/>
            <w:vAlign w:val="center"/>
          </w:tcPr>
          <w:p w14:paraId="449B41B5">
            <w:pPr>
              <w:widowControl/>
              <w:spacing w:line="300" w:lineRule="exact"/>
              <w:jc w:val="center"/>
              <w:textAlignment w:val="center"/>
              <w:rPr>
                <w:rFonts w:ascii="宋体" w:hAnsi="宋体" w:eastAsia="宋体" w:cs="宋体"/>
                <w:color w:val="000000"/>
                <w:kern w:val="0"/>
                <w:sz w:val="18"/>
                <w:szCs w:val="18"/>
                <w:lang w:bidi="ar"/>
              </w:rPr>
            </w:pPr>
          </w:p>
        </w:tc>
        <w:tc>
          <w:tcPr>
            <w:tcW w:w="10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2EAB42">
            <w:pPr>
              <w:widowControl/>
              <w:spacing w:line="300" w:lineRule="exact"/>
              <w:jc w:val="center"/>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购置办公桌</w:t>
            </w:r>
            <w:r>
              <w:rPr>
                <w:rFonts w:hint="eastAsia" w:ascii="宋体" w:hAnsi="宋体" w:eastAsia="宋体" w:cs="宋体"/>
                <w:color w:val="000000"/>
                <w:kern w:val="0"/>
                <w:sz w:val="18"/>
                <w:szCs w:val="18"/>
                <w:lang w:val="en-US" w:eastAsia="zh-CN" w:bidi="ar"/>
              </w:rPr>
              <w:t>椅套</w:t>
            </w:r>
            <w:r>
              <w:rPr>
                <w:rFonts w:hint="eastAsia" w:ascii="宋体" w:hAnsi="宋体" w:eastAsia="宋体" w:cs="宋体"/>
                <w:color w:val="000000"/>
                <w:kern w:val="0"/>
                <w:sz w:val="18"/>
                <w:szCs w:val="18"/>
                <w:lang w:bidi="ar"/>
              </w:rPr>
              <w:t>数</w:t>
            </w:r>
          </w:p>
        </w:tc>
        <w:tc>
          <w:tcPr>
            <w:tcW w:w="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749122">
            <w:pPr>
              <w:widowControl/>
              <w:spacing w:line="300" w:lineRule="exact"/>
              <w:jc w:val="center"/>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val="en-US" w:eastAsia="zh-CN" w:bidi="ar"/>
              </w:rPr>
              <w:t>=</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67D01C">
            <w:pPr>
              <w:widowControl/>
              <w:spacing w:line="300" w:lineRule="exact"/>
              <w:jc w:val="center"/>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17</w:t>
            </w:r>
          </w:p>
        </w:tc>
        <w:tc>
          <w:tcPr>
            <w:tcW w:w="4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255F34">
            <w:pPr>
              <w:widowControl/>
              <w:spacing w:line="300" w:lineRule="exact"/>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套</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5A0CBE">
            <w:pPr>
              <w:widowControl/>
              <w:spacing w:line="300" w:lineRule="exact"/>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5</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1B9E3D">
            <w:pPr>
              <w:widowControl/>
              <w:spacing w:line="300" w:lineRule="exact"/>
              <w:jc w:val="center"/>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17</w:t>
            </w:r>
          </w:p>
        </w:tc>
      </w:tr>
      <w:tr w14:paraId="0B385EF2">
        <w:tblPrEx>
          <w:tblCellMar>
            <w:top w:w="15" w:type="dxa"/>
            <w:left w:w="15" w:type="dxa"/>
            <w:bottom w:w="15" w:type="dxa"/>
            <w:right w:w="15" w:type="dxa"/>
          </w:tblCellMar>
        </w:tblPrEx>
        <w:trPr>
          <w:trHeight w:val="23" w:hRule="atLeast"/>
          <w:jc w:val="center"/>
        </w:trPr>
        <w:tc>
          <w:tcPr>
            <w:tcW w:w="296" w:type="pct"/>
            <w:vMerge w:val="continue"/>
            <w:tcBorders>
              <w:left w:val="single" w:color="000000" w:sz="4" w:space="0"/>
            </w:tcBorders>
            <w:shd w:val="clear" w:color="auto" w:fill="auto"/>
            <w:vAlign w:val="center"/>
          </w:tcPr>
          <w:p w14:paraId="4BBF2C8D">
            <w:pPr>
              <w:widowControl/>
              <w:spacing w:line="300" w:lineRule="exact"/>
              <w:jc w:val="center"/>
              <w:textAlignment w:val="center"/>
              <w:rPr>
                <w:rFonts w:ascii="宋体" w:hAnsi="宋体" w:eastAsia="宋体" w:cs="宋体"/>
                <w:color w:val="000000"/>
                <w:kern w:val="0"/>
                <w:sz w:val="24"/>
                <w:szCs w:val="24"/>
                <w:lang w:bidi="ar"/>
              </w:rPr>
            </w:pPr>
          </w:p>
        </w:tc>
        <w:tc>
          <w:tcPr>
            <w:tcW w:w="490" w:type="pct"/>
            <w:vMerge w:val="continue"/>
            <w:tcBorders>
              <w:left w:val="single" w:color="000000" w:sz="4" w:space="0"/>
              <w:right w:val="single" w:color="000000" w:sz="4" w:space="0"/>
            </w:tcBorders>
            <w:shd w:val="clear" w:color="auto" w:fill="auto"/>
            <w:vAlign w:val="center"/>
          </w:tcPr>
          <w:p w14:paraId="5BB29E13">
            <w:pPr>
              <w:widowControl/>
              <w:spacing w:line="300" w:lineRule="exact"/>
              <w:jc w:val="center"/>
              <w:textAlignment w:val="center"/>
              <w:rPr>
                <w:rFonts w:ascii="宋体" w:hAnsi="宋体" w:eastAsia="宋体" w:cs="宋体"/>
                <w:color w:val="000000"/>
                <w:kern w:val="0"/>
                <w:sz w:val="18"/>
                <w:szCs w:val="18"/>
                <w:lang w:bidi="ar"/>
              </w:rPr>
            </w:pPr>
          </w:p>
        </w:tc>
        <w:tc>
          <w:tcPr>
            <w:tcW w:w="861" w:type="pct"/>
            <w:vMerge w:val="continue"/>
            <w:tcBorders>
              <w:left w:val="single" w:color="000000" w:sz="4" w:space="0"/>
              <w:bottom w:val="single" w:color="000000" w:sz="4" w:space="0"/>
              <w:right w:val="single" w:color="000000" w:sz="4" w:space="0"/>
            </w:tcBorders>
            <w:shd w:val="clear" w:color="auto" w:fill="auto"/>
            <w:vAlign w:val="center"/>
          </w:tcPr>
          <w:p w14:paraId="571DF41B">
            <w:pPr>
              <w:widowControl/>
              <w:spacing w:line="300" w:lineRule="exact"/>
              <w:jc w:val="center"/>
              <w:textAlignment w:val="center"/>
              <w:rPr>
                <w:rFonts w:ascii="宋体" w:hAnsi="宋体" w:eastAsia="宋体" w:cs="宋体"/>
                <w:color w:val="000000"/>
                <w:kern w:val="0"/>
                <w:sz w:val="18"/>
                <w:szCs w:val="18"/>
                <w:lang w:bidi="ar"/>
              </w:rPr>
            </w:pPr>
          </w:p>
        </w:tc>
        <w:tc>
          <w:tcPr>
            <w:tcW w:w="10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E1928B">
            <w:pPr>
              <w:widowControl/>
              <w:spacing w:line="300" w:lineRule="exact"/>
              <w:jc w:val="center"/>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购置办公电脑台数</w:t>
            </w:r>
          </w:p>
        </w:tc>
        <w:tc>
          <w:tcPr>
            <w:tcW w:w="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18AAD7">
            <w:pPr>
              <w:widowControl/>
              <w:spacing w:line="300" w:lineRule="exact"/>
              <w:jc w:val="center"/>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val="en-US" w:eastAsia="zh-CN" w:bidi="ar"/>
              </w:rPr>
              <w:t>=</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0AFC6C">
            <w:pPr>
              <w:widowControl/>
              <w:spacing w:line="300" w:lineRule="exact"/>
              <w:jc w:val="center"/>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13</w:t>
            </w:r>
          </w:p>
        </w:tc>
        <w:tc>
          <w:tcPr>
            <w:tcW w:w="4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73CE7D">
            <w:pPr>
              <w:widowControl/>
              <w:spacing w:line="300" w:lineRule="exact"/>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台</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08A32A">
            <w:pPr>
              <w:widowControl/>
              <w:spacing w:line="300" w:lineRule="exact"/>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5</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9B2A92">
            <w:pPr>
              <w:widowControl/>
              <w:spacing w:line="300" w:lineRule="exact"/>
              <w:jc w:val="center"/>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11</w:t>
            </w:r>
          </w:p>
        </w:tc>
      </w:tr>
      <w:tr w14:paraId="56F33F1D">
        <w:tblPrEx>
          <w:tblCellMar>
            <w:top w:w="15" w:type="dxa"/>
            <w:left w:w="15" w:type="dxa"/>
            <w:bottom w:w="15" w:type="dxa"/>
            <w:right w:w="15" w:type="dxa"/>
          </w:tblCellMar>
        </w:tblPrEx>
        <w:trPr>
          <w:trHeight w:val="23" w:hRule="atLeast"/>
          <w:jc w:val="center"/>
        </w:trPr>
        <w:tc>
          <w:tcPr>
            <w:tcW w:w="296" w:type="pct"/>
            <w:vMerge w:val="continue"/>
            <w:tcBorders>
              <w:left w:val="single" w:color="000000" w:sz="4" w:space="0"/>
            </w:tcBorders>
            <w:shd w:val="clear" w:color="auto" w:fill="auto"/>
            <w:vAlign w:val="center"/>
          </w:tcPr>
          <w:p w14:paraId="76F32C13">
            <w:pPr>
              <w:widowControl/>
              <w:spacing w:line="300" w:lineRule="exact"/>
              <w:jc w:val="center"/>
              <w:textAlignment w:val="center"/>
              <w:rPr>
                <w:rFonts w:ascii="宋体" w:hAnsi="宋体" w:eastAsia="宋体" w:cs="宋体"/>
                <w:color w:val="000000"/>
                <w:kern w:val="0"/>
                <w:sz w:val="24"/>
                <w:szCs w:val="24"/>
                <w:lang w:bidi="ar"/>
              </w:rPr>
            </w:pPr>
          </w:p>
        </w:tc>
        <w:tc>
          <w:tcPr>
            <w:tcW w:w="490" w:type="pct"/>
            <w:vMerge w:val="continue"/>
            <w:tcBorders>
              <w:left w:val="single" w:color="000000" w:sz="4" w:space="0"/>
              <w:right w:val="single" w:color="000000" w:sz="4" w:space="0"/>
            </w:tcBorders>
            <w:shd w:val="clear" w:color="auto" w:fill="auto"/>
            <w:vAlign w:val="center"/>
          </w:tcPr>
          <w:p w14:paraId="78840176">
            <w:pPr>
              <w:widowControl/>
              <w:spacing w:line="300" w:lineRule="exact"/>
              <w:jc w:val="center"/>
              <w:textAlignment w:val="center"/>
              <w:rPr>
                <w:rFonts w:ascii="宋体" w:hAnsi="宋体" w:eastAsia="宋体" w:cs="宋体"/>
                <w:color w:val="000000"/>
                <w:kern w:val="0"/>
                <w:sz w:val="18"/>
                <w:szCs w:val="18"/>
                <w:lang w:bidi="ar"/>
              </w:rPr>
            </w:pPr>
          </w:p>
        </w:tc>
        <w:tc>
          <w:tcPr>
            <w:tcW w:w="8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50D6C4">
            <w:pPr>
              <w:widowControl/>
              <w:spacing w:line="300" w:lineRule="exact"/>
              <w:jc w:val="center"/>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val="en-US" w:eastAsia="zh-CN" w:bidi="ar"/>
              </w:rPr>
              <w:t>质量指标</w:t>
            </w:r>
          </w:p>
        </w:tc>
        <w:tc>
          <w:tcPr>
            <w:tcW w:w="10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297240">
            <w:pPr>
              <w:widowControl/>
              <w:spacing w:line="300" w:lineRule="exact"/>
              <w:jc w:val="center"/>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验收合格率</w:t>
            </w:r>
          </w:p>
        </w:tc>
        <w:tc>
          <w:tcPr>
            <w:tcW w:w="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34E095">
            <w:pPr>
              <w:widowControl/>
              <w:spacing w:line="300" w:lineRule="exact"/>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6F48AA">
            <w:pPr>
              <w:widowControl/>
              <w:spacing w:line="300" w:lineRule="exact"/>
              <w:jc w:val="center"/>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100</w:t>
            </w:r>
          </w:p>
        </w:tc>
        <w:tc>
          <w:tcPr>
            <w:tcW w:w="4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60633E">
            <w:pPr>
              <w:widowControl/>
              <w:spacing w:line="300" w:lineRule="exact"/>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85DE8A">
            <w:pPr>
              <w:widowControl/>
              <w:spacing w:line="300" w:lineRule="exact"/>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5</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816876">
            <w:pPr>
              <w:widowControl/>
              <w:spacing w:line="300" w:lineRule="exact"/>
              <w:jc w:val="center"/>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100</w:t>
            </w:r>
          </w:p>
        </w:tc>
      </w:tr>
      <w:tr w14:paraId="1A8881CF">
        <w:tblPrEx>
          <w:tblCellMar>
            <w:top w:w="15" w:type="dxa"/>
            <w:left w:w="15" w:type="dxa"/>
            <w:bottom w:w="15" w:type="dxa"/>
            <w:right w:w="15" w:type="dxa"/>
          </w:tblCellMar>
        </w:tblPrEx>
        <w:trPr>
          <w:trHeight w:val="23" w:hRule="atLeast"/>
          <w:jc w:val="center"/>
        </w:trPr>
        <w:tc>
          <w:tcPr>
            <w:tcW w:w="296" w:type="pct"/>
            <w:vMerge w:val="continue"/>
            <w:tcBorders>
              <w:left w:val="single" w:color="000000" w:sz="4" w:space="0"/>
            </w:tcBorders>
            <w:shd w:val="clear" w:color="auto" w:fill="auto"/>
            <w:vAlign w:val="center"/>
          </w:tcPr>
          <w:p w14:paraId="6AF43637">
            <w:pPr>
              <w:widowControl/>
              <w:spacing w:line="300" w:lineRule="exact"/>
              <w:jc w:val="center"/>
              <w:textAlignment w:val="center"/>
              <w:rPr>
                <w:rFonts w:ascii="宋体" w:hAnsi="宋体" w:eastAsia="宋体" w:cs="宋体"/>
                <w:color w:val="000000"/>
                <w:kern w:val="0"/>
                <w:sz w:val="24"/>
                <w:szCs w:val="24"/>
                <w:lang w:bidi="ar"/>
              </w:rPr>
            </w:pPr>
          </w:p>
        </w:tc>
        <w:tc>
          <w:tcPr>
            <w:tcW w:w="490" w:type="pct"/>
            <w:vMerge w:val="continue"/>
            <w:tcBorders>
              <w:left w:val="single" w:color="000000" w:sz="4" w:space="0"/>
              <w:bottom w:val="single" w:color="000000" w:sz="4" w:space="0"/>
              <w:right w:val="single" w:color="000000" w:sz="4" w:space="0"/>
            </w:tcBorders>
            <w:shd w:val="clear" w:color="auto" w:fill="auto"/>
            <w:vAlign w:val="center"/>
          </w:tcPr>
          <w:p w14:paraId="220DE5E8">
            <w:pPr>
              <w:widowControl/>
              <w:spacing w:line="300" w:lineRule="exact"/>
              <w:jc w:val="center"/>
              <w:textAlignment w:val="center"/>
              <w:rPr>
                <w:rFonts w:ascii="宋体" w:hAnsi="宋体" w:eastAsia="宋体" w:cs="宋体"/>
                <w:color w:val="000000"/>
                <w:kern w:val="0"/>
                <w:sz w:val="18"/>
                <w:szCs w:val="18"/>
                <w:lang w:bidi="ar"/>
              </w:rPr>
            </w:pPr>
          </w:p>
        </w:tc>
        <w:tc>
          <w:tcPr>
            <w:tcW w:w="8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0808EB">
            <w:pPr>
              <w:widowControl/>
              <w:spacing w:line="300" w:lineRule="exact"/>
              <w:jc w:val="center"/>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时效指标</w:t>
            </w:r>
          </w:p>
        </w:tc>
        <w:tc>
          <w:tcPr>
            <w:tcW w:w="10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8063AA">
            <w:pPr>
              <w:widowControl/>
              <w:spacing w:line="300" w:lineRule="exact"/>
              <w:jc w:val="center"/>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购置完成时效</w:t>
            </w:r>
          </w:p>
        </w:tc>
        <w:tc>
          <w:tcPr>
            <w:tcW w:w="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87A300">
            <w:pPr>
              <w:widowControl/>
              <w:spacing w:line="300" w:lineRule="exact"/>
              <w:jc w:val="center"/>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588E4C">
            <w:pPr>
              <w:widowControl/>
              <w:spacing w:line="300" w:lineRule="exact"/>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1</w:t>
            </w:r>
          </w:p>
        </w:tc>
        <w:tc>
          <w:tcPr>
            <w:tcW w:w="4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8B4383">
            <w:pPr>
              <w:widowControl/>
              <w:spacing w:line="300" w:lineRule="exact"/>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年</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998AD">
            <w:pPr>
              <w:widowControl/>
              <w:spacing w:line="300" w:lineRule="exact"/>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5</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0FB21A">
            <w:pPr>
              <w:widowControl/>
              <w:spacing w:line="300" w:lineRule="exact"/>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1</w:t>
            </w:r>
          </w:p>
        </w:tc>
      </w:tr>
      <w:tr w14:paraId="47D83A7C">
        <w:tblPrEx>
          <w:tblCellMar>
            <w:top w:w="15" w:type="dxa"/>
            <w:left w:w="15" w:type="dxa"/>
            <w:bottom w:w="15" w:type="dxa"/>
            <w:right w:w="15" w:type="dxa"/>
          </w:tblCellMar>
        </w:tblPrEx>
        <w:trPr>
          <w:trHeight w:val="23" w:hRule="atLeast"/>
          <w:jc w:val="center"/>
        </w:trPr>
        <w:tc>
          <w:tcPr>
            <w:tcW w:w="296" w:type="pct"/>
            <w:vMerge w:val="continue"/>
            <w:tcBorders>
              <w:left w:val="single" w:color="000000" w:sz="4" w:space="0"/>
            </w:tcBorders>
            <w:shd w:val="clear" w:color="auto" w:fill="auto"/>
            <w:vAlign w:val="center"/>
          </w:tcPr>
          <w:p w14:paraId="2CA3BA29">
            <w:pPr>
              <w:widowControl/>
              <w:spacing w:line="300" w:lineRule="exact"/>
              <w:jc w:val="center"/>
              <w:textAlignment w:val="center"/>
              <w:rPr>
                <w:rFonts w:ascii="宋体" w:hAnsi="宋体" w:eastAsia="宋体" w:cs="宋体"/>
                <w:color w:val="000000"/>
                <w:kern w:val="0"/>
                <w:sz w:val="24"/>
                <w:szCs w:val="24"/>
                <w:lang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9215AF">
            <w:pPr>
              <w:widowControl/>
              <w:spacing w:line="300" w:lineRule="exact"/>
              <w:jc w:val="center"/>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效益指标</w:t>
            </w:r>
          </w:p>
        </w:tc>
        <w:tc>
          <w:tcPr>
            <w:tcW w:w="8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E5694A">
            <w:pPr>
              <w:widowControl/>
              <w:spacing w:line="300" w:lineRule="exact"/>
              <w:jc w:val="center"/>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单位效益指标</w:t>
            </w:r>
          </w:p>
        </w:tc>
        <w:tc>
          <w:tcPr>
            <w:tcW w:w="10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7578FA">
            <w:pPr>
              <w:widowControl/>
              <w:spacing w:line="300" w:lineRule="exact"/>
              <w:jc w:val="center"/>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设备配置率</w:t>
            </w:r>
          </w:p>
        </w:tc>
        <w:tc>
          <w:tcPr>
            <w:tcW w:w="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1C8AAE">
            <w:pPr>
              <w:widowControl/>
              <w:spacing w:line="300" w:lineRule="exact"/>
              <w:jc w:val="center"/>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C77699">
            <w:pPr>
              <w:widowControl/>
              <w:spacing w:line="300" w:lineRule="exact"/>
              <w:jc w:val="center"/>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95</w:t>
            </w:r>
          </w:p>
        </w:tc>
        <w:tc>
          <w:tcPr>
            <w:tcW w:w="4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0906DA">
            <w:pPr>
              <w:widowControl/>
              <w:spacing w:line="300" w:lineRule="exact"/>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A9B964">
            <w:pPr>
              <w:widowControl/>
              <w:spacing w:line="300" w:lineRule="exact"/>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5</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1C9126">
            <w:pPr>
              <w:widowControl/>
              <w:spacing w:line="300" w:lineRule="exact"/>
              <w:jc w:val="center"/>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97</w:t>
            </w:r>
          </w:p>
        </w:tc>
      </w:tr>
      <w:tr w14:paraId="5D1939AD">
        <w:tblPrEx>
          <w:tblCellMar>
            <w:top w:w="15" w:type="dxa"/>
            <w:left w:w="15" w:type="dxa"/>
            <w:bottom w:w="15" w:type="dxa"/>
            <w:right w:w="15" w:type="dxa"/>
          </w:tblCellMar>
        </w:tblPrEx>
        <w:trPr>
          <w:trHeight w:val="23" w:hRule="atLeast"/>
          <w:jc w:val="center"/>
        </w:trPr>
        <w:tc>
          <w:tcPr>
            <w:tcW w:w="296" w:type="pct"/>
            <w:vMerge w:val="continue"/>
            <w:tcBorders>
              <w:left w:val="single" w:color="000000" w:sz="4" w:space="0"/>
            </w:tcBorders>
            <w:shd w:val="clear" w:color="auto" w:fill="auto"/>
            <w:vAlign w:val="center"/>
          </w:tcPr>
          <w:p w14:paraId="3ADBDFCD">
            <w:pPr>
              <w:widowControl/>
              <w:spacing w:line="300" w:lineRule="exact"/>
              <w:jc w:val="center"/>
              <w:textAlignment w:val="center"/>
              <w:rPr>
                <w:rFonts w:ascii="宋体" w:hAnsi="宋体" w:eastAsia="宋体" w:cs="宋体"/>
                <w:color w:val="000000"/>
                <w:kern w:val="0"/>
                <w:sz w:val="24"/>
                <w:szCs w:val="24"/>
                <w:lang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F10FA4">
            <w:pPr>
              <w:widowControl/>
              <w:spacing w:line="300" w:lineRule="exact"/>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满意度</w:t>
            </w:r>
          </w:p>
          <w:p w14:paraId="6E321988">
            <w:pPr>
              <w:widowControl/>
              <w:spacing w:line="300" w:lineRule="exact"/>
              <w:jc w:val="center"/>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指标</w:t>
            </w:r>
          </w:p>
        </w:tc>
        <w:tc>
          <w:tcPr>
            <w:tcW w:w="8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C54354">
            <w:pPr>
              <w:widowControl/>
              <w:spacing w:line="300" w:lineRule="exact"/>
              <w:jc w:val="center"/>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使用者满意度指标</w:t>
            </w:r>
          </w:p>
        </w:tc>
        <w:tc>
          <w:tcPr>
            <w:tcW w:w="10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508F7E">
            <w:pPr>
              <w:widowControl/>
              <w:spacing w:line="300" w:lineRule="exact"/>
              <w:jc w:val="center"/>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问题反馈次数</w:t>
            </w:r>
          </w:p>
        </w:tc>
        <w:tc>
          <w:tcPr>
            <w:tcW w:w="4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28598C">
            <w:pPr>
              <w:widowControl/>
              <w:spacing w:line="300" w:lineRule="exact"/>
              <w:jc w:val="center"/>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D208F8">
            <w:pPr>
              <w:widowControl/>
              <w:spacing w:line="300" w:lineRule="exact"/>
              <w:jc w:val="center"/>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15</w:t>
            </w:r>
          </w:p>
        </w:tc>
        <w:tc>
          <w:tcPr>
            <w:tcW w:w="4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B975F1">
            <w:pPr>
              <w:widowControl/>
              <w:spacing w:line="300" w:lineRule="exact"/>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次</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9405F8">
            <w:pPr>
              <w:widowControl/>
              <w:spacing w:line="300" w:lineRule="exact"/>
              <w:jc w:val="center"/>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10</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3B83AC">
            <w:pPr>
              <w:widowControl/>
              <w:spacing w:line="300" w:lineRule="exact"/>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0</w:t>
            </w:r>
          </w:p>
        </w:tc>
      </w:tr>
      <w:tr w14:paraId="642515F9">
        <w:tblPrEx>
          <w:tblCellMar>
            <w:top w:w="15" w:type="dxa"/>
            <w:left w:w="15" w:type="dxa"/>
            <w:bottom w:w="15" w:type="dxa"/>
            <w:right w:w="15" w:type="dxa"/>
          </w:tblCellMar>
        </w:tblPrEx>
        <w:trPr>
          <w:trHeight w:val="23" w:hRule="atLeast"/>
          <w:jc w:val="center"/>
        </w:trPr>
        <w:tc>
          <w:tcPr>
            <w:tcW w:w="296" w:type="pct"/>
            <w:vMerge w:val="continue"/>
            <w:tcBorders>
              <w:left w:val="single" w:color="000000" w:sz="4" w:space="0"/>
              <w:bottom w:val="single" w:color="000000" w:sz="4" w:space="0"/>
            </w:tcBorders>
            <w:shd w:val="clear" w:color="auto" w:fill="auto"/>
            <w:vAlign w:val="center"/>
          </w:tcPr>
          <w:p w14:paraId="7B6E5A5D">
            <w:pPr>
              <w:widowControl/>
              <w:spacing w:line="300" w:lineRule="exact"/>
              <w:jc w:val="center"/>
              <w:textAlignment w:val="center"/>
              <w:rPr>
                <w:rFonts w:ascii="宋体" w:hAnsi="宋体" w:eastAsia="宋体" w:cs="宋体"/>
                <w:color w:val="000000"/>
                <w:kern w:val="0"/>
                <w:sz w:val="24"/>
                <w:szCs w:val="24"/>
                <w:lang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F865BA">
            <w:pPr>
              <w:widowControl/>
              <w:spacing w:line="300" w:lineRule="exact"/>
              <w:jc w:val="center"/>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成本指标</w:t>
            </w:r>
          </w:p>
        </w:tc>
        <w:tc>
          <w:tcPr>
            <w:tcW w:w="8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BD05CE">
            <w:pPr>
              <w:widowControl/>
              <w:spacing w:line="300" w:lineRule="exact"/>
              <w:jc w:val="center"/>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经济成本指标</w:t>
            </w:r>
          </w:p>
        </w:tc>
        <w:tc>
          <w:tcPr>
            <w:tcW w:w="1081" w:type="pct"/>
            <w:tcBorders>
              <w:top w:val="single" w:color="000000" w:sz="4" w:space="0"/>
              <w:left w:val="single" w:color="000000" w:sz="4" w:space="0"/>
              <w:bottom w:val="single" w:color="auto" w:sz="4" w:space="0"/>
              <w:right w:val="single" w:color="000000" w:sz="4" w:space="0"/>
            </w:tcBorders>
            <w:shd w:val="clear" w:color="auto" w:fill="auto"/>
            <w:vAlign w:val="center"/>
          </w:tcPr>
          <w:p w14:paraId="4EB9B4B0">
            <w:pPr>
              <w:widowControl/>
              <w:spacing w:line="300" w:lineRule="exact"/>
              <w:jc w:val="center"/>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项目成本</w:t>
            </w:r>
          </w:p>
        </w:tc>
        <w:tc>
          <w:tcPr>
            <w:tcW w:w="439" w:type="pct"/>
            <w:tcBorders>
              <w:top w:val="single" w:color="000000" w:sz="4" w:space="0"/>
              <w:left w:val="single" w:color="000000" w:sz="4" w:space="0"/>
              <w:bottom w:val="single" w:color="auto" w:sz="4" w:space="0"/>
              <w:right w:val="single" w:color="000000" w:sz="4" w:space="0"/>
            </w:tcBorders>
            <w:shd w:val="clear" w:color="auto" w:fill="auto"/>
            <w:vAlign w:val="center"/>
          </w:tcPr>
          <w:p w14:paraId="47A88941">
            <w:pPr>
              <w:widowControl/>
              <w:spacing w:line="300" w:lineRule="exact"/>
              <w:jc w:val="center"/>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w:t>
            </w:r>
          </w:p>
        </w:tc>
        <w:tc>
          <w:tcPr>
            <w:tcW w:w="566" w:type="pct"/>
            <w:tcBorders>
              <w:top w:val="single" w:color="000000" w:sz="4" w:space="0"/>
              <w:left w:val="single" w:color="000000" w:sz="4" w:space="0"/>
              <w:bottom w:val="single" w:color="auto" w:sz="4" w:space="0"/>
              <w:right w:val="single" w:color="000000" w:sz="4" w:space="0"/>
            </w:tcBorders>
            <w:shd w:val="clear" w:color="auto" w:fill="auto"/>
            <w:vAlign w:val="center"/>
          </w:tcPr>
          <w:p w14:paraId="7F8C4D80">
            <w:pPr>
              <w:widowControl/>
              <w:spacing w:line="300" w:lineRule="exact"/>
              <w:jc w:val="center"/>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w:t>
            </w:r>
          </w:p>
        </w:tc>
        <w:tc>
          <w:tcPr>
            <w:tcW w:w="498" w:type="pct"/>
            <w:tcBorders>
              <w:top w:val="single" w:color="000000" w:sz="4" w:space="0"/>
              <w:left w:val="single" w:color="000000" w:sz="4" w:space="0"/>
              <w:bottom w:val="single" w:color="auto" w:sz="4" w:space="0"/>
              <w:right w:val="single" w:color="000000" w:sz="4" w:space="0"/>
            </w:tcBorders>
            <w:shd w:val="clear" w:color="auto" w:fill="auto"/>
            <w:vAlign w:val="center"/>
          </w:tcPr>
          <w:p w14:paraId="3E29293C">
            <w:pPr>
              <w:widowControl/>
              <w:spacing w:line="300" w:lineRule="exact"/>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万元</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DDAE6C">
            <w:pPr>
              <w:widowControl/>
              <w:spacing w:line="300" w:lineRule="exact"/>
              <w:jc w:val="center"/>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D10E7D">
            <w:pPr>
              <w:widowControl/>
              <w:spacing w:line="300" w:lineRule="exact"/>
              <w:jc w:val="center"/>
              <w:textAlignment w:val="center"/>
              <w:rPr>
                <w:rFonts w:hint="default"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w:t>
            </w:r>
          </w:p>
        </w:tc>
      </w:tr>
    </w:tbl>
    <w:p w14:paraId="20D40E23">
      <w:pPr>
        <w:pStyle w:val="25"/>
        <w:keepNext w:val="0"/>
        <w:keepLines w:val="0"/>
        <w:pageBreakBefore w:val="0"/>
        <w:widowControl w:val="0"/>
        <w:kinsoku/>
        <w:wordWrap/>
        <w:overflowPunct/>
        <w:topLinePunct w:val="0"/>
        <w:autoSpaceDE/>
        <w:autoSpaceDN/>
        <w:bidi w:val="0"/>
        <w:spacing w:line="578" w:lineRule="exact"/>
        <w:jc w:val="both"/>
        <w:textAlignment w:val="auto"/>
        <w:rPr>
          <w:rFonts w:hint="eastAsia" w:ascii="黑体" w:hAnsi="黑体" w:eastAsia="黑体" w:cs="黑体"/>
          <w:color w:val="auto"/>
          <w:kern w:val="2"/>
          <w:sz w:val="32"/>
          <w:szCs w:val="32"/>
          <w:highlight w:val="none"/>
          <w:lang w:val="en-US" w:eastAsia="zh-CN"/>
        </w:rPr>
      </w:pPr>
    </w:p>
    <w:p w14:paraId="17A92098">
      <w:pPr>
        <w:pStyle w:val="25"/>
        <w:keepNext w:val="0"/>
        <w:keepLines w:val="0"/>
        <w:pageBreakBefore w:val="0"/>
        <w:widowControl w:val="0"/>
        <w:kinsoku/>
        <w:wordWrap/>
        <w:overflowPunct/>
        <w:topLinePunct w:val="0"/>
        <w:autoSpaceDE/>
        <w:autoSpaceDN/>
        <w:bidi w:val="0"/>
        <w:spacing w:line="578" w:lineRule="exact"/>
        <w:jc w:val="both"/>
        <w:textAlignment w:val="auto"/>
        <w:rPr>
          <w:rFonts w:hint="eastAsia" w:ascii="黑体" w:hAnsi="黑体" w:eastAsia="黑体" w:cs="黑体"/>
          <w:color w:val="auto"/>
          <w:kern w:val="2"/>
          <w:sz w:val="32"/>
          <w:szCs w:val="32"/>
          <w:highlight w:val="none"/>
          <w:lang w:val="en-US" w:eastAsia="zh-CN"/>
        </w:rPr>
      </w:pPr>
    </w:p>
    <w:p w14:paraId="12E528FD">
      <w:pPr>
        <w:pStyle w:val="25"/>
        <w:keepNext w:val="0"/>
        <w:keepLines w:val="0"/>
        <w:pageBreakBefore w:val="0"/>
        <w:widowControl w:val="0"/>
        <w:kinsoku/>
        <w:wordWrap/>
        <w:overflowPunct/>
        <w:topLinePunct w:val="0"/>
        <w:autoSpaceDE/>
        <w:autoSpaceDN/>
        <w:bidi w:val="0"/>
        <w:spacing w:line="578" w:lineRule="exact"/>
        <w:ind w:left="0" w:leftChars="0" w:firstLine="1760" w:firstLineChars="400"/>
        <w:jc w:val="both"/>
        <w:textAlignment w:val="auto"/>
        <w:rPr>
          <w:rFonts w:hint="default" w:ascii="Times New Roman" w:hAnsi="Times New Roman" w:eastAsia="方正小标宋_GBK" w:cs="Times New Roman"/>
          <w:color w:val="auto"/>
          <w:kern w:val="2"/>
          <w:sz w:val="44"/>
          <w:szCs w:val="44"/>
          <w:highlight w:val="none"/>
          <w:lang w:val="en-US" w:eastAsia="zh-CN"/>
        </w:rPr>
      </w:pPr>
    </w:p>
    <w:p w14:paraId="3846CF4E">
      <w:pPr>
        <w:pStyle w:val="25"/>
        <w:keepNext w:val="0"/>
        <w:keepLines w:val="0"/>
        <w:pageBreakBefore w:val="0"/>
        <w:widowControl w:val="0"/>
        <w:kinsoku/>
        <w:wordWrap/>
        <w:overflowPunct/>
        <w:topLinePunct w:val="0"/>
        <w:autoSpaceDE/>
        <w:autoSpaceDN/>
        <w:bidi w:val="0"/>
        <w:spacing w:line="578" w:lineRule="exact"/>
        <w:ind w:left="0" w:leftChars="0" w:firstLine="1760" w:firstLineChars="400"/>
        <w:jc w:val="both"/>
        <w:textAlignment w:val="auto"/>
        <w:rPr>
          <w:rFonts w:hint="default" w:ascii="Times New Roman" w:hAnsi="Times New Roman" w:eastAsia="方正小标宋_GBK" w:cs="Times New Roman"/>
          <w:color w:val="auto"/>
          <w:kern w:val="2"/>
          <w:sz w:val="44"/>
          <w:szCs w:val="44"/>
          <w:highlight w:val="none"/>
          <w:lang w:val="en-US" w:eastAsia="zh-CN"/>
        </w:rPr>
      </w:pPr>
      <w:r>
        <w:rPr>
          <w:rFonts w:hint="default" w:ascii="Times New Roman" w:hAnsi="Times New Roman" w:eastAsia="方正小标宋_GBK" w:cs="Times New Roman"/>
          <w:color w:val="auto"/>
          <w:kern w:val="2"/>
          <w:sz w:val="44"/>
          <w:szCs w:val="44"/>
          <w:highlight w:val="none"/>
          <w:lang w:val="en-US" w:eastAsia="zh-CN"/>
        </w:rPr>
        <w:t>区域合作服务专项工作经费</w:t>
      </w:r>
    </w:p>
    <w:p w14:paraId="12862FBF">
      <w:pPr>
        <w:pStyle w:val="25"/>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default" w:ascii="Times New Roman" w:hAnsi="Times New Roman" w:eastAsia="方正小标宋简体" w:cs="Times New Roman"/>
          <w:color w:val="auto"/>
          <w:kern w:val="2"/>
          <w:sz w:val="44"/>
          <w:szCs w:val="44"/>
          <w:highlight w:val="none"/>
          <w:lang w:val="en-US" w:eastAsia="zh-CN"/>
        </w:rPr>
      </w:pPr>
      <w:r>
        <w:rPr>
          <w:rFonts w:hint="default" w:ascii="Times New Roman" w:hAnsi="Times New Roman" w:eastAsia="方正小标宋_GBK" w:cs="Times New Roman"/>
          <w:color w:val="auto"/>
          <w:kern w:val="2"/>
          <w:sz w:val="44"/>
          <w:szCs w:val="44"/>
          <w:highlight w:val="none"/>
          <w:lang w:val="en-US" w:eastAsia="zh-CN"/>
        </w:rPr>
        <w:t>预算项目绩效评价</w:t>
      </w:r>
      <w:r>
        <w:rPr>
          <w:rFonts w:hint="eastAsia" w:ascii="Times New Roman" w:hAnsi="Times New Roman" w:eastAsia="方正小标宋_GBK" w:cs="Times New Roman"/>
          <w:color w:val="auto"/>
          <w:kern w:val="2"/>
          <w:sz w:val="44"/>
          <w:szCs w:val="44"/>
          <w:highlight w:val="none"/>
          <w:lang w:val="en-US" w:eastAsia="zh-CN"/>
        </w:rPr>
        <w:t>的</w:t>
      </w:r>
      <w:r>
        <w:rPr>
          <w:rFonts w:hint="default" w:ascii="Times New Roman" w:hAnsi="Times New Roman" w:eastAsia="方正小标宋_GBK" w:cs="Times New Roman"/>
          <w:color w:val="auto"/>
          <w:kern w:val="2"/>
          <w:sz w:val="44"/>
          <w:szCs w:val="44"/>
          <w:highlight w:val="none"/>
          <w:lang w:val="en-US" w:eastAsia="zh-CN"/>
        </w:rPr>
        <w:t>报告</w:t>
      </w:r>
    </w:p>
    <w:p w14:paraId="4845FDF5">
      <w:pPr>
        <w:pStyle w:val="25"/>
        <w:keepNext w:val="0"/>
        <w:keepLines w:val="0"/>
        <w:pageBreakBefore w:val="0"/>
        <w:widowControl w:val="0"/>
        <w:kinsoku/>
        <w:wordWrap/>
        <w:overflowPunct/>
        <w:topLinePunct w:val="0"/>
        <w:autoSpaceDE/>
        <w:autoSpaceDN/>
        <w:bidi w:val="0"/>
        <w:spacing w:line="578" w:lineRule="exact"/>
        <w:ind w:left="0" w:leftChars="0" w:firstLine="640"/>
        <w:jc w:val="center"/>
        <w:textAlignment w:val="auto"/>
        <w:rPr>
          <w:rFonts w:hint="default" w:ascii="Times New Roman" w:hAnsi="Times New Roman" w:cs="Times New Roman"/>
          <w:color w:val="auto"/>
          <w:kern w:val="2"/>
          <w:sz w:val="32"/>
          <w:szCs w:val="32"/>
          <w:highlight w:val="none"/>
        </w:rPr>
      </w:pPr>
    </w:p>
    <w:p w14:paraId="072E920C">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rPr>
          <w:rFonts w:hint="default" w:ascii="Times New Roman" w:hAnsi="Times New Roman" w:eastAsia="黑体" w:cs="Times New Roman"/>
          <w:highlight w:val="none"/>
          <w:lang w:val="zh-CN"/>
        </w:rPr>
      </w:pPr>
      <w:r>
        <w:rPr>
          <w:rFonts w:hint="default" w:ascii="Times New Roman" w:hAnsi="Times New Roman" w:eastAsia="黑体" w:cs="Times New Roman"/>
          <w:highlight w:val="none"/>
        </w:rPr>
        <w:t>一、</w:t>
      </w:r>
      <w:r>
        <w:rPr>
          <w:rFonts w:hint="default" w:ascii="Times New Roman" w:hAnsi="Times New Roman" w:eastAsia="黑体" w:cs="Times New Roman"/>
          <w:highlight w:val="none"/>
          <w:lang w:val="zh-CN"/>
        </w:rPr>
        <w:t>项目概况</w:t>
      </w:r>
    </w:p>
    <w:p w14:paraId="7A29C5B2">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left="0" w:leftChars="0" w:firstLine="643" w:firstLineChars="200"/>
        <w:contextualSpacing/>
        <w:jc w:val="left"/>
        <w:textAlignment w:val="auto"/>
        <w:rPr>
          <w:rFonts w:hint="default" w:ascii="Times New Roman" w:hAnsi="Times New Roman" w:eastAsia="仿宋_GB2312" w:cs="Times New Roman"/>
          <w:color w:val="auto"/>
          <w:kern w:val="0"/>
          <w:sz w:val="32"/>
          <w:szCs w:val="32"/>
          <w:highlight w:val="none"/>
          <w:u w:val="none"/>
          <w:shd w:val="clear" w:color="auto" w:fill="FFFFFF"/>
          <w:lang w:val="zh-CN"/>
        </w:rPr>
      </w:pPr>
      <w:r>
        <w:rPr>
          <w:rFonts w:hint="default" w:ascii="Times New Roman" w:hAnsi="Times New Roman" w:eastAsia="楷体_GB2312" w:cs="Times New Roman"/>
          <w:b/>
          <w:color w:val="auto"/>
          <w:sz w:val="32"/>
          <w:szCs w:val="32"/>
          <w:highlight w:val="none"/>
          <w:u w:val="none"/>
          <w:lang w:val="zh-CN"/>
        </w:rPr>
        <w:t>（一）设立背景及基本情况</w:t>
      </w:r>
    </w:p>
    <w:p w14:paraId="66A2EBA0">
      <w:pPr>
        <w:keepNext w:val="0"/>
        <w:keepLines w:val="0"/>
        <w:pageBreakBefore w:val="0"/>
        <w:widowControl/>
        <w:kinsoku/>
        <w:wordWrap/>
        <w:overflowPunct/>
        <w:topLinePunct w:val="0"/>
        <w:autoSpaceDE/>
        <w:autoSpaceDN/>
        <w:bidi w:val="0"/>
        <w:adjustRightInd w:val="0"/>
        <w:snapToGrid w:val="0"/>
        <w:spacing w:line="578" w:lineRule="exact"/>
        <w:ind w:firstLine="640" w:firstLineChars="200"/>
        <w:contextualSpacing/>
        <w:jc w:val="left"/>
        <w:textAlignment w:val="auto"/>
        <w:rPr>
          <w:rFonts w:hint="default" w:ascii="Times New Roman" w:hAnsi="Times New Roman" w:eastAsia="方正仿宋_GBK" w:cs="Times New Roman"/>
          <w:color w:val="auto"/>
          <w:sz w:val="32"/>
          <w:szCs w:val="32"/>
          <w:highlight w:val="none"/>
          <w:lang w:val="en-US" w:eastAsia="zh-CN"/>
        </w:rPr>
      </w:pPr>
      <w:r>
        <w:rPr>
          <w:rFonts w:hint="eastAsia" w:ascii="仿宋_GB2312" w:hAnsi="仿宋_GB2312" w:cs="仿宋_GB2312"/>
          <w:kern w:val="0"/>
          <w:shd w:val="clear" w:color="auto" w:fill="FFFFFF"/>
          <w:lang w:val="en-US" w:eastAsia="zh-CN"/>
        </w:rPr>
        <w:t>根据相关文件要求，为更好地开展</w:t>
      </w:r>
      <w:r>
        <w:rPr>
          <w:rFonts w:hint="default" w:ascii="仿宋_GB2312" w:hAnsi="仿宋_GB2312" w:cs="仿宋_GB2312"/>
          <w:kern w:val="0"/>
          <w:shd w:val="clear" w:color="auto" w:fill="FFFFFF"/>
          <w:lang w:val="en-US" w:eastAsia="zh-CN"/>
        </w:rPr>
        <w:t>川渝地区招商引资、区域合作</w:t>
      </w:r>
      <w:r>
        <w:rPr>
          <w:rFonts w:hint="eastAsia" w:ascii="仿宋_GB2312" w:hAnsi="仿宋_GB2312" w:cs="仿宋_GB2312"/>
          <w:kern w:val="0"/>
          <w:shd w:val="clear" w:color="auto" w:fill="FFFFFF"/>
          <w:lang w:val="en-US" w:eastAsia="zh-CN"/>
        </w:rPr>
        <w:t>以及</w:t>
      </w:r>
      <w:r>
        <w:rPr>
          <w:rFonts w:hint="default" w:ascii="Times New Roman" w:hAnsi="Times New Roman" w:cs="Times New Roman"/>
          <w:color w:val="auto"/>
          <w:kern w:val="0"/>
          <w:sz w:val="32"/>
          <w:szCs w:val="32"/>
          <w:highlight w:val="none"/>
          <w:u w:val="none"/>
          <w:shd w:val="clear" w:color="auto" w:fill="FFFFFF"/>
          <w:lang w:val="en-US" w:eastAsia="zh-CN"/>
        </w:rPr>
        <w:t>编制相关专项规划</w:t>
      </w:r>
      <w:r>
        <w:rPr>
          <w:rFonts w:hint="eastAsia" w:ascii="仿宋_GB2312" w:hAnsi="仿宋_GB2312" w:cs="仿宋_GB2312"/>
          <w:kern w:val="0"/>
          <w:shd w:val="clear" w:color="auto" w:fill="FFFFFF"/>
          <w:lang w:val="en-US" w:eastAsia="zh-CN"/>
        </w:rPr>
        <w:t>等工作</w:t>
      </w:r>
      <w:r>
        <w:rPr>
          <w:rFonts w:hint="default" w:ascii="仿宋_GB2312" w:hAnsi="仿宋_GB2312" w:cs="仿宋_GB2312"/>
          <w:kern w:val="0"/>
          <w:shd w:val="clear" w:color="auto" w:fill="FFFFFF"/>
          <w:lang w:val="en-US" w:eastAsia="zh-CN"/>
        </w:rPr>
        <w:t>，需要足够的资金保障</w:t>
      </w:r>
      <w:r>
        <w:rPr>
          <w:rFonts w:hint="eastAsia" w:ascii="仿宋_GB2312" w:hAnsi="仿宋_GB2312" w:cs="仿宋_GB2312"/>
          <w:kern w:val="0"/>
          <w:shd w:val="clear" w:color="auto" w:fill="FFFFFF"/>
          <w:lang w:val="en-US" w:eastAsia="zh-CN"/>
        </w:rPr>
        <w:t>，</w:t>
      </w:r>
      <w:r>
        <w:rPr>
          <w:rFonts w:hint="eastAsia" w:ascii="仿宋_GB2312" w:hAnsi="仿宋_GB2312" w:cs="仿宋_GB2312"/>
          <w:kern w:val="0"/>
          <w:shd w:val="clear" w:color="auto" w:fill="FFFFFF"/>
          <w:lang w:val="zh-CN"/>
        </w:rPr>
        <w:t>该项经费纳入</w:t>
      </w:r>
      <w:r>
        <w:rPr>
          <w:rFonts w:hint="eastAsia" w:ascii="仿宋_GB2312" w:hAnsi="仿宋_GB2312" w:cs="仿宋_GB2312"/>
          <w:kern w:val="0"/>
          <w:shd w:val="clear" w:color="auto" w:fill="FFFFFF"/>
          <w:lang w:val="en-US" w:eastAsia="zh-CN"/>
        </w:rPr>
        <w:t>区合中心</w:t>
      </w:r>
      <w:r>
        <w:rPr>
          <w:rFonts w:hint="eastAsia" w:ascii="仿宋_GB2312" w:hAnsi="仿宋_GB2312" w:cs="仿宋_GB2312"/>
          <w:kern w:val="0"/>
          <w:shd w:val="clear" w:color="auto" w:fill="FFFFFF"/>
          <w:lang w:val="zh-CN"/>
        </w:rPr>
        <w:t>预算。</w:t>
      </w:r>
    </w:p>
    <w:p w14:paraId="5998A59E">
      <w:pPr>
        <w:keepNext w:val="0"/>
        <w:keepLines w:val="0"/>
        <w:pageBreakBefore w:val="0"/>
        <w:kinsoku/>
        <w:wordWrap/>
        <w:overflowPunct/>
        <w:topLinePunct w:val="0"/>
        <w:autoSpaceDE/>
        <w:autoSpaceDN/>
        <w:bidi w:val="0"/>
        <w:adjustRightInd w:val="0"/>
        <w:snapToGrid w:val="0"/>
        <w:spacing w:line="578" w:lineRule="exact"/>
        <w:ind w:left="0" w:leftChars="0" w:firstLine="643" w:firstLineChars="200"/>
        <w:textAlignment w:val="auto"/>
        <w:rPr>
          <w:rFonts w:hint="default" w:ascii="Times New Roman" w:hAnsi="Times New Roman" w:eastAsia="楷体_GB2312" w:cs="Times New Roman"/>
          <w:b/>
          <w:color w:val="auto"/>
          <w:sz w:val="32"/>
          <w:szCs w:val="32"/>
          <w:highlight w:val="none"/>
          <w:u w:val="none"/>
          <w:lang w:val="en-US" w:eastAsia="zh-CN"/>
        </w:rPr>
      </w:pPr>
      <w:r>
        <w:rPr>
          <w:rFonts w:hint="default" w:ascii="Times New Roman" w:hAnsi="Times New Roman" w:eastAsia="楷体_GB2312" w:cs="Times New Roman"/>
          <w:b/>
          <w:color w:val="auto"/>
          <w:sz w:val="32"/>
          <w:szCs w:val="32"/>
          <w:highlight w:val="none"/>
          <w:u w:val="none"/>
          <w:lang w:val="zh-CN"/>
        </w:rPr>
        <w:t>（二）</w:t>
      </w:r>
      <w:r>
        <w:rPr>
          <w:rFonts w:hint="default" w:ascii="Times New Roman" w:hAnsi="Times New Roman" w:eastAsia="楷体_GB2312" w:cs="Times New Roman"/>
          <w:b/>
          <w:color w:val="auto"/>
          <w:sz w:val="32"/>
          <w:szCs w:val="32"/>
          <w:highlight w:val="none"/>
          <w:u w:val="none"/>
          <w:lang w:val="en-US" w:eastAsia="zh-CN"/>
        </w:rPr>
        <w:t>实施目的及支持方向</w:t>
      </w:r>
    </w:p>
    <w:p w14:paraId="5E51C5BE">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方正仿宋_GBK" w:cs="Times New Roman"/>
          <w:sz w:val="32"/>
          <w:lang w:val="en-US" w:eastAsia="zh-CN"/>
        </w:rPr>
      </w:pPr>
      <w:r>
        <w:rPr>
          <w:rFonts w:hint="default" w:ascii="Times New Roman" w:hAnsi="Times New Roman" w:cs="Times New Roman"/>
          <w:color w:val="auto"/>
          <w:kern w:val="0"/>
          <w:sz w:val="32"/>
          <w:szCs w:val="32"/>
          <w:highlight w:val="none"/>
          <w:u w:val="none"/>
          <w:shd w:val="clear" w:color="auto" w:fill="FFFFFF"/>
          <w:lang w:val="zh-CN"/>
        </w:rPr>
        <w:t>项目主要工作任务</w:t>
      </w:r>
      <w:r>
        <w:rPr>
          <w:rFonts w:hint="eastAsia" w:cs="Times New Roman"/>
          <w:color w:val="auto"/>
          <w:kern w:val="0"/>
          <w:sz w:val="32"/>
          <w:szCs w:val="32"/>
          <w:highlight w:val="none"/>
          <w:u w:val="none"/>
          <w:shd w:val="clear" w:color="auto" w:fill="FFFFFF"/>
          <w:lang w:val="en-US" w:eastAsia="zh-CN"/>
        </w:rPr>
        <w:t>是</w:t>
      </w:r>
      <w:r>
        <w:rPr>
          <w:rFonts w:hint="default" w:ascii="Times New Roman" w:hAnsi="Times New Roman" w:cs="Times New Roman"/>
          <w:color w:val="auto"/>
          <w:kern w:val="0"/>
          <w:sz w:val="32"/>
          <w:szCs w:val="32"/>
          <w:highlight w:val="none"/>
          <w:u w:val="none"/>
          <w:shd w:val="clear" w:color="auto" w:fill="FFFFFF"/>
          <w:lang w:val="en-US" w:eastAsia="zh-CN"/>
        </w:rPr>
        <w:t>持续推动“成渝地区双城经济圈”</w:t>
      </w:r>
      <w:r>
        <w:rPr>
          <w:rFonts w:hint="eastAsia" w:cs="Times New Roman"/>
          <w:color w:val="auto"/>
          <w:kern w:val="0"/>
          <w:sz w:val="32"/>
          <w:szCs w:val="32"/>
          <w:highlight w:val="none"/>
          <w:u w:val="none"/>
          <w:shd w:val="clear" w:color="auto" w:fill="FFFFFF"/>
          <w:lang w:val="en-US" w:eastAsia="zh-CN"/>
        </w:rPr>
        <w:t>建设</w:t>
      </w:r>
      <w:r>
        <w:rPr>
          <w:rFonts w:hint="default" w:ascii="Times New Roman" w:hAnsi="Times New Roman" w:cs="Times New Roman"/>
          <w:color w:val="auto"/>
          <w:kern w:val="0"/>
          <w:sz w:val="32"/>
          <w:szCs w:val="32"/>
          <w:highlight w:val="none"/>
          <w:u w:val="none"/>
          <w:shd w:val="clear" w:color="auto" w:fill="FFFFFF"/>
          <w:lang w:val="en-US" w:eastAsia="zh-CN"/>
        </w:rPr>
        <w:t>、“川渝万达开地区统筹发展”、“一带一路”、“一廊一带”建设，发挥政策性资本引领作用，更好地促进资源优势转化为经济效益、社会效益，形成强有力的区域发展综合竞争力。</w:t>
      </w:r>
    </w:p>
    <w:p w14:paraId="4CDA4526">
      <w:pPr>
        <w:keepNext w:val="0"/>
        <w:keepLines w:val="0"/>
        <w:pageBreakBefore w:val="0"/>
        <w:widowControl/>
        <w:numPr>
          <w:ilvl w:val="0"/>
          <w:numId w:val="9"/>
        </w:numPr>
        <w:kinsoku/>
        <w:wordWrap/>
        <w:overflowPunct/>
        <w:topLinePunct w:val="0"/>
        <w:autoSpaceDE/>
        <w:autoSpaceDN/>
        <w:bidi w:val="0"/>
        <w:adjustRightInd w:val="0"/>
        <w:snapToGrid w:val="0"/>
        <w:spacing w:line="578" w:lineRule="exact"/>
        <w:ind w:firstLine="643" w:firstLineChars="200"/>
        <w:contextualSpacing/>
        <w:jc w:val="left"/>
        <w:textAlignment w:val="auto"/>
        <w:rPr>
          <w:rFonts w:hint="default" w:ascii="Times New Roman" w:hAnsi="Times New Roman" w:eastAsia="楷体_GB2312" w:cs="Times New Roman"/>
          <w:b/>
          <w:color w:val="auto"/>
          <w:sz w:val="32"/>
          <w:szCs w:val="32"/>
          <w:highlight w:val="none"/>
          <w:u w:val="none"/>
          <w:lang w:val="zh-CN" w:eastAsia="zh-CN"/>
        </w:rPr>
      </w:pPr>
      <w:r>
        <w:rPr>
          <w:rFonts w:hint="default" w:ascii="Times New Roman" w:hAnsi="Times New Roman" w:eastAsia="楷体_GB2312" w:cs="Times New Roman"/>
          <w:b/>
          <w:color w:val="auto"/>
          <w:sz w:val="32"/>
          <w:szCs w:val="32"/>
          <w:highlight w:val="none"/>
          <w:u w:val="none"/>
          <w:lang w:val="en-US" w:eastAsia="zh-CN"/>
        </w:rPr>
        <w:t>预算安排及分配管理</w:t>
      </w:r>
    </w:p>
    <w:p w14:paraId="0FF33BA1">
      <w:pPr>
        <w:keepNext w:val="0"/>
        <w:keepLines w:val="0"/>
        <w:pageBreakBefore w:val="0"/>
        <w:widowControl/>
        <w:kinsoku/>
        <w:wordWrap/>
        <w:overflowPunct/>
        <w:topLinePunct w:val="0"/>
        <w:autoSpaceDE/>
        <w:autoSpaceDN/>
        <w:bidi w:val="0"/>
        <w:adjustRightInd w:val="0"/>
        <w:snapToGrid w:val="0"/>
        <w:spacing w:line="578" w:lineRule="exact"/>
        <w:ind w:firstLine="640" w:firstLineChars="200"/>
        <w:contextualSpacing/>
        <w:jc w:val="left"/>
        <w:textAlignment w:val="auto"/>
        <w:rPr>
          <w:rFonts w:hint="default" w:ascii="Times New Roman" w:hAnsi="Times New Roman" w:eastAsia="仿宋_GB2312" w:cs="Times New Roman"/>
          <w:lang w:val="en-US" w:eastAsia="zh-CN"/>
        </w:rPr>
      </w:pPr>
      <w:r>
        <w:rPr>
          <w:rFonts w:hint="eastAsia" w:ascii="仿宋_GB2312" w:hAnsi="仿宋_GB2312" w:cs="仿宋_GB2312"/>
          <w:kern w:val="0"/>
          <w:shd w:val="clear" w:color="auto" w:fill="FFFFFF"/>
          <w:lang w:val="zh-CN"/>
        </w:rPr>
        <w:t>本单位</w:t>
      </w:r>
      <w:r>
        <w:rPr>
          <w:rFonts w:hint="eastAsia" w:ascii="仿宋_GB2312" w:hAnsi="仿宋_GB2312" w:cs="仿宋_GB2312"/>
          <w:kern w:val="0"/>
          <w:shd w:val="clear" w:color="auto" w:fill="FFFFFF"/>
          <w:lang w:val="en-US" w:eastAsia="zh-CN"/>
        </w:rPr>
        <w:t>专项工作</w:t>
      </w:r>
      <w:r>
        <w:rPr>
          <w:rFonts w:hint="eastAsia" w:ascii="仿宋_GB2312" w:hAnsi="仿宋_GB2312" w:cs="仿宋_GB2312"/>
          <w:kern w:val="0"/>
          <w:shd w:val="clear" w:color="auto" w:fill="FFFFFF"/>
          <w:lang w:val="zh-CN"/>
        </w:rPr>
        <w:t>经费项目预算</w:t>
      </w:r>
      <w:r>
        <w:rPr>
          <w:rFonts w:hint="eastAsia" w:ascii="仿宋_GB2312" w:hAnsi="仿宋_GB2312" w:cs="仿宋_GB2312"/>
          <w:kern w:val="0"/>
          <w:shd w:val="clear" w:color="auto" w:fill="FFFFFF"/>
          <w:lang w:val="en-US" w:eastAsia="zh-CN"/>
        </w:rPr>
        <w:t>171</w:t>
      </w:r>
      <w:r>
        <w:rPr>
          <w:rFonts w:hint="eastAsia" w:ascii="仿宋_GB2312" w:hAnsi="仿宋_GB2312" w:cs="仿宋_GB2312"/>
          <w:kern w:val="0"/>
          <w:shd w:val="clear" w:color="auto" w:fill="FFFFFF"/>
          <w:lang w:val="zh-CN"/>
        </w:rPr>
        <w:t>万元，</w:t>
      </w:r>
      <w:r>
        <w:rPr>
          <w:rFonts w:hint="eastAsia" w:cs="Times New Roman"/>
          <w:color w:val="auto"/>
          <w:kern w:val="0"/>
          <w:sz w:val="32"/>
          <w:szCs w:val="32"/>
          <w:highlight w:val="none"/>
          <w:u w:val="none"/>
          <w:shd w:val="clear" w:color="auto" w:fill="FFFFFF"/>
          <w:lang w:val="en-US" w:eastAsia="zh-CN"/>
        </w:rPr>
        <w:t>资金立项申报依据为</w:t>
      </w:r>
      <w:r>
        <w:rPr>
          <w:rFonts w:hint="default" w:ascii="Times New Roman" w:hAnsi="Times New Roman" w:cs="Times New Roman"/>
          <w:color w:val="auto"/>
          <w:kern w:val="0"/>
          <w:sz w:val="32"/>
          <w:szCs w:val="32"/>
          <w:highlight w:val="none"/>
          <w:u w:val="none"/>
          <w:shd w:val="clear" w:color="auto" w:fill="FFFFFF"/>
          <w:lang w:val="en-US" w:eastAsia="zh-CN"/>
        </w:rPr>
        <w:t>202</w:t>
      </w:r>
      <w:r>
        <w:rPr>
          <w:rFonts w:hint="eastAsia" w:cs="Times New Roman"/>
          <w:color w:val="auto"/>
          <w:kern w:val="0"/>
          <w:sz w:val="32"/>
          <w:szCs w:val="32"/>
          <w:highlight w:val="none"/>
          <w:u w:val="none"/>
          <w:shd w:val="clear" w:color="auto" w:fill="FFFFFF"/>
          <w:lang w:val="en-US" w:eastAsia="zh-CN"/>
        </w:rPr>
        <w:t>4</w:t>
      </w:r>
      <w:r>
        <w:rPr>
          <w:rFonts w:hint="default" w:ascii="Times New Roman" w:hAnsi="Times New Roman" w:cs="Times New Roman"/>
          <w:color w:val="auto"/>
          <w:kern w:val="0"/>
          <w:sz w:val="32"/>
          <w:szCs w:val="32"/>
          <w:highlight w:val="none"/>
          <w:u w:val="none"/>
          <w:shd w:val="clear" w:color="auto" w:fill="FFFFFF"/>
          <w:lang w:val="en-US" w:eastAsia="zh-CN"/>
        </w:rPr>
        <w:t>年区合中心专项工作经费</w:t>
      </w:r>
      <w:r>
        <w:rPr>
          <w:rFonts w:hint="eastAsia" w:ascii="Times New Roman" w:hAnsi="Times New Roman" w:cs="Times New Roman"/>
          <w:color w:val="auto"/>
          <w:kern w:val="0"/>
          <w:sz w:val="32"/>
          <w:szCs w:val="32"/>
          <w:highlight w:val="none"/>
          <w:u w:val="none"/>
          <w:shd w:val="clear" w:color="auto" w:fill="FFFFFF"/>
          <w:lang w:val="en-US" w:eastAsia="zh-CN"/>
        </w:rPr>
        <w:t>（</w:t>
      </w:r>
      <w:r>
        <w:rPr>
          <w:rFonts w:hint="default" w:ascii="Times New Roman" w:hAnsi="Times New Roman" w:cs="Times New Roman"/>
          <w:color w:val="auto"/>
          <w:kern w:val="0"/>
          <w:sz w:val="32"/>
          <w:szCs w:val="32"/>
          <w:highlight w:val="none"/>
          <w:u w:val="none"/>
          <w:shd w:val="clear" w:color="auto" w:fill="FFFFFF"/>
          <w:lang w:val="en-US" w:eastAsia="zh-CN"/>
        </w:rPr>
        <w:t>渠财</w:t>
      </w:r>
      <w:r>
        <w:rPr>
          <w:rFonts w:hint="eastAsia" w:cs="Times New Roman"/>
          <w:color w:val="auto"/>
          <w:kern w:val="0"/>
          <w:sz w:val="32"/>
          <w:szCs w:val="32"/>
          <w:highlight w:val="none"/>
          <w:u w:val="none"/>
          <w:shd w:val="clear" w:color="auto" w:fill="FFFFFF"/>
          <w:lang w:val="en-US" w:eastAsia="zh-CN"/>
        </w:rPr>
        <w:t>预</w:t>
      </w:r>
      <w:r>
        <w:rPr>
          <w:rFonts w:hint="default" w:ascii="Times New Roman" w:hAnsi="Times New Roman" w:cs="Times New Roman"/>
          <w:color w:val="auto"/>
          <w:kern w:val="0"/>
          <w:sz w:val="32"/>
          <w:szCs w:val="32"/>
          <w:highlight w:val="none"/>
          <w:u w:val="none"/>
          <w:shd w:val="clear" w:color="auto" w:fill="FFFFFF"/>
          <w:lang w:val="en-US" w:eastAsia="zh-CN"/>
        </w:rPr>
        <w:t>〔202</w:t>
      </w:r>
      <w:r>
        <w:rPr>
          <w:rFonts w:hint="eastAsia" w:cs="Times New Roman"/>
          <w:color w:val="auto"/>
          <w:kern w:val="0"/>
          <w:sz w:val="32"/>
          <w:szCs w:val="32"/>
          <w:highlight w:val="none"/>
          <w:u w:val="none"/>
          <w:shd w:val="clear" w:color="auto" w:fill="FFFFFF"/>
          <w:lang w:val="en-US" w:eastAsia="zh-CN"/>
        </w:rPr>
        <w:t>4</w:t>
      </w:r>
      <w:r>
        <w:rPr>
          <w:rFonts w:hint="default" w:ascii="Times New Roman" w:hAnsi="Times New Roman" w:cs="Times New Roman"/>
          <w:color w:val="auto"/>
          <w:kern w:val="0"/>
          <w:sz w:val="32"/>
          <w:szCs w:val="32"/>
          <w:highlight w:val="none"/>
          <w:u w:val="none"/>
          <w:shd w:val="clear" w:color="auto" w:fill="FFFFFF"/>
          <w:lang w:val="en-US" w:eastAsia="zh-CN"/>
        </w:rPr>
        <w:t>〕</w:t>
      </w:r>
      <w:r>
        <w:rPr>
          <w:rFonts w:hint="eastAsia" w:cs="Times New Roman"/>
          <w:color w:val="auto"/>
          <w:kern w:val="0"/>
          <w:sz w:val="32"/>
          <w:szCs w:val="32"/>
          <w:highlight w:val="none"/>
          <w:u w:val="none"/>
          <w:shd w:val="clear" w:color="auto" w:fill="FFFFFF"/>
          <w:lang w:val="en-US" w:eastAsia="zh-CN"/>
        </w:rPr>
        <w:t>005</w:t>
      </w:r>
      <w:r>
        <w:rPr>
          <w:rFonts w:hint="default" w:ascii="Times New Roman" w:hAnsi="Times New Roman" w:cs="Times New Roman"/>
          <w:color w:val="auto"/>
          <w:kern w:val="0"/>
          <w:sz w:val="32"/>
          <w:szCs w:val="32"/>
          <w:highlight w:val="none"/>
          <w:u w:val="none"/>
          <w:shd w:val="clear" w:color="auto" w:fill="FFFFFF"/>
          <w:lang w:val="en-US" w:eastAsia="zh-CN"/>
        </w:rPr>
        <w:t>号</w:t>
      </w:r>
      <w:r>
        <w:rPr>
          <w:rFonts w:hint="eastAsia" w:ascii="Times New Roman" w:hAnsi="Times New Roman" w:cs="Times New Roman"/>
          <w:color w:val="auto"/>
          <w:kern w:val="0"/>
          <w:sz w:val="32"/>
          <w:szCs w:val="32"/>
          <w:highlight w:val="none"/>
          <w:u w:val="none"/>
          <w:shd w:val="clear" w:color="auto" w:fill="FFFFFF"/>
          <w:lang w:val="en-US" w:eastAsia="zh-CN"/>
        </w:rPr>
        <w:t>）</w:t>
      </w:r>
      <w:r>
        <w:rPr>
          <w:rFonts w:hint="eastAsia" w:cs="Times New Roman"/>
          <w:color w:val="auto"/>
          <w:kern w:val="0"/>
          <w:sz w:val="32"/>
          <w:szCs w:val="32"/>
          <w:highlight w:val="none"/>
          <w:u w:val="none"/>
          <w:shd w:val="clear" w:color="auto" w:fill="FFFFFF"/>
          <w:lang w:val="en-US" w:eastAsia="zh-CN"/>
        </w:rPr>
        <w:t>，资金</w:t>
      </w:r>
      <w:r>
        <w:rPr>
          <w:rFonts w:hint="default" w:ascii="Times New Roman" w:hAnsi="Times New Roman" w:cs="Times New Roman"/>
          <w:color w:val="auto"/>
          <w:kern w:val="0"/>
          <w:sz w:val="32"/>
          <w:szCs w:val="32"/>
          <w:highlight w:val="none"/>
          <w:u w:val="none"/>
          <w:shd w:val="clear" w:color="auto" w:fill="FFFFFF"/>
          <w:lang w:val="en-US" w:eastAsia="zh-CN"/>
        </w:rPr>
        <w:t>由财政全额拨款</w:t>
      </w:r>
      <w:r>
        <w:rPr>
          <w:rFonts w:hint="eastAsia" w:cs="Times New Roman"/>
          <w:color w:val="auto"/>
          <w:kern w:val="0"/>
          <w:sz w:val="32"/>
          <w:szCs w:val="32"/>
          <w:highlight w:val="none"/>
          <w:u w:val="none"/>
          <w:shd w:val="clear" w:color="auto" w:fill="FFFFFF"/>
          <w:lang w:val="en-US" w:eastAsia="zh-CN"/>
        </w:rPr>
        <w:t>下达。</w:t>
      </w:r>
    </w:p>
    <w:p w14:paraId="1A9B530A">
      <w:pPr>
        <w:keepNext w:val="0"/>
        <w:keepLines w:val="0"/>
        <w:pageBreakBefore w:val="0"/>
        <w:numPr>
          <w:ilvl w:val="0"/>
          <w:numId w:val="9"/>
        </w:numPr>
        <w:kinsoku/>
        <w:wordWrap/>
        <w:overflowPunct/>
        <w:topLinePunct w:val="0"/>
        <w:autoSpaceDE/>
        <w:autoSpaceDN/>
        <w:bidi w:val="0"/>
        <w:adjustRightInd w:val="0"/>
        <w:snapToGrid w:val="0"/>
        <w:spacing w:line="578" w:lineRule="exact"/>
        <w:ind w:left="0" w:leftChars="0" w:firstLine="643" w:firstLineChars="200"/>
        <w:textAlignment w:val="auto"/>
        <w:rPr>
          <w:rFonts w:hint="default" w:ascii="Times New Roman" w:hAnsi="Times New Roman" w:eastAsia="楷体_GB2312" w:cs="Times New Roman"/>
          <w:b/>
          <w:color w:val="auto"/>
          <w:sz w:val="32"/>
          <w:szCs w:val="32"/>
          <w:highlight w:val="none"/>
          <w:u w:val="none"/>
          <w:lang w:val="zh-CN" w:eastAsia="zh-CN"/>
        </w:rPr>
      </w:pPr>
      <w:r>
        <w:rPr>
          <w:rFonts w:hint="default" w:ascii="Times New Roman" w:hAnsi="Times New Roman" w:eastAsia="楷体_GB2312" w:cs="Times New Roman"/>
          <w:b/>
          <w:color w:val="auto"/>
          <w:sz w:val="32"/>
          <w:szCs w:val="32"/>
          <w:highlight w:val="none"/>
          <w:u w:val="none"/>
          <w:lang w:val="zh-CN" w:eastAsia="zh-CN"/>
        </w:rPr>
        <w:t>项目绩效目标设置</w:t>
      </w:r>
    </w:p>
    <w:p w14:paraId="08DA3552">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ascii="仿宋_GB2312" w:hAnsi="仿宋_GB2312" w:cs="仿宋_GB2312"/>
          <w:kern w:val="0"/>
          <w:shd w:val="clear" w:color="auto" w:fill="FFFFFF"/>
          <w:lang w:val="zh-CN"/>
        </w:rPr>
      </w:pPr>
      <w:r>
        <w:rPr>
          <w:rFonts w:hint="eastAsia" w:ascii="仿宋_GB2312" w:hAnsi="仿宋_GB2312" w:cs="仿宋_GB2312"/>
          <w:kern w:val="0"/>
          <w:shd w:val="clear" w:color="auto" w:fill="FFFFFF"/>
          <w:lang w:val="zh-CN"/>
        </w:rPr>
        <w:t>项目年度目标：</w:t>
      </w:r>
      <w:r>
        <w:rPr>
          <w:rFonts w:hint="eastAsia" w:ascii="仿宋_GB2312" w:hAnsi="仿宋_GB2312" w:cs="仿宋_GB2312"/>
          <w:kern w:val="0"/>
          <w:shd w:val="clear" w:color="auto" w:fill="FFFFFF"/>
          <w:lang w:val="en-US" w:eastAsia="zh-CN"/>
        </w:rPr>
        <w:t>专项</w:t>
      </w:r>
      <w:r>
        <w:rPr>
          <w:rFonts w:hint="eastAsia" w:ascii="仿宋_GB2312" w:hAnsi="仿宋_GB2312" w:cs="仿宋_GB2312"/>
          <w:kern w:val="0"/>
          <w:shd w:val="clear" w:color="auto" w:fill="FFFFFF"/>
          <w:lang w:val="zh-CN"/>
        </w:rPr>
        <w:t>工作经费。</w:t>
      </w:r>
    </w:p>
    <w:p w14:paraId="538F8EB7">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ascii="仿宋_GB2312" w:hAnsi="仿宋_GB2312" w:cs="仿宋_GB2312"/>
          <w:kern w:val="0"/>
          <w:shd w:val="clear" w:color="auto" w:fill="FFFFFF"/>
          <w:lang w:val="zh-CN"/>
        </w:rPr>
      </w:pPr>
      <w:r>
        <w:rPr>
          <w:rFonts w:hint="eastAsia" w:ascii="仿宋_GB2312" w:hAnsi="仿宋_GB2312" w:cs="仿宋_GB2312"/>
          <w:kern w:val="0"/>
          <w:shd w:val="clear" w:color="auto" w:fill="FFFFFF"/>
          <w:lang w:val="zh-CN"/>
        </w:rPr>
        <w:t>项目具体绩效目标：本项目共设置</w:t>
      </w:r>
      <w:r>
        <w:rPr>
          <w:rFonts w:hint="eastAsia" w:ascii="仿宋_GB2312" w:hAnsi="仿宋_GB2312" w:cs="仿宋_GB2312"/>
          <w:kern w:val="0"/>
          <w:shd w:val="clear" w:color="auto" w:fill="FFFFFF"/>
          <w:lang w:val="en-US" w:eastAsia="zh-CN"/>
        </w:rPr>
        <w:t>9</w:t>
      </w:r>
      <w:r>
        <w:rPr>
          <w:rFonts w:hint="eastAsia" w:ascii="仿宋_GB2312" w:hAnsi="仿宋_GB2312" w:cs="仿宋_GB2312"/>
          <w:kern w:val="0"/>
          <w:shd w:val="clear" w:color="auto" w:fill="FFFFFF"/>
          <w:lang w:val="zh-CN"/>
        </w:rPr>
        <w:t>个三级指标。具体如下：数量指标：</w:t>
      </w:r>
      <w:r>
        <w:rPr>
          <w:rFonts w:hint="eastAsia" w:ascii="仿宋_GB2312" w:hAnsi="仿宋_GB2312" w:cs="仿宋_GB2312"/>
          <w:kern w:val="0"/>
          <w:shd w:val="clear" w:color="auto" w:fill="FFFFFF"/>
          <w:lang w:val="en-US" w:eastAsia="zh-CN"/>
        </w:rPr>
        <w:t>业务培训次数</w:t>
      </w:r>
      <w:r>
        <w:rPr>
          <w:rFonts w:hint="eastAsia" w:ascii="仿宋_GB2312" w:hAnsi="仿宋_GB2312" w:cs="仿宋_GB2312"/>
          <w:kern w:val="0"/>
          <w:shd w:val="clear" w:color="auto" w:fill="FFFFFF"/>
          <w:lang w:val="zh-CN"/>
        </w:rPr>
        <w:t>≥</w:t>
      </w:r>
      <w:r>
        <w:rPr>
          <w:rFonts w:hint="eastAsia" w:ascii="仿宋_GB2312" w:hAnsi="仿宋_GB2312" w:cs="仿宋_GB2312"/>
          <w:kern w:val="0"/>
          <w:shd w:val="clear" w:color="auto" w:fill="FFFFFF"/>
          <w:lang w:val="en-US" w:eastAsia="zh-CN"/>
        </w:rPr>
        <w:t>10次，考察调研次数≥50</w:t>
      </w:r>
      <w:r>
        <w:rPr>
          <w:rFonts w:hint="eastAsia" w:ascii="仿宋_GB2312" w:hAnsi="仿宋_GB2312" w:cs="仿宋_GB2312"/>
          <w:kern w:val="0"/>
          <w:shd w:val="clear" w:color="auto" w:fill="FFFFFF"/>
          <w:lang w:val="zh-CN"/>
        </w:rPr>
        <w:t>，质量指标：</w:t>
      </w:r>
      <w:r>
        <w:rPr>
          <w:rFonts w:hint="eastAsia" w:ascii="仿宋_GB2312" w:hAnsi="仿宋_GB2312" w:cs="仿宋_GB2312"/>
          <w:kern w:val="0"/>
          <w:shd w:val="clear" w:color="auto" w:fill="FFFFFF"/>
          <w:lang w:val="en-US" w:eastAsia="zh-CN"/>
        </w:rPr>
        <w:t>业务培训合格</w:t>
      </w:r>
      <w:r>
        <w:rPr>
          <w:rFonts w:hint="eastAsia" w:ascii="仿宋_GB2312" w:hAnsi="仿宋_GB2312" w:cs="仿宋_GB2312"/>
          <w:kern w:val="0"/>
          <w:shd w:val="clear" w:color="auto" w:fill="FFFFFF"/>
          <w:lang w:val="zh-CN"/>
        </w:rPr>
        <w:t>率</w:t>
      </w:r>
      <w:r>
        <w:rPr>
          <w:rFonts w:hint="eastAsia" w:ascii="仿宋_GB2312" w:hAnsi="仿宋_GB2312" w:cs="仿宋_GB2312"/>
          <w:kern w:val="0"/>
          <w:shd w:val="clear" w:color="auto" w:fill="FFFFFF"/>
          <w:lang w:val="en-US" w:eastAsia="zh-CN"/>
        </w:rPr>
        <w:t>=</w:t>
      </w:r>
      <w:r>
        <w:rPr>
          <w:rFonts w:hint="eastAsia" w:ascii="仿宋_GB2312" w:hAnsi="仿宋_GB2312" w:cs="仿宋_GB2312"/>
          <w:kern w:val="0"/>
          <w:shd w:val="clear" w:color="auto" w:fill="FFFFFF"/>
          <w:lang w:val="zh-CN"/>
        </w:rPr>
        <w:t>100%，</w:t>
      </w:r>
      <w:r>
        <w:rPr>
          <w:rFonts w:hint="eastAsia" w:ascii="仿宋_GB2312" w:hAnsi="仿宋_GB2312" w:cs="仿宋_GB2312"/>
          <w:kern w:val="0"/>
          <w:shd w:val="clear" w:color="auto" w:fill="FFFFFF"/>
          <w:lang w:val="en-US" w:eastAsia="zh-CN"/>
        </w:rPr>
        <w:t>考察企业达标率≥60%，</w:t>
      </w:r>
      <w:r>
        <w:rPr>
          <w:rFonts w:hint="eastAsia" w:ascii="仿宋_GB2312" w:hAnsi="仿宋_GB2312" w:cs="仿宋_GB2312"/>
          <w:kern w:val="0"/>
          <w:shd w:val="clear" w:color="auto" w:fill="FFFFFF"/>
          <w:lang w:val="zh-CN"/>
        </w:rPr>
        <w:t>时效指标：</w:t>
      </w:r>
      <w:r>
        <w:rPr>
          <w:rFonts w:hint="eastAsia" w:ascii="仿宋_GB2312" w:hAnsi="仿宋_GB2312" w:cs="仿宋_GB2312"/>
          <w:kern w:val="0"/>
          <w:shd w:val="clear" w:color="auto" w:fill="FFFFFF"/>
          <w:lang w:val="en-US" w:eastAsia="zh-CN"/>
        </w:rPr>
        <w:t>服务企业时限达标率≥</w:t>
      </w:r>
      <w:r>
        <w:rPr>
          <w:rFonts w:hint="eastAsia" w:ascii="仿宋_GB2312" w:hAnsi="仿宋_GB2312" w:cs="仿宋_GB2312"/>
          <w:kern w:val="0"/>
          <w:shd w:val="clear" w:color="auto" w:fill="FFFFFF"/>
          <w:lang w:val="zh-CN"/>
        </w:rPr>
        <w:t>100%，</w:t>
      </w:r>
      <w:r>
        <w:rPr>
          <w:rFonts w:hint="eastAsia" w:ascii="仿宋_GB2312" w:hAnsi="仿宋_GB2312" w:cs="仿宋_GB2312"/>
          <w:kern w:val="0"/>
          <w:shd w:val="clear" w:color="auto" w:fill="FFFFFF"/>
          <w:lang w:val="en-US" w:eastAsia="zh-CN"/>
        </w:rPr>
        <w:t>经济</w:t>
      </w:r>
      <w:r>
        <w:rPr>
          <w:rFonts w:hint="eastAsia" w:ascii="仿宋_GB2312" w:hAnsi="仿宋_GB2312" w:cs="仿宋_GB2312"/>
          <w:kern w:val="0"/>
          <w:shd w:val="clear" w:color="auto" w:fill="FFFFFF"/>
          <w:lang w:val="zh-CN"/>
        </w:rPr>
        <w:t>效益指标：</w:t>
      </w:r>
      <w:r>
        <w:rPr>
          <w:rFonts w:hint="eastAsia" w:ascii="仿宋_GB2312" w:hAnsi="仿宋_GB2312" w:cs="仿宋_GB2312"/>
          <w:kern w:val="0"/>
          <w:shd w:val="clear" w:color="auto" w:fill="FFFFFF"/>
          <w:lang w:val="en-US" w:eastAsia="zh-CN"/>
        </w:rPr>
        <w:t>县域经济增长贡献率</w:t>
      </w:r>
      <w:r>
        <w:rPr>
          <w:rFonts w:hint="eastAsia" w:ascii="仿宋_GB2312" w:hAnsi="仿宋_GB2312" w:cs="仿宋_GB2312"/>
          <w:kern w:val="0"/>
          <w:shd w:val="clear" w:color="auto" w:fill="FFFFFF"/>
          <w:lang w:val="zh-CN"/>
        </w:rPr>
        <w:t>≥</w:t>
      </w:r>
      <w:r>
        <w:rPr>
          <w:rFonts w:hint="eastAsia" w:ascii="仿宋_GB2312" w:hAnsi="仿宋_GB2312" w:cs="仿宋_GB2312"/>
          <w:kern w:val="0"/>
          <w:shd w:val="clear" w:color="auto" w:fill="FFFFFF"/>
          <w:lang w:val="en-US" w:eastAsia="zh-CN"/>
        </w:rPr>
        <w:t>0.1%</w:t>
      </w:r>
      <w:r>
        <w:rPr>
          <w:rFonts w:hint="eastAsia" w:ascii="仿宋_GB2312" w:hAnsi="仿宋_GB2312" w:cs="仿宋_GB2312"/>
          <w:kern w:val="0"/>
          <w:shd w:val="clear" w:color="auto" w:fill="FFFFFF"/>
          <w:lang w:val="zh-CN"/>
        </w:rPr>
        <w:t>，满意度指标：</w:t>
      </w:r>
      <w:r>
        <w:rPr>
          <w:rFonts w:hint="eastAsia" w:ascii="仿宋_GB2312" w:hAnsi="仿宋_GB2312" w:cs="仿宋_GB2312"/>
          <w:kern w:val="0"/>
          <w:shd w:val="clear" w:color="auto" w:fill="FFFFFF"/>
          <w:lang w:val="en-US" w:eastAsia="zh-CN"/>
        </w:rPr>
        <w:t>企业满意度</w:t>
      </w:r>
      <w:r>
        <w:rPr>
          <w:rFonts w:hint="eastAsia" w:ascii="仿宋_GB2312" w:hAnsi="仿宋_GB2312" w:cs="仿宋_GB2312"/>
          <w:kern w:val="0"/>
          <w:shd w:val="clear" w:color="auto" w:fill="FFFFFF"/>
          <w:lang w:val="zh-CN"/>
        </w:rPr>
        <w:t>≥</w:t>
      </w:r>
      <w:r>
        <w:rPr>
          <w:rFonts w:hint="eastAsia" w:ascii="仿宋_GB2312" w:hAnsi="仿宋_GB2312" w:cs="仿宋_GB2312"/>
          <w:kern w:val="0"/>
          <w:shd w:val="clear" w:color="auto" w:fill="FFFFFF"/>
          <w:lang w:val="en-US" w:eastAsia="zh-CN"/>
        </w:rPr>
        <w:t>90%，</w:t>
      </w:r>
      <w:r>
        <w:rPr>
          <w:rFonts w:hint="eastAsia" w:ascii="仿宋_GB2312" w:hAnsi="仿宋_GB2312" w:cs="仿宋_GB2312"/>
          <w:kern w:val="0"/>
          <w:shd w:val="clear" w:color="auto" w:fill="FFFFFF"/>
          <w:lang w:val="zh-CN"/>
        </w:rPr>
        <w:t>经济成本指标：项目成本</w:t>
      </w:r>
      <w:r>
        <w:rPr>
          <w:rFonts w:hint="eastAsia" w:ascii="Arial" w:hAnsi="Arial" w:cs="Arial"/>
          <w:kern w:val="0"/>
          <w:shd w:val="clear" w:color="auto" w:fill="FFFFFF"/>
          <w:lang w:val="en-US" w:eastAsia="zh-CN"/>
        </w:rPr>
        <w:t>≤</w:t>
      </w:r>
      <w:r>
        <w:rPr>
          <w:rFonts w:hint="eastAsia" w:ascii="仿宋_GB2312" w:hAnsi="仿宋_GB2312" w:cs="仿宋_GB2312"/>
          <w:kern w:val="0"/>
          <w:shd w:val="clear" w:color="auto" w:fill="FFFFFF"/>
          <w:lang w:val="en-US" w:eastAsia="zh-CN"/>
        </w:rPr>
        <w:t>171</w:t>
      </w:r>
      <w:r>
        <w:rPr>
          <w:rFonts w:hint="eastAsia" w:ascii="仿宋_GB2312" w:hAnsi="仿宋_GB2312" w:cs="仿宋_GB2312"/>
          <w:kern w:val="0"/>
          <w:shd w:val="clear" w:color="auto" w:fill="FFFFFF"/>
          <w:lang w:val="zh-CN"/>
        </w:rPr>
        <w:t>万。</w:t>
      </w:r>
    </w:p>
    <w:p w14:paraId="42C43A65">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outlineLvl w:val="9"/>
        <w:rPr>
          <w:rFonts w:hint="eastAsia" w:ascii="仿宋_GB2312" w:hAnsi="仿宋_GB2312" w:cs="仿宋_GB2312"/>
          <w:kern w:val="0"/>
          <w:shd w:val="clear" w:color="auto" w:fill="FFFFFF"/>
          <w:lang w:val="zh-CN"/>
        </w:rPr>
      </w:pPr>
      <w:r>
        <w:rPr>
          <w:rFonts w:hint="eastAsia" w:ascii="仿宋_GB2312" w:hAnsi="仿宋_GB2312" w:cs="仿宋_GB2312"/>
          <w:kern w:val="0"/>
          <w:shd w:val="clear" w:color="auto" w:fill="FFFFFF"/>
          <w:lang w:val="zh-CN"/>
        </w:rPr>
        <w:t>项目自评工作开展情况。根据《渠县财政局关于开展202</w:t>
      </w:r>
      <w:r>
        <w:rPr>
          <w:rFonts w:hint="eastAsia" w:ascii="仿宋_GB2312" w:hAnsi="仿宋_GB2312" w:cs="仿宋_GB2312"/>
          <w:kern w:val="0"/>
          <w:shd w:val="clear" w:color="auto" w:fill="FFFFFF"/>
          <w:lang w:val="en-US" w:eastAsia="zh-CN"/>
        </w:rPr>
        <w:t>5</w:t>
      </w:r>
      <w:r>
        <w:rPr>
          <w:rFonts w:hint="eastAsia" w:ascii="仿宋_GB2312" w:hAnsi="仿宋_GB2312" w:cs="仿宋_GB2312"/>
          <w:kern w:val="0"/>
          <w:shd w:val="clear" w:color="auto" w:fill="FFFFFF"/>
          <w:lang w:val="zh-CN"/>
        </w:rPr>
        <w:t>年县级部门绩效自评工作的通知》（渠财绩〔202</w:t>
      </w:r>
      <w:r>
        <w:rPr>
          <w:rFonts w:hint="eastAsia" w:ascii="仿宋_GB2312" w:hAnsi="仿宋_GB2312" w:cs="仿宋_GB2312"/>
          <w:kern w:val="0"/>
          <w:shd w:val="clear" w:color="auto" w:fill="FFFFFF"/>
          <w:lang w:val="en-US" w:eastAsia="zh-CN"/>
        </w:rPr>
        <w:t>5</w:t>
      </w:r>
      <w:r>
        <w:rPr>
          <w:rFonts w:hint="eastAsia" w:ascii="仿宋_GB2312" w:hAnsi="仿宋_GB2312" w:cs="仿宋_GB2312"/>
          <w:kern w:val="0"/>
          <w:shd w:val="clear" w:color="auto" w:fill="FFFFFF"/>
          <w:lang w:val="zh-CN"/>
        </w:rPr>
        <w:t>〕</w:t>
      </w:r>
      <w:r>
        <w:rPr>
          <w:rFonts w:hint="eastAsia" w:ascii="仿宋_GB2312" w:hAnsi="仿宋_GB2312" w:cs="仿宋_GB2312"/>
          <w:kern w:val="0"/>
          <w:shd w:val="clear" w:color="auto" w:fill="FFFFFF"/>
          <w:lang w:val="en-US" w:eastAsia="zh-CN"/>
        </w:rPr>
        <w:t>5</w:t>
      </w:r>
      <w:r>
        <w:rPr>
          <w:rFonts w:hint="eastAsia" w:ascii="仿宋_GB2312" w:hAnsi="仿宋_GB2312" w:cs="仿宋_GB2312"/>
          <w:kern w:val="0"/>
          <w:shd w:val="clear" w:color="auto" w:fill="FFFFFF"/>
          <w:lang w:val="zh-CN"/>
        </w:rPr>
        <w:t>号）要求，本单位对</w:t>
      </w:r>
      <w:r>
        <w:rPr>
          <w:rFonts w:hint="eastAsia" w:ascii="仿宋_GB2312" w:hAnsi="仿宋_GB2312" w:cs="仿宋_GB2312"/>
          <w:kern w:val="0"/>
          <w:shd w:val="clear" w:color="auto" w:fill="FFFFFF"/>
          <w:lang w:val="en-US" w:eastAsia="zh-CN"/>
        </w:rPr>
        <w:t>本中心专项工作</w:t>
      </w:r>
      <w:r>
        <w:rPr>
          <w:rFonts w:hint="eastAsia" w:ascii="仿宋_GB2312" w:hAnsi="仿宋_GB2312" w:cs="仿宋_GB2312"/>
          <w:kern w:val="0"/>
          <w:shd w:val="clear" w:color="auto" w:fill="FFFFFF"/>
          <w:lang w:val="zh-CN"/>
        </w:rPr>
        <w:t>经费项目开展了绩效自评，按照项目完成情况填列了《专项预算项目绩效目标完成情况自评表》，同时根据专项预算项目绩效评价指标体系选择适用的评价指标，形成项目的绩效评价指标体系，根据评价要点和评分方法，对项目绩效实现情况进行打分，形成评价结论，</w:t>
      </w:r>
      <w:r>
        <w:rPr>
          <w:rFonts w:hint="eastAsia" w:ascii="仿宋_GB2312" w:hAnsi="仿宋_GB2312" w:cs="仿宋_GB2312"/>
          <w:kern w:val="0"/>
          <w:shd w:val="clear" w:color="auto" w:fill="FFFFFF"/>
          <w:lang w:val="en-US" w:eastAsia="zh-CN"/>
        </w:rPr>
        <w:t>分析发现问题给出改进措施，</w:t>
      </w:r>
      <w:r>
        <w:rPr>
          <w:rFonts w:hint="eastAsia" w:ascii="仿宋_GB2312" w:hAnsi="仿宋_GB2312" w:cs="仿宋_GB2312"/>
          <w:kern w:val="0"/>
          <w:shd w:val="clear" w:color="auto" w:fill="FFFFFF"/>
          <w:lang w:val="zh-CN"/>
        </w:rPr>
        <w:t>撰写</w:t>
      </w:r>
      <w:r>
        <w:rPr>
          <w:rFonts w:hint="eastAsia" w:ascii="仿宋_GB2312" w:hAnsi="仿宋_GB2312" w:cs="仿宋_GB2312"/>
          <w:kern w:val="0"/>
          <w:shd w:val="clear" w:color="auto" w:fill="FFFFFF"/>
          <w:lang w:val="en-US" w:eastAsia="zh-CN"/>
        </w:rPr>
        <w:t>形成</w:t>
      </w:r>
      <w:r>
        <w:rPr>
          <w:rFonts w:hint="eastAsia" w:ascii="仿宋_GB2312" w:hAnsi="仿宋_GB2312" w:cs="仿宋_GB2312"/>
          <w:kern w:val="0"/>
          <w:shd w:val="clear" w:color="auto" w:fill="FFFFFF"/>
          <w:lang w:val="zh-CN"/>
        </w:rPr>
        <w:t>专项预算项目绩效自评报告。</w:t>
      </w:r>
    </w:p>
    <w:p w14:paraId="7757DA0C">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outlineLvl w:val="9"/>
        <w:rPr>
          <w:rFonts w:hint="default" w:ascii="Times New Roman" w:hAnsi="Times New Roman" w:eastAsia="黑体" w:cs="Times New Roman"/>
          <w:highlight w:val="none"/>
          <w:lang w:eastAsia="zh-CN"/>
        </w:rPr>
      </w:pPr>
      <w:r>
        <w:rPr>
          <w:rFonts w:hint="default" w:ascii="Times New Roman" w:hAnsi="Times New Roman" w:eastAsia="黑体" w:cs="Times New Roman"/>
          <w:highlight w:val="none"/>
        </w:rPr>
        <w:t>二、</w:t>
      </w:r>
      <w:r>
        <w:rPr>
          <w:rFonts w:hint="default" w:ascii="Times New Roman" w:hAnsi="Times New Roman" w:eastAsia="黑体" w:cs="Times New Roman"/>
          <w:highlight w:val="none"/>
          <w:lang w:eastAsia="zh-CN"/>
        </w:rPr>
        <w:t>评价实施</w:t>
      </w:r>
    </w:p>
    <w:p w14:paraId="3B3DBFA2">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default" w:ascii="Times New Roman" w:hAnsi="Times New Roman" w:eastAsia="楷体_GB2312" w:cs="Times New Roman"/>
          <w:b/>
          <w:color w:val="auto"/>
          <w:sz w:val="32"/>
          <w:szCs w:val="32"/>
          <w:highlight w:val="none"/>
          <w:u w:val="none"/>
          <w:lang w:val="zh-CN"/>
        </w:rPr>
      </w:pPr>
      <w:r>
        <w:rPr>
          <w:rFonts w:hint="default" w:ascii="Times New Roman" w:hAnsi="Times New Roman" w:eastAsia="楷体_GB2312" w:cs="Times New Roman"/>
          <w:b/>
          <w:color w:val="auto"/>
          <w:sz w:val="32"/>
          <w:szCs w:val="32"/>
          <w:highlight w:val="none"/>
          <w:u w:val="none"/>
          <w:lang w:val="zh-CN"/>
        </w:rPr>
        <w:t>（一）评价目的</w:t>
      </w:r>
    </w:p>
    <w:p w14:paraId="5F3597AE">
      <w:pPr>
        <w:pStyle w:val="3"/>
        <w:keepNext w:val="0"/>
        <w:keepLines w:val="0"/>
        <w:pageBreakBefore w:val="0"/>
        <w:kinsoku/>
        <w:wordWrap/>
        <w:overflowPunct/>
        <w:topLinePunct w:val="0"/>
        <w:autoSpaceDE/>
        <w:autoSpaceDN/>
        <w:bidi w:val="0"/>
        <w:spacing w:line="578" w:lineRule="exact"/>
        <w:ind w:left="0" w:leftChars="0" w:firstLine="640" w:firstLineChars="200"/>
        <w:textAlignment w:val="auto"/>
        <w:rPr>
          <w:rFonts w:hint="default" w:ascii="Times New Roman" w:hAnsi="Times New Roman" w:eastAsia="仿宋_GB2312" w:cs="Times New Roman"/>
          <w:lang w:val="en-US" w:eastAsia="zh-CN"/>
        </w:rPr>
      </w:pPr>
      <w:r>
        <w:rPr>
          <w:rFonts w:hint="default" w:ascii="Times New Roman" w:hAnsi="Times New Roman" w:eastAsia="仿宋_GB2312" w:cs="Times New Roman"/>
          <w:szCs w:val="32"/>
        </w:rPr>
        <w:t>通过</w:t>
      </w:r>
      <w:r>
        <w:rPr>
          <w:rFonts w:hint="default" w:ascii="Times New Roman" w:hAnsi="Times New Roman" w:cs="Times New Roman"/>
          <w:szCs w:val="32"/>
          <w:lang w:eastAsia="zh-CN"/>
        </w:rPr>
        <w:t>项目</w:t>
      </w:r>
      <w:r>
        <w:rPr>
          <w:rFonts w:hint="default" w:ascii="Times New Roman" w:hAnsi="Times New Roman" w:eastAsia="仿宋_GB2312" w:cs="Times New Roman"/>
          <w:szCs w:val="32"/>
        </w:rPr>
        <w:t>绩效</w:t>
      </w:r>
      <w:r>
        <w:rPr>
          <w:rFonts w:hint="default" w:ascii="Times New Roman" w:hAnsi="Times New Roman" w:cs="Times New Roman"/>
          <w:szCs w:val="32"/>
          <w:lang w:eastAsia="zh-CN"/>
        </w:rPr>
        <w:t>自评</w:t>
      </w:r>
      <w:r>
        <w:rPr>
          <w:rFonts w:hint="eastAsia" w:cs="Times New Roman"/>
          <w:szCs w:val="32"/>
          <w:lang w:val="en-US" w:eastAsia="zh-CN"/>
        </w:rPr>
        <w:t>了解资金具体使用情况，是否按照预期规划进行资金分配，是否达到预期效果，实现预期价值，分析发现存在的问题和不足，及时更正，保障资金效益。</w:t>
      </w:r>
    </w:p>
    <w:p w14:paraId="3E7C38E7">
      <w:pPr>
        <w:keepNext w:val="0"/>
        <w:keepLines w:val="0"/>
        <w:pageBreakBefore w:val="0"/>
        <w:widowControl w:val="0"/>
        <w:numPr>
          <w:ilvl w:val="0"/>
          <w:numId w:val="10"/>
        </w:numPr>
        <w:kinsoku/>
        <w:wordWrap/>
        <w:overflowPunct/>
        <w:topLinePunct w:val="0"/>
        <w:autoSpaceDE/>
        <w:autoSpaceDN/>
        <w:bidi w:val="0"/>
        <w:adjustRightInd w:val="0"/>
        <w:snapToGrid w:val="0"/>
        <w:spacing w:line="578" w:lineRule="exact"/>
        <w:ind w:firstLine="643" w:firstLineChars="200"/>
        <w:textAlignment w:val="auto"/>
        <w:outlineLvl w:val="9"/>
        <w:rPr>
          <w:rFonts w:hint="default" w:ascii="Times New Roman" w:hAnsi="Times New Roman" w:eastAsia="楷体_GB2312" w:cs="Times New Roman"/>
          <w:b/>
          <w:color w:val="auto"/>
          <w:sz w:val="32"/>
          <w:szCs w:val="32"/>
          <w:highlight w:val="none"/>
          <w:u w:val="none"/>
          <w:lang w:val="zh-CN"/>
        </w:rPr>
      </w:pPr>
      <w:r>
        <w:rPr>
          <w:rFonts w:hint="default" w:ascii="Times New Roman" w:hAnsi="Times New Roman" w:eastAsia="楷体_GB2312" w:cs="Times New Roman"/>
          <w:b/>
          <w:color w:val="auto"/>
          <w:sz w:val="32"/>
          <w:szCs w:val="32"/>
          <w:highlight w:val="none"/>
          <w:u w:val="none"/>
          <w:lang w:val="zh-CN"/>
        </w:rPr>
        <w:t>预设问题及评价重点</w:t>
      </w:r>
    </w:p>
    <w:p w14:paraId="15857F4D">
      <w:pPr>
        <w:pStyle w:val="3"/>
        <w:keepNext w:val="0"/>
        <w:keepLines w:val="0"/>
        <w:pageBreakBefore w:val="0"/>
        <w:kinsoku/>
        <w:wordWrap/>
        <w:overflowPunct/>
        <w:topLinePunct w:val="0"/>
        <w:autoSpaceDE/>
        <w:autoSpaceDN/>
        <w:bidi w:val="0"/>
        <w:spacing w:line="578" w:lineRule="exact"/>
        <w:ind w:left="0" w:leftChars="0" w:firstLine="640" w:firstLineChars="200"/>
        <w:textAlignment w:val="auto"/>
        <w:rPr>
          <w:rFonts w:hint="eastAsia" w:ascii="Times New Roman" w:hAnsi="Times New Roman" w:eastAsia="仿宋_GB2312" w:cs="Times New Roman"/>
          <w:szCs w:val="32"/>
          <w:lang w:val="en-US" w:eastAsia="zh-CN"/>
        </w:rPr>
      </w:pPr>
      <w:r>
        <w:rPr>
          <w:rFonts w:hint="eastAsia" w:ascii="Times New Roman" w:cs="Times New Roman"/>
          <w:szCs w:val="32"/>
          <w:lang w:val="en-US" w:eastAsia="zh-CN"/>
        </w:rPr>
        <w:t>专项工作经费</w:t>
      </w:r>
      <w:r>
        <w:rPr>
          <w:rFonts w:hint="default" w:ascii="Times New Roman" w:hAnsi="Times New Roman" w:cs="Times New Roman"/>
          <w:szCs w:val="32"/>
          <w:lang w:val="en-US" w:eastAsia="zh-CN"/>
        </w:rPr>
        <w:t>项目的</w:t>
      </w:r>
      <w:r>
        <w:rPr>
          <w:rFonts w:hint="eastAsia"/>
        </w:rPr>
        <w:t>资金使用符合国家财经法规和相关财务管理制度，</w:t>
      </w:r>
      <w:r>
        <w:rPr>
          <w:rFonts w:hint="default" w:ascii="Times New Roman" w:hAnsi="Times New Roman" w:cs="Times New Roman"/>
          <w:szCs w:val="32"/>
          <w:lang w:val="en-US" w:eastAsia="zh-CN"/>
        </w:rPr>
        <w:t>绩效监管、预算执行、资金使用等指标均</w:t>
      </w:r>
      <w:r>
        <w:rPr>
          <w:rFonts w:hint="eastAsia" w:ascii="Times New Roman" w:cs="Times New Roman"/>
          <w:szCs w:val="32"/>
          <w:lang w:val="en-US" w:eastAsia="zh-CN"/>
        </w:rPr>
        <w:t>符合相关要求</w:t>
      </w:r>
      <w:r>
        <w:rPr>
          <w:rFonts w:hint="default" w:ascii="Times New Roman" w:hAnsi="Times New Roman" w:cs="Times New Roman"/>
          <w:szCs w:val="32"/>
          <w:lang w:val="en-US" w:eastAsia="zh-CN"/>
        </w:rPr>
        <w:t>，</w:t>
      </w:r>
      <w:r>
        <w:rPr>
          <w:rFonts w:hint="eastAsia"/>
        </w:rPr>
        <w:t>不存在超范围、超标准使用专项资金</w:t>
      </w:r>
      <w:r>
        <w:rPr>
          <w:rFonts w:hint="eastAsia"/>
          <w:lang w:val="en-US" w:eastAsia="zh-CN"/>
        </w:rPr>
        <w:t>以及</w:t>
      </w:r>
      <w:r>
        <w:rPr>
          <w:rFonts w:hint="eastAsia"/>
        </w:rPr>
        <w:t>截留、挤占、挪用、虚列支出等情况，</w:t>
      </w:r>
      <w:r>
        <w:rPr>
          <w:rFonts w:hint="eastAsia"/>
          <w:lang w:val="en-US" w:eastAsia="zh-CN"/>
        </w:rPr>
        <w:t>保持全过程</w:t>
      </w:r>
      <w:r>
        <w:rPr>
          <w:rFonts w:hint="eastAsia"/>
        </w:rPr>
        <w:t>遵守相关法律法规，</w:t>
      </w:r>
      <w:r>
        <w:rPr>
          <w:rFonts w:hint="eastAsia"/>
          <w:lang w:val="en-US" w:eastAsia="zh-CN"/>
        </w:rPr>
        <w:t>保障</w:t>
      </w:r>
      <w:r>
        <w:rPr>
          <w:rFonts w:hint="eastAsia"/>
        </w:rPr>
        <w:t>实施结果与绩效目标相匹配</w:t>
      </w:r>
      <w:r>
        <w:rPr>
          <w:rFonts w:hint="eastAsia"/>
          <w:lang w:eastAsia="zh-CN"/>
        </w:rPr>
        <w:t>。</w:t>
      </w:r>
    </w:p>
    <w:p w14:paraId="60A98CEB">
      <w:pPr>
        <w:keepNext w:val="0"/>
        <w:keepLines w:val="0"/>
        <w:pageBreakBefore w:val="0"/>
        <w:widowControl w:val="0"/>
        <w:numPr>
          <w:ilvl w:val="0"/>
          <w:numId w:val="10"/>
        </w:numPr>
        <w:kinsoku/>
        <w:wordWrap/>
        <w:overflowPunct/>
        <w:topLinePunct w:val="0"/>
        <w:autoSpaceDE/>
        <w:autoSpaceDN/>
        <w:bidi w:val="0"/>
        <w:adjustRightInd w:val="0"/>
        <w:snapToGrid w:val="0"/>
        <w:spacing w:line="578" w:lineRule="exact"/>
        <w:ind w:left="0" w:leftChars="0" w:firstLine="643" w:firstLineChars="200"/>
        <w:textAlignment w:val="auto"/>
        <w:outlineLvl w:val="9"/>
        <w:rPr>
          <w:rFonts w:hint="default" w:ascii="Times New Roman" w:hAnsi="Times New Roman" w:eastAsia="楷体_GB2312" w:cs="Times New Roman"/>
          <w:b/>
          <w:color w:val="auto"/>
          <w:sz w:val="32"/>
          <w:szCs w:val="32"/>
          <w:highlight w:val="none"/>
          <w:u w:val="none"/>
          <w:lang w:val="zh-CN"/>
        </w:rPr>
      </w:pPr>
      <w:r>
        <w:rPr>
          <w:rFonts w:hint="default" w:ascii="Times New Roman" w:hAnsi="Times New Roman" w:eastAsia="楷体_GB2312" w:cs="Times New Roman"/>
          <w:b/>
          <w:color w:val="auto"/>
          <w:sz w:val="32"/>
          <w:szCs w:val="32"/>
          <w:highlight w:val="none"/>
          <w:u w:val="none"/>
          <w:lang w:val="zh-CN"/>
        </w:rPr>
        <w:t>评价选点</w:t>
      </w:r>
    </w:p>
    <w:p w14:paraId="3CD39C9E">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textAlignment w:val="auto"/>
        <w:outlineLvl w:val="9"/>
        <w:rPr>
          <w:rFonts w:hint="default" w:ascii="Times New Roman" w:hAnsi="Times New Roman" w:cs="Times New Roman"/>
          <w:szCs w:val="32"/>
          <w:lang w:val="zh-CN" w:eastAsia="zh-CN"/>
        </w:rPr>
      </w:pPr>
      <w:r>
        <w:rPr>
          <w:rFonts w:hint="eastAsia"/>
          <w:lang w:val="zh-CN"/>
        </w:rPr>
        <w:t>本项目不涉及评价选点，此次绩效自评对</w:t>
      </w:r>
      <w:r>
        <w:rPr>
          <w:rFonts w:hint="eastAsia"/>
          <w:lang w:val="en-US" w:eastAsia="zh-CN"/>
        </w:rPr>
        <w:t>专项工作</w:t>
      </w:r>
      <w:r>
        <w:rPr>
          <w:rFonts w:hint="eastAsia"/>
          <w:lang w:val="zh-CN"/>
        </w:rPr>
        <w:t>经费项目实施的所有内容进行评价。</w:t>
      </w:r>
    </w:p>
    <w:p w14:paraId="2293A099">
      <w:pPr>
        <w:keepNext w:val="0"/>
        <w:keepLines w:val="0"/>
        <w:pageBreakBefore w:val="0"/>
        <w:widowControl w:val="0"/>
        <w:numPr>
          <w:ilvl w:val="0"/>
          <w:numId w:val="10"/>
        </w:numPr>
        <w:kinsoku/>
        <w:wordWrap/>
        <w:overflowPunct/>
        <w:topLinePunct w:val="0"/>
        <w:autoSpaceDE/>
        <w:autoSpaceDN/>
        <w:bidi w:val="0"/>
        <w:spacing w:line="578" w:lineRule="exact"/>
        <w:ind w:left="0" w:leftChars="0" w:firstLine="643" w:firstLineChars="200"/>
        <w:textAlignment w:val="auto"/>
        <w:outlineLvl w:val="9"/>
        <w:rPr>
          <w:rFonts w:hint="default" w:ascii="Times New Roman" w:hAnsi="Times New Roman" w:eastAsia="楷体_GB2312" w:cs="Times New Roman"/>
          <w:b/>
          <w:color w:val="auto"/>
          <w:sz w:val="32"/>
          <w:szCs w:val="32"/>
          <w:highlight w:val="none"/>
          <w:u w:val="none"/>
          <w:lang w:val="zh-CN"/>
        </w:rPr>
      </w:pPr>
      <w:r>
        <w:rPr>
          <w:rFonts w:hint="default" w:ascii="Times New Roman" w:hAnsi="Times New Roman" w:eastAsia="楷体_GB2312" w:cs="Times New Roman"/>
          <w:b/>
          <w:color w:val="auto"/>
          <w:sz w:val="32"/>
          <w:szCs w:val="32"/>
          <w:highlight w:val="none"/>
          <w:u w:val="none"/>
          <w:lang w:val="zh-CN"/>
        </w:rPr>
        <w:t>评价方法</w:t>
      </w:r>
    </w:p>
    <w:p w14:paraId="454B2247">
      <w:pPr>
        <w:keepNext w:val="0"/>
        <w:keepLines w:val="0"/>
        <w:pageBreakBefore w:val="0"/>
        <w:kinsoku/>
        <w:wordWrap/>
        <w:overflowPunct/>
        <w:topLinePunct w:val="0"/>
        <w:autoSpaceDE/>
        <w:autoSpaceDN/>
        <w:bidi w:val="0"/>
        <w:spacing w:line="578" w:lineRule="exact"/>
        <w:ind w:firstLine="640"/>
        <w:textAlignment w:val="auto"/>
        <w:rPr>
          <w:rFonts w:hint="default" w:ascii="Times New Roman" w:hAnsi="Times New Roman" w:eastAsia="仿宋_GB2312" w:cs="Times New Roman"/>
          <w:szCs w:val="32"/>
          <w:lang w:eastAsia="zh-CN"/>
        </w:rPr>
      </w:pPr>
      <w:r>
        <w:rPr>
          <w:rFonts w:hint="default" w:ascii="Times New Roman" w:hAnsi="Times New Roman" w:eastAsia="仿宋_GB2312" w:cs="Times New Roman"/>
          <w:szCs w:val="32"/>
        </w:rPr>
        <w:t>根据项目情况和评价重点采用成本效益分析法、案卷研究法、单位自评法、问卷调查法、座谈调研法等多种方法</w:t>
      </w:r>
      <w:r>
        <w:rPr>
          <w:rFonts w:hint="eastAsia"/>
        </w:rPr>
        <w:t>对</w:t>
      </w:r>
      <w:r>
        <w:rPr>
          <w:rFonts w:hint="eastAsia"/>
          <w:lang w:val="en-US" w:eastAsia="zh-CN"/>
        </w:rPr>
        <w:t>专项工作经费</w:t>
      </w:r>
      <w:r>
        <w:rPr>
          <w:rFonts w:hint="eastAsia"/>
        </w:rPr>
        <w:t>项目绩效完成情况进行评价。</w:t>
      </w:r>
    </w:p>
    <w:p w14:paraId="48CF44CC">
      <w:pPr>
        <w:keepNext w:val="0"/>
        <w:keepLines w:val="0"/>
        <w:pageBreakBefore w:val="0"/>
        <w:widowControl w:val="0"/>
        <w:numPr>
          <w:ilvl w:val="0"/>
          <w:numId w:val="10"/>
        </w:numPr>
        <w:kinsoku/>
        <w:wordWrap/>
        <w:overflowPunct/>
        <w:topLinePunct w:val="0"/>
        <w:autoSpaceDE/>
        <w:autoSpaceDN/>
        <w:bidi w:val="0"/>
        <w:spacing w:line="578" w:lineRule="exact"/>
        <w:ind w:left="0" w:leftChars="0" w:firstLine="643" w:firstLineChars="200"/>
        <w:textAlignment w:val="auto"/>
        <w:outlineLvl w:val="9"/>
        <w:rPr>
          <w:rFonts w:hint="default" w:ascii="Times New Roman" w:hAnsi="Times New Roman" w:eastAsia="楷体_GB2312" w:cs="Times New Roman"/>
          <w:b/>
          <w:color w:val="auto"/>
          <w:sz w:val="32"/>
          <w:szCs w:val="32"/>
          <w:highlight w:val="none"/>
          <w:u w:val="none"/>
          <w:lang w:val="zh-CN"/>
        </w:rPr>
      </w:pPr>
      <w:r>
        <w:rPr>
          <w:rFonts w:hint="default" w:ascii="Times New Roman" w:hAnsi="Times New Roman" w:eastAsia="楷体_GB2312" w:cs="Times New Roman"/>
          <w:b/>
          <w:color w:val="auto"/>
          <w:sz w:val="32"/>
          <w:szCs w:val="32"/>
          <w:highlight w:val="none"/>
          <w:u w:val="none"/>
          <w:lang w:val="zh-CN"/>
        </w:rPr>
        <w:t>评价组织</w:t>
      </w:r>
    </w:p>
    <w:p w14:paraId="2D74010E">
      <w:pPr>
        <w:keepNext w:val="0"/>
        <w:keepLines w:val="0"/>
        <w:pageBreakBefore w:val="0"/>
        <w:kinsoku/>
        <w:wordWrap/>
        <w:overflowPunct/>
        <w:topLinePunct w:val="0"/>
        <w:autoSpaceDE/>
        <w:autoSpaceDN/>
        <w:bidi w:val="0"/>
        <w:spacing w:line="578" w:lineRule="exact"/>
        <w:ind w:firstLine="640" w:firstLineChars="200"/>
        <w:textAlignment w:val="auto"/>
        <w:rPr>
          <w:rFonts w:hint="default" w:ascii="Times New Roman" w:hAnsi="Times New Roman" w:cs="Times New Roman"/>
          <w:lang w:val="en-US" w:eastAsia="zh-CN"/>
        </w:rPr>
      </w:pPr>
      <w:r>
        <w:rPr>
          <w:rFonts w:hint="eastAsia"/>
        </w:rPr>
        <w:t>评价组人员由</w:t>
      </w:r>
      <w:r>
        <w:rPr>
          <w:rFonts w:hint="eastAsia"/>
          <w:lang w:val="en-US" w:eastAsia="zh-CN"/>
        </w:rPr>
        <w:t>项目</w:t>
      </w:r>
      <w:r>
        <w:rPr>
          <w:rFonts w:hint="eastAsia"/>
        </w:rPr>
        <w:t>管理人员和财务人员组成，项目管理人员主要负责对项目决策、项目管理、项目实施、项目结果等涉及指标进行评价；财务人员主要负责对资金用途合规性、程序合规性、标准合规性等涉及指标进行评价。</w:t>
      </w:r>
    </w:p>
    <w:p w14:paraId="76E12CE8">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default" w:ascii="Times New Roman" w:hAnsi="Times New Roman" w:cs="Times New Roman"/>
          <w:color w:val="auto"/>
          <w:sz w:val="32"/>
          <w:szCs w:val="32"/>
          <w:highlight w:val="none"/>
          <w:u w:val="none"/>
          <w:lang w:val="zh-CN"/>
        </w:rPr>
      </w:pPr>
      <w:r>
        <w:rPr>
          <w:rFonts w:hint="default" w:ascii="Times New Roman" w:hAnsi="Times New Roman" w:eastAsia="黑体" w:cs="Times New Roman"/>
          <w:color w:val="auto"/>
          <w:sz w:val="32"/>
          <w:szCs w:val="32"/>
          <w:highlight w:val="none"/>
          <w:u w:val="none"/>
        </w:rPr>
        <w:t>三、</w:t>
      </w:r>
      <w:r>
        <w:rPr>
          <w:rFonts w:hint="default" w:ascii="Times New Roman" w:hAnsi="Times New Roman" w:eastAsia="黑体" w:cs="Times New Roman"/>
          <w:color w:val="auto"/>
          <w:sz w:val="32"/>
          <w:szCs w:val="32"/>
          <w:highlight w:val="none"/>
          <w:u w:val="none"/>
          <w:lang w:eastAsia="zh-CN"/>
        </w:rPr>
        <w:t>绩效分析</w:t>
      </w:r>
      <w:r>
        <w:rPr>
          <w:rFonts w:hint="default" w:ascii="Times New Roman" w:hAnsi="Times New Roman" w:cs="Times New Roman"/>
          <w:color w:val="auto"/>
          <w:sz w:val="32"/>
          <w:szCs w:val="32"/>
          <w:highlight w:val="none"/>
          <w:u w:val="none"/>
          <w:lang w:val="zh-CN"/>
        </w:rPr>
        <w:tab/>
      </w:r>
    </w:p>
    <w:p w14:paraId="36F66B04">
      <w:pPr>
        <w:keepNext w:val="0"/>
        <w:keepLines w:val="0"/>
        <w:pageBreakBefore w:val="0"/>
        <w:widowControl w:val="0"/>
        <w:kinsoku/>
        <w:wordWrap/>
        <w:overflowPunct/>
        <w:topLinePunct w:val="0"/>
        <w:autoSpaceDE/>
        <w:autoSpaceDN/>
        <w:bidi w:val="0"/>
        <w:adjustRightInd/>
        <w:snapToGrid/>
        <w:spacing w:line="578" w:lineRule="exact"/>
        <w:ind w:firstLine="643" w:firstLineChars="200"/>
        <w:textAlignment w:val="auto"/>
        <w:outlineLvl w:val="9"/>
        <w:rPr>
          <w:rFonts w:hint="default" w:ascii="Times New Roman" w:hAnsi="Times New Roman" w:eastAsia="楷体_GB2312" w:cs="Times New Roman"/>
          <w:b/>
          <w:color w:val="auto"/>
          <w:sz w:val="32"/>
          <w:szCs w:val="32"/>
          <w:highlight w:val="none"/>
          <w:u w:val="none"/>
          <w:lang w:val="en-US" w:eastAsia="zh-CN"/>
        </w:rPr>
      </w:pPr>
      <w:r>
        <w:rPr>
          <w:rFonts w:hint="default" w:ascii="Times New Roman" w:hAnsi="Times New Roman" w:eastAsia="楷体_GB2312" w:cs="Times New Roman"/>
          <w:b/>
          <w:color w:val="auto"/>
          <w:sz w:val="32"/>
          <w:szCs w:val="32"/>
          <w:highlight w:val="none"/>
          <w:u w:val="none"/>
          <w:lang w:val="zh-CN"/>
        </w:rPr>
        <w:t>（一）</w:t>
      </w:r>
      <w:r>
        <w:rPr>
          <w:rFonts w:hint="default" w:ascii="Times New Roman" w:hAnsi="Times New Roman" w:eastAsia="楷体_GB2312" w:cs="Times New Roman"/>
          <w:b/>
          <w:color w:val="auto"/>
          <w:sz w:val="32"/>
          <w:szCs w:val="32"/>
          <w:highlight w:val="none"/>
          <w:u w:val="none"/>
          <w:lang w:val="en-US" w:eastAsia="zh-CN"/>
        </w:rPr>
        <w:t>通用指标</w:t>
      </w:r>
      <w:r>
        <w:rPr>
          <w:rFonts w:hint="default" w:ascii="Times New Roman" w:hAnsi="Times New Roman" w:eastAsia="楷体_GB2312" w:cs="Times New Roman"/>
          <w:b/>
          <w:bCs/>
          <w:color w:val="000000"/>
          <w:kern w:val="0"/>
          <w:szCs w:val="32"/>
          <w:highlight w:val="none"/>
          <w:shd w:val="clear" w:color="auto" w:fill="FFFFFF"/>
          <w:lang w:val="zh-CN"/>
        </w:rPr>
        <w:t>绩效分析</w:t>
      </w:r>
    </w:p>
    <w:p w14:paraId="25BA5729">
      <w:pPr>
        <w:keepNext w:val="0"/>
        <w:keepLines w:val="0"/>
        <w:pageBreakBefore w:val="0"/>
        <w:widowControl w:val="0"/>
        <w:kinsoku/>
        <w:wordWrap/>
        <w:overflowPunct/>
        <w:topLinePunct w:val="0"/>
        <w:autoSpaceDE/>
        <w:autoSpaceDN/>
        <w:bidi w:val="0"/>
        <w:adjustRightInd/>
        <w:snapToGrid/>
        <w:spacing w:line="578" w:lineRule="exact"/>
        <w:ind w:firstLine="640"/>
        <w:textAlignment w:val="auto"/>
        <w:outlineLvl w:val="9"/>
        <w:rPr>
          <w:rFonts w:hint="default"/>
          <w:lang w:val="en-US" w:eastAsia="zh-CN"/>
        </w:rPr>
      </w:pPr>
      <w:r>
        <w:rPr>
          <w:rFonts w:hint="eastAsia" w:ascii="楷体_GB2312" w:hAnsi="楷体_GB2312" w:eastAsia="楷体_GB2312" w:cs="楷体_GB2312"/>
        </w:rPr>
        <w:t>1.项目决策</w:t>
      </w:r>
      <w:r>
        <w:rPr>
          <w:rFonts w:hint="eastAsia" w:ascii="楷体_GB2312" w:hAnsi="楷体_GB2312" w:eastAsia="楷体_GB2312" w:cs="楷体_GB2312"/>
          <w:lang w:eastAsia="zh-CN"/>
        </w:rPr>
        <w:t>。</w:t>
      </w:r>
      <w:r>
        <w:rPr>
          <w:rFonts w:hint="eastAsia" w:ascii="Times New Roman" w:hAnsi="Times New Roman" w:cs="Times New Roman"/>
          <w:color w:val="auto"/>
          <w:szCs w:val="32"/>
          <w:lang w:val="en-US" w:eastAsia="zh-CN"/>
        </w:rPr>
        <w:t>本中心</w:t>
      </w:r>
      <w:r>
        <w:rPr>
          <w:rFonts w:hint="eastAsia" w:cs="Times New Roman"/>
          <w:color w:val="auto"/>
          <w:szCs w:val="32"/>
          <w:lang w:val="en-US" w:eastAsia="zh-CN"/>
        </w:rPr>
        <w:t>专项工作</w:t>
      </w:r>
      <w:r>
        <w:rPr>
          <w:rFonts w:hint="eastAsia" w:ascii="Times New Roman" w:hAnsi="Times New Roman" w:cs="Times New Roman"/>
          <w:color w:val="auto"/>
          <w:szCs w:val="32"/>
          <w:lang w:val="en-US" w:eastAsia="zh-CN"/>
        </w:rPr>
        <w:t>经费</w:t>
      </w:r>
      <w:r>
        <w:rPr>
          <w:rFonts w:hint="default" w:ascii="Times New Roman" w:hAnsi="Times New Roman" w:cs="Times New Roman"/>
          <w:color w:val="auto"/>
          <w:szCs w:val="32"/>
          <w:lang w:val="en-US" w:eastAsia="zh-CN"/>
        </w:rPr>
        <w:t>项目设立符合资金管理基本规范和决策程序要求</w:t>
      </w:r>
      <w:r>
        <w:rPr>
          <w:rFonts w:hint="eastAsia" w:ascii="Times New Roman" w:cs="Times New Roman"/>
          <w:color w:val="auto"/>
          <w:szCs w:val="32"/>
          <w:lang w:val="en-US" w:eastAsia="zh-CN"/>
        </w:rPr>
        <w:t>；</w:t>
      </w:r>
      <w:r>
        <w:rPr>
          <w:rFonts w:hint="default" w:ascii="Times New Roman" w:hAnsi="Times New Roman" w:cs="Times New Roman"/>
          <w:color w:val="auto"/>
          <w:szCs w:val="32"/>
          <w:lang w:val="en-US" w:eastAsia="zh-CN"/>
        </w:rPr>
        <w:t>项目规划符合中央、省、市、县有关决策部署安排；</w:t>
      </w:r>
      <w:r>
        <w:rPr>
          <w:rFonts w:hint="eastAsia"/>
        </w:rPr>
        <w:t>项目绩效目标设置科学合理；项目资金与</w:t>
      </w:r>
      <w:r>
        <w:rPr>
          <w:rFonts w:hint="eastAsia"/>
          <w:lang w:val="en-US" w:eastAsia="zh-CN"/>
        </w:rPr>
        <w:t>中心</w:t>
      </w:r>
      <w:r>
        <w:rPr>
          <w:rFonts w:hint="eastAsia"/>
        </w:rPr>
        <w:t>总体规划发展相匹配</w:t>
      </w:r>
      <w:r>
        <w:rPr>
          <w:rFonts w:hint="default" w:ascii="Times New Roman" w:hAnsi="Times New Roman" w:cs="Times New Roman"/>
          <w:color w:val="auto"/>
          <w:szCs w:val="32"/>
          <w:lang w:val="en-US" w:eastAsia="zh-CN"/>
        </w:rPr>
        <w:t>属于政府支持范围</w:t>
      </w:r>
      <w:r>
        <w:rPr>
          <w:rFonts w:hint="eastAsia"/>
        </w:rPr>
        <w:t>。</w:t>
      </w:r>
    </w:p>
    <w:p w14:paraId="576F2919">
      <w:pPr>
        <w:keepNext w:val="0"/>
        <w:keepLines w:val="0"/>
        <w:pageBreakBefore w:val="0"/>
        <w:kinsoku/>
        <w:wordWrap/>
        <w:overflowPunct/>
        <w:topLinePunct w:val="0"/>
        <w:autoSpaceDE/>
        <w:autoSpaceDN/>
        <w:bidi w:val="0"/>
        <w:spacing w:line="578" w:lineRule="exact"/>
        <w:ind w:firstLine="640"/>
        <w:textAlignment w:val="auto"/>
        <w:rPr>
          <w:rFonts w:hint="default" w:ascii="Times New Roman" w:hAnsi="Times New Roman" w:cs="Times New Roman"/>
          <w:lang w:val="en-US" w:eastAsia="zh-CN"/>
        </w:rPr>
      </w:pPr>
      <w:r>
        <w:rPr>
          <w:rFonts w:hint="eastAsia" w:ascii="楷体_GB2312" w:hAnsi="楷体_GB2312" w:eastAsia="楷体_GB2312" w:cs="楷体_GB2312"/>
        </w:rPr>
        <w:t>2.项目管理。</w:t>
      </w:r>
      <w:r>
        <w:rPr>
          <w:rFonts w:hint="eastAsia"/>
        </w:rPr>
        <w:t>项</w:t>
      </w:r>
      <w:r>
        <w:rPr>
          <w:rFonts w:hint="eastAsia"/>
          <w:lang w:val="en-US" w:eastAsia="zh-CN"/>
        </w:rPr>
        <w:t>目</w:t>
      </w:r>
      <w:r>
        <w:rPr>
          <w:rFonts w:hint="default" w:ascii="Times New Roman" w:hAnsi="Times New Roman" w:cs="Times New Roman"/>
          <w:lang w:val="en-US" w:eastAsia="zh-CN"/>
        </w:rPr>
        <w:t>管理制度体系健全，不存在管理制度缺失、管理办法过期</w:t>
      </w:r>
      <w:r>
        <w:rPr>
          <w:rFonts w:hint="eastAsia" w:cs="Times New Roman"/>
          <w:lang w:val="en-US" w:eastAsia="zh-CN"/>
        </w:rPr>
        <w:t>等</w:t>
      </w:r>
      <w:r>
        <w:rPr>
          <w:rFonts w:hint="default" w:ascii="Times New Roman" w:hAnsi="Times New Roman" w:cs="Times New Roman"/>
          <w:lang w:val="en-US" w:eastAsia="zh-CN"/>
        </w:rPr>
        <w:t>情况</w:t>
      </w:r>
      <w:r>
        <w:rPr>
          <w:rFonts w:hint="eastAsia" w:cs="Times New Roman"/>
          <w:lang w:val="en-US" w:eastAsia="zh-CN"/>
        </w:rPr>
        <w:t>；</w:t>
      </w:r>
      <w:r>
        <w:rPr>
          <w:rFonts w:hint="default" w:ascii="Times New Roman" w:hAnsi="Times New Roman" w:cs="Times New Roman"/>
          <w:lang w:val="en-US" w:eastAsia="zh-CN"/>
        </w:rPr>
        <w:t>资金分配因素选取</w:t>
      </w:r>
      <w:r>
        <w:rPr>
          <w:rFonts w:hint="eastAsia" w:cs="Times New Roman"/>
          <w:lang w:val="en-US" w:eastAsia="zh-CN"/>
        </w:rPr>
        <w:t>符合</w:t>
      </w:r>
      <w:r>
        <w:rPr>
          <w:rFonts w:hint="default" w:ascii="Times New Roman" w:hAnsi="Times New Roman" w:cs="Times New Roman"/>
          <w:lang w:val="en-US" w:eastAsia="zh-CN"/>
        </w:rPr>
        <w:t>实际和发展需求；资金区域分布结果公平合理</w:t>
      </w:r>
      <w:r>
        <w:rPr>
          <w:rFonts w:hint="eastAsia" w:cs="Times New Roman"/>
          <w:lang w:val="en-US" w:eastAsia="zh-CN"/>
        </w:rPr>
        <w:t>；</w:t>
      </w:r>
      <w:r>
        <w:rPr>
          <w:rFonts w:hint="default" w:ascii="Times New Roman" w:hAnsi="Times New Roman" w:cs="Times New Roman"/>
          <w:lang w:val="en-US" w:eastAsia="zh-CN"/>
        </w:rPr>
        <w:t>资金分配严格按管理办法执行，决策程序符合管理要求，及时高效。</w:t>
      </w:r>
    </w:p>
    <w:p w14:paraId="63F3971B">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firstLine="640" w:firstLineChars="200"/>
        <w:textAlignment w:val="auto"/>
        <w:outlineLvl w:val="9"/>
        <w:rPr>
          <w:rFonts w:hint="default" w:ascii="Times New Roman" w:hAnsi="Times New Roman" w:cs="Times New Roman"/>
          <w:color w:val="auto"/>
          <w:szCs w:val="32"/>
          <w:lang w:eastAsia="zh-CN"/>
        </w:rPr>
      </w:pPr>
      <w:r>
        <w:rPr>
          <w:rFonts w:hint="eastAsia" w:ascii="楷体_GB2312" w:hAnsi="楷体_GB2312" w:eastAsia="楷体_GB2312" w:cs="楷体_GB2312"/>
        </w:rPr>
        <w:t>3.项目实施。</w:t>
      </w:r>
      <w:r>
        <w:rPr>
          <w:rFonts w:hint="eastAsia"/>
        </w:rPr>
        <w:t>本项目资金预算申报</w:t>
      </w:r>
      <w:r>
        <w:rPr>
          <w:rFonts w:hint="eastAsia"/>
          <w:lang w:val="en-US" w:eastAsia="zh-CN"/>
        </w:rPr>
        <w:t>171</w:t>
      </w:r>
      <w:r>
        <w:rPr>
          <w:rFonts w:hint="eastAsia"/>
        </w:rPr>
        <w:t>万元，实际到位</w:t>
      </w:r>
      <w:r>
        <w:rPr>
          <w:rFonts w:hint="eastAsia"/>
          <w:lang w:val="en-US" w:eastAsia="zh-CN"/>
        </w:rPr>
        <w:t>171</w:t>
      </w:r>
      <w:r>
        <w:rPr>
          <w:rFonts w:hint="eastAsia"/>
        </w:rPr>
        <w:t>万元，资金到位率</w:t>
      </w:r>
      <w:r>
        <w:rPr>
          <w:rFonts w:hint="eastAsia"/>
          <w:lang w:val="en-US" w:eastAsia="zh-CN"/>
        </w:rPr>
        <w:t>100</w:t>
      </w:r>
      <w:r>
        <w:rPr>
          <w:rFonts w:hint="eastAsia"/>
        </w:rPr>
        <w:t>%；截至202</w:t>
      </w:r>
      <w:r>
        <w:rPr>
          <w:rFonts w:hint="eastAsia"/>
          <w:lang w:val="en-US" w:eastAsia="zh-CN"/>
        </w:rPr>
        <w:t>4</w:t>
      </w:r>
      <w:r>
        <w:rPr>
          <w:rFonts w:hint="eastAsia"/>
        </w:rPr>
        <w:t>年12月31日，本项目实际支出资金</w:t>
      </w:r>
      <w:r>
        <w:rPr>
          <w:rFonts w:hint="eastAsia"/>
          <w:lang w:val="en-US" w:eastAsia="zh-CN"/>
        </w:rPr>
        <w:t>171</w:t>
      </w:r>
      <w:r>
        <w:rPr>
          <w:rFonts w:hint="eastAsia"/>
        </w:rPr>
        <w:t>万元，预算执行率</w:t>
      </w:r>
      <w:r>
        <w:rPr>
          <w:rFonts w:hint="eastAsia"/>
          <w:lang w:val="en-US" w:eastAsia="zh-CN"/>
        </w:rPr>
        <w:t>100</w:t>
      </w:r>
      <w:r>
        <w:rPr>
          <w:rFonts w:hint="eastAsia"/>
        </w:rPr>
        <w:t>%。</w:t>
      </w:r>
    </w:p>
    <w:p w14:paraId="23723FCF">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firstLine="640" w:firstLineChars="200"/>
        <w:textAlignment w:val="auto"/>
        <w:outlineLvl w:val="9"/>
        <w:rPr>
          <w:rFonts w:hint="default" w:ascii="Times New Roman" w:hAnsi="Times New Roman" w:cs="Times New Roman"/>
          <w:color w:val="auto"/>
          <w:szCs w:val="32"/>
          <w:lang w:eastAsia="zh-CN"/>
        </w:rPr>
      </w:pPr>
      <w:r>
        <w:rPr>
          <w:rFonts w:hint="eastAsia" w:ascii="楷体_GB2312" w:hAnsi="楷体_GB2312" w:eastAsia="楷体_GB2312" w:cs="楷体_GB2312"/>
        </w:rPr>
        <w:t>4.项目结果。</w:t>
      </w:r>
      <w:r>
        <w:rPr>
          <w:rFonts w:hint="eastAsia"/>
        </w:rPr>
        <w:t>本</w:t>
      </w:r>
      <w:r>
        <w:rPr>
          <w:rFonts w:hint="eastAsia"/>
          <w:lang w:val="en-US" w:eastAsia="zh-CN"/>
        </w:rPr>
        <w:t>中心</w:t>
      </w:r>
      <w:r>
        <w:rPr>
          <w:rFonts w:hint="eastAsia"/>
        </w:rPr>
        <w:t>围绕项目绩效目标认真履职，</w:t>
      </w:r>
      <w:r>
        <w:rPr>
          <w:rFonts w:hint="eastAsia"/>
          <w:lang w:val="en-US" w:eastAsia="zh-CN"/>
        </w:rPr>
        <w:t>专项工作经费</w:t>
      </w:r>
      <w:r>
        <w:rPr>
          <w:rFonts w:hint="eastAsia"/>
        </w:rPr>
        <w:t>项目按计划实施，</w:t>
      </w:r>
      <w:r>
        <w:rPr>
          <w:rFonts w:hint="eastAsia"/>
          <w:lang w:val="en-US" w:eastAsia="zh-CN"/>
        </w:rPr>
        <w:t>在规定时效内</w:t>
      </w:r>
      <w:r>
        <w:rPr>
          <w:rFonts w:hint="eastAsia"/>
        </w:rPr>
        <w:t>完成</w:t>
      </w:r>
      <w:r>
        <w:rPr>
          <w:rFonts w:hint="eastAsia"/>
          <w:lang w:eastAsia="zh-CN"/>
        </w:rPr>
        <w:t>了</w:t>
      </w:r>
      <w:r>
        <w:rPr>
          <w:rFonts w:hint="eastAsia"/>
          <w:lang w:val="en-US" w:eastAsia="zh-CN"/>
        </w:rPr>
        <w:t>招商引资、区域合作、人才培养等业务活动开展，业务培训合格率达100%，企业满意度达95%以上。</w:t>
      </w:r>
    </w:p>
    <w:p w14:paraId="439451FD">
      <w:pPr>
        <w:keepNext w:val="0"/>
        <w:keepLines w:val="0"/>
        <w:pageBreakBefore w:val="0"/>
        <w:widowControl w:val="0"/>
        <w:numPr>
          <w:ilvl w:val="0"/>
          <w:numId w:val="11"/>
        </w:numPr>
        <w:kinsoku/>
        <w:wordWrap/>
        <w:overflowPunct/>
        <w:topLinePunct w:val="0"/>
        <w:autoSpaceDE/>
        <w:autoSpaceDN/>
        <w:bidi w:val="0"/>
        <w:adjustRightInd/>
        <w:snapToGrid/>
        <w:spacing w:line="578" w:lineRule="exact"/>
        <w:ind w:leftChars="200"/>
        <w:textAlignment w:val="auto"/>
        <w:outlineLvl w:val="9"/>
        <w:rPr>
          <w:rFonts w:hint="default" w:ascii="Times New Roman" w:hAnsi="Times New Roman" w:eastAsia="楷体_GB2312" w:cs="Times New Roman"/>
          <w:b/>
          <w:bCs/>
          <w:color w:val="000000"/>
          <w:kern w:val="0"/>
          <w:szCs w:val="32"/>
          <w:highlight w:val="none"/>
          <w:shd w:val="clear" w:color="auto" w:fill="FFFFFF"/>
          <w:lang w:val="zh-CN"/>
        </w:rPr>
      </w:pPr>
      <w:r>
        <w:rPr>
          <w:rFonts w:hint="default" w:ascii="Times New Roman" w:hAnsi="Times New Roman" w:eastAsia="楷体_GB2312" w:cs="Times New Roman"/>
          <w:b/>
          <w:color w:val="auto"/>
          <w:sz w:val="32"/>
          <w:szCs w:val="32"/>
          <w:highlight w:val="none"/>
          <w:u w:val="none"/>
          <w:lang w:val="en-US" w:eastAsia="zh-CN"/>
        </w:rPr>
        <w:t>专用指标</w:t>
      </w:r>
      <w:r>
        <w:rPr>
          <w:rFonts w:hint="default" w:ascii="Times New Roman" w:hAnsi="Times New Roman" w:eastAsia="楷体_GB2312" w:cs="Times New Roman"/>
          <w:b/>
          <w:bCs/>
          <w:color w:val="000000"/>
          <w:kern w:val="0"/>
          <w:szCs w:val="32"/>
          <w:highlight w:val="none"/>
          <w:shd w:val="clear" w:color="auto" w:fill="FFFFFF"/>
          <w:lang w:val="zh-CN"/>
        </w:rPr>
        <w:t>绩效分析</w:t>
      </w:r>
    </w:p>
    <w:p w14:paraId="3315749E">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firstLine="640" w:firstLineChars="200"/>
        <w:textAlignment w:val="auto"/>
        <w:outlineLvl w:val="9"/>
        <w:rPr>
          <w:rFonts w:hint="eastAsia"/>
          <w:lang w:val="zh-CN"/>
        </w:rPr>
      </w:pPr>
      <w:r>
        <w:rPr>
          <w:rFonts w:hint="eastAsia" w:ascii="楷体_GB2312" w:hAnsi="楷体_GB2312" w:eastAsia="楷体_GB2312" w:cs="楷体_GB2312"/>
          <w:lang w:val="zh-CN"/>
        </w:rPr>
        <w:t>行政运转。</w:t>
      </w:r>
      <w:r>
        <w:rPr>
          <w:rFonts w:hint="eastAsia" w:ascii="Times New Roman" w:cs="Times New Roman"/>
          <w:color w:val="auto"/>
          <w:szCs w:val="32"/>
          <w:lang w:val="en-US" w:eastAsia="zh-CN"/>
        </w:rPr>
        <w:t>本项目</w:t>
      </w:r>
      <w:r>
        <w:rPr>
          <w:rFonts w:hint="default" w:ascii="Times New Roman" w:hAnsi="Times New Roman" w:cs="Times New Roman"/>
          <w:lang w:val="en-US" w:eastAsia="zh-CN"/>
        </w:rPr>
        <w:t>按规定用途、适用范围进行专项资金分配，资金管理程序</w:t>
      </w:r>
      <w:r>
        <w:rPr>
          <w:rFonts w:hint="eastAsia" w:cs="Times New Roman"/>
          <w:lang w:val="en-US" w:eastAsia="zh-CN"/>
        </w:rPr>
        <w:t>以及</w:t>
      </w:r>
      <w:r>
        <w:rPr>
          <w:rFonts w:hint="default" w:ascii="Times New Roman" w:hAnsi="Times New Roman" w:cs="Times New Roman"/>
          <w:lang w:val="en-US" w:eastAsia="zh-CN"/>
        </w:rPr>
        <w:t>资金分配标准</w:t>
      </w:r>
      <w:r>
        <w:rPr>
          <w:rFonts w:hint="eastAsia" w:cs="Times New Roman"/>
          <w:lang w:val="en-US" w:eastAsia="zh-CN"/>
        </w:rPr>
        <w:t>均</w:t>
      </w:r>
      <w:r>
        <w:rPr>
          <w:rFonts w:hint="default" w:ascii="Times New Roman" w:hAnsi="Times New Roman" w:cs="Times New Roman"/>
          <w:lang w:val="en-US" w:eastAsia="zh-CN"/>
        </w:rPr>
        <w:t>符合专项资金管理要求，</w:t>
      </w:r>
      <w:r>
        <w:rPr>
          <w:rFonts w:hint="eastAsia" w:ascii="Times New Roman" w:cs="Times New Roman"/>
          <w:lang w:val="en-US" w:eastAsia="zh-CN"/>
        </w:rPr>
        <w:t>不存在</w:t>
      </w:r>
      <w:r>
        <w:rPr>
          <w:rFonts w:hint="eastAsia"/>
          <w:lang w:val="zh-CN"/>
        </w:rPr>
        <w:t>资金管理和使用过程中不符合专项资金管理要求的情况。</w:t>
      </w:r>
    </w:p>
    <w:p w14:paraId="4F7C4120">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firstLine="643" w:firstLineChars="200"/>
        <w:textAlignment w:val="auto"/>
        <w:outlineLvl w:val="9"/>
        <w:rPr>
          <w:rFonts w:hint="default" w:ascii="Times New Roman" w:hAnsi="Times New Roman" w:cs="Times New Roman"/>
          <w:color w:val="auto"/>
          <w:szCs w:val="32"/>
          <w:lang w:val="en-US" w:eastAsia="zh-CN"/>
        </w:rPr>
      </w:pPr>
      <w:r>
        <w:rPr>
          <w:rFonts w:hint="eastAsia" w:ascii="Times New Roman" w:hAnsi="Times New Roman" w:eastAsia="楷体_GB2312" w:cs="Times New Roman"/>
          <w:b/>
          <w:color w:val="auto"/>
          <w:sz w:val="32"/>
          <w:szCs w:val="32"/>
          <w:highlight w:val="none"/>
          <w:u w:val="none"/>
          <w:lang w:val="zh-CN" w:eastAsia="zh-CN"/>
        </w:rPr>
        <w:t>（</w:t>
      </w:r>
      <w:r>
        <w:rPr>
          <w:rFonts w:hint="eastAsia" w:ascii="Times New Roman" w:hAnsi="Times New Roman" w:eastAsia="楷体_GB2312" w:cs="Times New Roman"/>
          <w:b/>
          <w:color w:val="auto"/>
          <w:sz w:val="32"/>
          <w:szCs w:val="32"/>
          <w:highlight w:val="none"/>
          <w:u w:val="none"/>
          <w:lang w:val="en-US" w:eastAsia="zh-CN"/>
        </w:rPr>
        <w:t>三</w:t>
      </w:r>
      <w:r>
        <w:rPr>
          <w:rFonts w:hint="eastAsia" w:ascii="Times New Roman" w:hAnsi="Times New Roman" w:eastAsia="楷体_GB2312" w:cs="Times New Roman"/>
          <w:b/>
          <w:color w:val="auto"/>
          <w:sz w:val="32"/>
          <w:szCs w:val="32"/>
          <w:highlight w:val="none"/>
          <w:u w:val="none"/>
          <w:lang w:val="zh-CN" w:eastAsia="zh-CN"/>
        </w:rPr>
        <w:t>）</w:t>
      </w:r>
      <w:r>
        <w:rPr>
          <w:rFonts w:hint="default" w:ascii="Times New Roman" w:hAnsi="Times New Roman" w:eastAsia="楷体_GB2312" w:cs="Times New Roman"/>
          <w:b/>
          <w:color w:val="auto"/>
          <w:sz w:val="32"/>
          <w:szCs w:val="32"/>
          <w:highlight w:val="none"/>
          <w:u w:val="none"/>
          <w:lang w:val="en-US" w:eastAsia="zh-CN"/>
        </w:rPr>
        <w:t>个性指标</w:t>
      </w:r>
      <w:r>
        <w:rPr>
          <w:rFonts w:hint="default" w:ascii="Times New Roman" w:hAnsi="Times New Roman" w:eastAsia="楷体_GB2312" w:cs="Times New Roman"/>
          <w:b/>
          <w:bCs/>
          <w:color w:val="000000"/>
          <w:kern w:val="0"/>
          <w:szCs w:val="32"/>
          <w:highlight w:val="none"/>
          <w:shd w:val="clear" w:color="auto" w:fill="FFFFFF"/>
          <w:lang w:val="zh-CN"/>
        </w:rPr>
        <w:t>绩效分析</w:t>
      </w:r>
    </w:p>
    <w:p w14:paraId="63D5ECB4">
      <w:pPr>
        <w:pStyle w:val="3"/>
        <w:keepNext w:val="0"/>
        <w:keepLines w:val="0"/>
        <w:pageBreakBefore w:val="0"/>
        <w:numPr>
          <w:ilvl w:val="0"/>
          <w:numId w:val="0"/>
        </w:numPr>
        <w:kinsoku/>
        <w:wordWrap/>
        <w:overflowPunct/>
        <w:topLinePunct w:val="0"/>
        <w:autoSpaceDE/>
        <w:autoSpaceDN/>
        <w:bidi w:val="0"/>
        <w:spacing w:line="578" w:lineRule="exact"/>
        <w:ind w:firstLine="643" w:firstLineChars="200"/>
        <w:textAlignment w:val="auto"/>
        <w:rPr>
          <w:rFonts w:hint="default"/>
          <w:lang w:val="en-US" w:eastAsia="zh-CN"/>
        </w:rPr>
      </w:pPr>
      <w:r>
        <w:rPr>
          <w:rFonts w:hint="eastAsia" w:ascii="仿宋_GB2312" w:hAnsi="Times New Roman" w:eastAsia="仿宋_GB2312" w:cs="Times New Roman"/>
          <w:b/>
          <w:bCs/>
          <w:kern w:val="2"/>
          <w:sz w:val="32"/>
          <w:szCs w:val="32"/>
          <w:lang w:val="en-US" w:eastAsia="zh-CN" w:bidi="ar-SA"/>
        </w:rPr>
        <w:t>1.</w:t>
      </w:r>
      <w:r>
        <w:rPr>
          <w:rFonts w:hint="eastAsia"/>
          <w:lang w:val="en-US" w:eastAsia="zh-CN"/>
        </w:rPr>
        <w:t>业务培训合格率</w:t>
      </w:r>
    </w:p>
    <w:p w14:paraId="0EFF571C">
      <w:pPr>
        <w:keepNext w:val="0"/>
        <w:keepLines w:val="0"/>
        <w:pageBreakBefore w:val="0"/>
        <w:kinsoku/>
        <w:wordWrap/>
        <w:overflowPunct/>
        <w:topLinePunct w:val="0"/>
        <w:autoSpaceDE/>
        <w:autoSpaceDN/>
        <w:bidi w:val="0"/>
        <w:spacing w:line="578" w:lineRule="exact"/>
        <w:ind w:firstLine="640"/>
        <w:textAlignment w:val="auto"/>
        <w:rPr>
          <w:lang w:val="zh-CN"/>
        </w:rPr>
      </w:pPr>
      <w:r>
        <w:rPr>
          <w:rFonts w:hint="eastAsia"/>
          <w:lang w:val="zh-CN"/>
        </w:rPr>
        <w:t>通过实施该项目，</w:t>
      </w:r>
      <w:r>
        <w:rPr>
          <w:rFonts w:hint="eastAsia"/>
          <w:lang w:val="en-US" w:eastAsia="zh-CN"/>
        </w:rPr>
        <w:t>区合中心所有工作人员均有机会参与专业的培训学习中，提升</w:t>
      </w:r>
      <w:r>
        <w:rPr>
          <w:rFonts w:hint="eastAsia"/>
          <w:lang w:val="zh-CN"/>
        </w:rPr>
        <w:t>了</w:t>
      </w:r>
      <w:r>
        <w:rPr>
          <w:rFonts w:hint="eastAsia"/>
          <w:lang w:val="en-US" w:eastAsia="zh-CN"/>
        </w:rPr>
        <w:t>区合中心人员整体专业素养</w:t>
      </w:r>
      <w:r>
        <w:rPr>
          <w:rFonts w:hint="eastAsia"/>
          <w:lang w:val="zh-CN"/>
        </w:rPr>
        <w:t>，</w:t>
      </w:r>
      <w:r>
        <w:rPr>
          <w:rFonts w:hint="eastAsia"/>
          <w:lang w:val="en-US" w:eastAsia="zh-CN"/>
        </w:rPr>
        <w:t>业务培训合格率</w:t>
      </w:r>
      <w:r>
        <w:rPr>
          <w:rFonts w:hint="eastAsia"/>
          <w:lang w:val="zh-CN"/>
        </w:rPr>
        <w:t>达100%。</w:t>
      </w:r>
    </w:p>
    <w:p w14:paraId="076612B9">
      <w:pPr>
        <w:keepNext w:val="0"/>
        <w:keepLines w:val="0"/>
        <w:pageBreakBefore w:val="0"/>
        <w:numPr>
          <w:ilvl w:val="0"/>
          <w:numId w:val="0"/>
        </w:numPr>
        <w:kinsoku/>
        <w:wordWrap/>
        <w:overflowPunct/>
        <w:topLinePunct w:val="0"/>
        <w:autoSpaceDE/>
        <w:autoSpaceDN/>
        <w:bidi w:val="0"/>
        <w:spacing w:line="578" w:lineRule="exact"/>
        <w:ind w:firstLine="643" w:firstLineChars="200"/>
        <w:textAlignment w:val="auto"/>
        <w:rPr>
          <w:rFonts w:hint="eastAsia"/>
          <w:lang w:val="en-US" w:eastAsia="zh-CN"/>
        </w:rPr>
      </w:pPr>
      <w:r>
        <w:rPr>
          <w:rFonts w:hint="eastAsia" w:ascii="仿宋_GB2312" w:cs="Times New Roman"/>
          <w:b/>
          <w:bCs/>
          <w:kern w:val="2"/>
          <w:sz w:val="32"/>
          <w:szCs w:val="32"/>
          <w:lang w:val="en-US" w:eastAsia="zh-CN" w:bidi="ar-SA"/>
        </w:rPr>
        <w:t>2</w:t>
      </w:r>
      <w:r>
        <w:rPr>
          <w:rFonts w:hint="eastAsia" w:ascii="仿宋_GB2312" w:hAnsi="Times New Roman" w:eastAsia="仿宋_GB2312" w:cs="Times New Roman"/>
          <w:b/>
          <w:bCs/>
          <w:kern w:val="2"/>
          <w:sz w:val="32"/>
          <w:szCs w:val="32"/>
          <w:lang w:val="en-US" w:eastAsia="zh-CN" w:bidi="ar-SA"/>
        </w:rPr>
        <w:t>.</w:t>
      </w:r>
      <w:r>
        <w:rPr>
          <w:rFonts w:hint="eastAsia"/>
          <w:lang w:val="en-US" w:eastAsia="zh-CN"/>
        </w:rPr>
        <w:t>考察调研次数</w:t>
      </w:r>
    </w:p>
    <w:p w14:paraId="46FB4036">
      <w:pPr>
        <w:keepNext w:val="0"/>
        <w:keepLines w:val="0"/>
        <w:pageBreakBefore w:val="0"/>
        <w:numPr>
          <w:ilvl w:val="0"/>
          <w:numId w:val="0"/>
        </w:numPr>
        <w:kinsoku/>
        <w:wordWrap/>
        <w:overflowPunct/>
        <w:topLinePunct w:val="0"/>
        <w:autoSpaceDE/>
        <w:autoSpaceDN/>
        <w:bidi w:val="0"/>
        <w:spacing w:line="578" w:lineRule="exact"/>
        <w:ind w:firstLine="640" w:firstLineChars="200"/>
        <w:textAlignment w:val="auto"/>
        <w:rPr>
          <w:rFonts w:hint="default"/>
          <w:lang w:val="en-US" w:eastAsia="zh-CN"/>
        </w:rPr>
      </w:pPr>
      <w:r>
        <w:rPr>
          <w:rFonts w:hint="eastAsia"/>
          <w:lang w:val="en-US" w:eastAsia="zh-CN"/>
        </w:rPr>
        <w:t>通过实施该项目，区合中心坚持走出去引进来结合发展的道路。积极开展考察调研活动，深入优质企业寻找合适的企业家，邀请其来渠调研促进合作；积极开展与周边县市区的交流学习，借鉴优秀的经验做法，为县域经济发展保驾护航。考察调研次数高达70余次。</w:t>
      </w:r>
    </w:p>
    <w:p w14:paraId="1C049819">
      <w:pPr>
        <w:keepNext w:val="0"/>
        <w:keepLines w:val="0"/>
        <w:pageBreakBefore w:val="0"/>
        <w:numPr>
          <w:ilvl w:val="0"/>
          <w:numId w:val="0"/>
        </w:numPr>
        <w:kinsoku/>
        <w:wordWrap/>
        <w:overflowPunct/>
        <w:topLinePunct w:val="0"/>
        <w:autoSpaceDE/>
        <w:autoSpaceDN/>
        <w:bidi w:val="0"/>
        <w:spacing w:line="578" w:lineRule="exact"/>
        <w:ind w:firstLine="643" w:firstLineChars="200"/>
        <w:textAlignment w:val="auto"/>
        <w:rPr>
          <w:rFonts w:hint="default"/>
          <w:lang w:val="en-US" w:eastAsia="zh-CN"/>
        </w:rPr>
      </w:pPr>
      <w:r>
        <w:rPr>
          <w:rFonts w:hint="eastAsia" w:ascii="仿宋_GB2312" w:cs="Times New Roman"/>
          <w:b/>
          <w:bCs/>
          <w:kern w:val="2"/>
          <w:sz w:val="32"/>
          <w:szCs w:val="32"/>
          <w:lang w:val="en-US" w:eastAsia="zh-CN" w:bidi="ar-SA"/>
        </w:rPr>
        <w:t>3</w:t>
      </w:r>
      <w:r>
        <w:rPr>
          <w:rFonts w:hint="eastAsia" w:ascii="仿宋_GB2312" w:hAnsi="Times New Roman" w:eastAsia="仿宋_GB2312" w:cs="Times New Roman"/>
          <w:b/>
          <w:bCs/>
          <w:kern w:val="2"/>
          <w:sz w:val="32"/>
          <w:szCs w:val="32"/>
          <w:lang w:val="en-US" w:eastAsia="zh-CN" w:bidi="ar-SA"/>
        </w:rPr>
        <w:t>.</w:t>
      </w:r>
      <w:r>
        <w:rPr>
          <w:rFonts w:hint="eastAsia"/>
          <w:lang w:val="en-US" w:eastAsia="zh-CN"/>
        </w:rPr>
        <w:t>企业满意度</w:t>
      </w:r>
    </w:p>
    <w:p w14:paraId="00272867">
      <w:pPr>
        <w:pStyle w:val="12"/>
        <w:keepNext w:val="0"/>
        <w:keepLines w:val="0"/>
        <w:pageBreakBefore w:val="0"/>
        <w:numPr>
          <w:ilvl w:val="0"/>
          <w:numId w:val="0"/>
        </w:numPr>
        <w:tabs>
          <w:tab w:val="left" w:pos="2160"/>
        </w:tabs>
        <w:kinsoku/>
        <w:wordWrap/>
        <w:overflowPunct/>
        <w:topLinePunct w:val="0"/>
        <w:autoSpaceDE/>
        <w:autoSpaceDN/>
        <w:bidi w:val="0"/>
        <w:adjustRightInd/>
        <w:spacing w:line="578" w:lineRule="exact"/>
        <w:ind w:firstLine="640" w:firstLineChars="200"/>
        <w:textAlignment w:val="auto"/>
        <w:rPr>
          <w:rFonts w:hint="default" w:ascii="Times New Roman" w:hAnsi="Times New Roman" w:eastAsia="仿宋_GB2312" w:cs="Times New Roman"/>
          <w:kern w:val="2"/>
          <w:position w:val="0"/>
          <w:sz w:val="32"/>
          <w:szCs w:val="32"/>
          <w:lang w:val="en-US" w:eastAsia="zh-CN" w:bidi="ar-SA"/>
        </w:rPr>
      </w:pPr>
      <w:r>
        <w:rPr>
          <w:rFonts w:hint="eastAsia" w:ascii="Times New Roman" w:hAnsi="Times New Roman" w:eastAsia="仿宋_GB2312" w:cs="Times New Roman"/>
          <w:kern w:val="2"/>
          <w:position w:val="0"/>
          <w:sz w:val="32"/>
          <w:szCs w:val="32"/>
          <w:lang w:val="zh-CN" w:eastAsia="zh-CN" w:bidi="ar-SA"/>
        </w:rPr>
        <w:t>通过实施该项目，</w:t>
      </w:r>
      <w:r>
        <w:rPr>
          <w:rFonts w:hint="eastAsia" w:ascii="Times New Roman" w:hAnsi="Times New Roman" w:eastAsia="仿宋_GB2312" w:cs="Times New Roman"/>
          <w:kern w:val="2"/>
          <w:position w:val="0"/>
          <w:sz w:val="32"/>
          <w:szCs w:val="32"/>
          <w:lang w:val="en-US" w:eastAsia="zh-CN" w:bidi="ar-SA"/>
        </w:rPr>
        <w:t>在人员配备充足的前提下，保障了较强的专业性，在与企业沟通的过程中帮助企业度难关解难题，诚邀企业来渠考察投资，服务到位，解答到位，使得企业满意度得到极大提升。</w:t>
      </w:r>
    </w:p>
    <w:p w14:paraId="54F8C8EB">
      <w:pPr>
        <w:pStyle w:val="12"/>
        <w:keepNext w:val="0"/>
        <w:keepLines w:val="0"/>
        <w:pageBreakBefore w:val="0"/>
        <w:numPr>
          <w:ilvl w:val="0"/>
          <w:numId w:val="0"/>
        </w:numPr>
        <w:tabs>
          <w:tab w:val="left" w:pos="2160"/>
        </w:tabs>
        <w:kinsoku/>
        <w:wordWrap/>
        <w:overflowPunct/>
        <w:topLinePunct w:val="0"/>
        <w:autoSpaceDE/>
        <w:autoSpaceDN/>
        <w:bidi w:val="0"/>
        <w:adjustRightInd/>
        <w:spacing w:line="578" w:lineRule="exact"/>
        <w:ind w:firstLine="640" w:firstLineChars="200"/>
        <w:textAlignment w:val="auto"/>
        <w:rPr>
          <w:rFonts w:hint="default" w:ascii="Times New Roman" w:hAnsi="Times New Roman" w:eastAsia="黑体" w:cs="Times New Roman"/>
          <w:color w:val="auto"/>
          <w:sz w:val="32"/>
          <w:szCs w:val="32"/>
          <w:highlight w:val="none"/>
          <w:u w:val="none"/>
        </w:rPr>
      </w:pPr>
      <w:r>
        <w:rPr>
          <w:rFonts w:hint="default" w:ascii="Times New Roman" w:hAnsi="Times New Roman" w:eastAsia="黑体" w:cs="Times New Roman"/>
          <w:color w:val="auto"/>
          <w:sz w:val="32"/>
          <w:szCs w:val="32"/>
          <w:highlight w:val="none"/>
          <w:u w:val="none"/>
          <w:lang w:eastAsia="zh-CN"/>
        </w:rPr>
        <w:t>四</w:t>
      </w:r>
      <w:r>
        <w:rPr>
          <w:rFonts w:hint="default" w:ascii="Times New Roman" w:hAnsi="Times New Roman" w:eastAsia="黑体" w:cs="Times New Roman"/>
          <w:color w:val="auto"/>
          <w:sz w:val="32"/>
          <w:szCs w:val="32"/>
          <w:highlight w:val="none"/>
          <w:u w:val="none"/>
        </w:rPr>
        <w:t>、评价结论</w:t>
      </w:r>
    </w:p>
    <w:p w14:paraId="5FD61909">
      <w:pPr>
        <w:pStyle w:val="12"/>
        <w:keepNext w:val="0"/>
        <w:keepLines w:val="0"/>
        <w:pageBreakBefore w:val="0"/>
        <w:numPr>
          <w:ilvl w:val="0"/>
          <w:numId w:val="0"/>
        </w:numPr>
        <w:tabs>
          <w:tab w:val="left" w:pos="2160"/>
        </w:tabs>
        <w:kinsoku/>
        <w:wordWrap/>
        <w:overflowPunct/>
        <w:topLinePunct w:val="0"/>
        <w:autoSpaceDE/>
        <w:autoSpaceDN/>
        <w:bidi w:val="0"/>
        <w:adjustRightInd/>
        <w:spacing w:line="578" w:lineRule="exact"/>
        <w:ind w:firstLine="640" w:firstLineChars="200"/>
        <w:textAlignment w:val="auto"/>
        <w:rPr>
          <w:rFonts w:hint="eastAsia" w:ascii="仿宋_GB2312" w:hAnsi="仿宋_GB2312" w:eastAsia="仿宋_GB2312" w:cs="仿宋_GB2312"/>
          <w:sz w:val="32"/>
          <w:szCs w:val="32"/>
          <w:lang w:val="zh-CN" w:eastAsia="zh-CN"/>
        </w:rPr>
      </w:pPr>
      <w:r>
        <w:rPr>
          <w:rFonts w:hint="eastAsia" w:ascii="Times New Roman" w:eastAsia="仿宋_GB2312" w:cs="Times New Roman"/>
          <w:b w:val="0"/>
          <w:bCs w:val="0"/>
          <w:sz w:val="32"/>
          <w:szCs w:val="32"/>
          <w:highlight w:val="none"/>
          <w:lang w:val="en-US" w:eastAsia="zh-CN"/>
        </w:rPr>
        <w:t>中心专项工作经费项目，</w:t>
      </w:r>
      <w:r>
        <w:rPr>
          <w:rFonts w:hint="default" w:ascii="Times New Roman" w:hAnsi="Times New Roman" w:eastAsia="仿宋_GB2312" w:cs="Times New Roman"/>
          <w:b w:val="0"/>
          <w:bCs w:val="0"/>
          <w:sz w:val="32"/>
          <w:szCs w:val="32"/>
          <w:highlight w:val="none"/>
          <w:lang w:val="en-US" w:eastAsia="zh-CN"/>
        </w:rPr>
        <w:t>总体自评结果良好，项目立项程序完整、规范，设置了明确的绩效目标，财务相关管理制度健全，预算执行及时、有效，活动开展及时有效，</w:t>
      </w:r>
      <w:r>
        <w:rPr>
          <w:rFonts w:hint="eastAsia" w:ascii="Times New Roman" w:eastAsia="仿宋_GB2312" w:cs="Times New Roman"/>
          <w:b w:val="0"/>
          <w:bCs w:val="0"/>
          <w:sz w:val="32"/>
          <w:szCs w:val="32"/>
          <w:highlight w:val="none"/>
          <w:lang w:val="en-US" w:eastAsia="zh-CN"/>
        </w:rPr>
        <w:t>相关企业</w:t>
      </w:r>
      <w:r>
        <w:rPr>
          <w:rFonts w:hint="default" w:ascii="Times New Roman" w:hAnsi="Times New Roman" w:eastAsia="仿宋_GB2312" w:cs="Times New Roman"/>
          <w:b w:val="0"/>
          <w:bCs w:val="0"/>
          <w:sz w:val="32"/>
          <w:szCs w:val="32"/>
          <w:highlight w:val="none"/>
          <w:lang w:val="en-US" w:eastAsia="zh-CN"/>
        </w:rPr>
        <w:t>满意度</w:t>
      </w:r>
      <w:r>
        <w:rPr>
          <w:rFonts w:hint="eastAsia" w:ascii="Times New Roman" w:eastAsia="仿宋_GB2312" w:cs="Times New Roman"/>
          <w:b w:val="0"/>
          <w:bCs w:val="0"/>
          <w:sz w:val="32"/>
          <w:szCs w:val="32"/>
          <w:highlight w:val="none"/>
          <w:lang w:val="en-US" w:eastAsia="zh-CN"/>
        </w:rPr>
        <w:t>较高</w:t>
      </w:r>
      <w:r>
        <w:rPr>
          <w:rFonts w:hint="default" w:ascii="Times New Roman" w:hAnsi="Times New Roman" w:eastAsia="仿宋_GB2312" w:cs="Times New Roman"/>
          <w:b w:val="0"/>
          <w:bCs w:val="0"/>
          <w:sz w:val="32"/>
          <w:szCs w:val="32"/>
          <w:highlight w:val="none"/>
          <w:lang w:val="en-US" w:eastAsia="zh-CN"/>
        </w:rPr>
        <w:t>，</w:t>
      </w:r>
      <w:r>
        <w:rPr>
          <w:rFonts w:hint="eastAsia" w:ascii="仿宋_GB2312" w:hAnsi="仿宋_GB2312" w:eastAsia="仿宋_GB2312" w:cs="仿宋_GB2312"/>
          <w:position w:val="0"/>
          <w:sz w:val="32"/>
          <w:szCs w:val="32"/>
          <w:lang w:eastAsia="zh-CN"/>
        </w:rPr>
        <w:t>项目绩效目标完成情况达到预期效果，绩效自评得分为</w:t>
      </w:r>
      <w:r>
        <w:rPr>
          <w:rFonts w:hint="eastAsia" w:ascii="仿宋_GB2312" w:hAnsi="仿宋_GB2312" w:eastAsia="仿宋_GB2312" w:cs="仿宋_GB2312"/>
          <w:position w:val="0"/>
          <w:sz w:val="32"/>
          <w:szCs w:val="32"/>
          <w:lang w:val="en-US" w:eastAsia="zh-CN"/>
        </w:rPr>
        <w:t>95</w:t>
      </w:r>
      <w:r>
        <w:rPr>
          <w:rFonts w:hint="eastAsia" w:ascii="仿宋_GB2312" w:hAnsi="仿宋_GB2312" w:eastAsia="仿宋_GB2312" w:cs="仿宋_GB2312"/>
          <w:position w:val="0"/>
          <w:sz w:val="32"/>
          <w:szCs w:val="32"/>
          <w:lang w:eastAsia="zh-CN"/>
        </w:rPr>
        <w:t>分</w:t>
      </w:r>
      <w:r>
        <w:rPr>
          <w:rFonts w:hint="eastAsia" w:ascii="仿宋_GB2312" w:hAnsi="仿宋_GB2312" w:eastAsia="仿宋_GB2312" w:cs="仿宋_GB2312"/>
          <w:sz w:val="32"/>
          <w:szCs w:val="32"/>
          <w:lang w:val="zh-CN" w:eastAsia="zh-CN"/>
        </w:rPr>
        <w:t>。</w:t>
      </w:r>
    </w:p>
    <w:p w14:paraId="77AC387C">
      <w:pPr>
        <w:pStyle w:val="12"/>
        <w:keepNext w:val="0"/>
        <w:keepLines w:val="0"/>
        <w:pageBreakBefore w:val="0"/>
        <w:numPr>
          <w:ilvl w:val="0"/>
          <w:numId w:val="0"/>
        </w:numPr>
        <w:tabs>
          <w:tab w:val="left" w:pos="2160"/>
        </w:tabs>
        <w:kinsoku/>
        <w:wordWrap/>
        <w:overflowPunct/>
        <w:topLinePunct w:val="0"/>
        <w:autoSpaceDE/>
        <w:autoSpaceDN/>
        <w:bidi w:val="0"/>
        <w:adjustRightInd/>
        <w:spacing w:line="578" w:lineRule="exact"/>
        <w:ind w:firstLine="640" w:firstLineChars="200"/>
        <w:textAlignment w:val="auto"/>
        <w:rPr>
          <w:rFonts w:hint="default" w:ascii="Times New Roman" w:hAnsi="Times New Roman" w:eastAsia="黑体" w:cs="Times New Roman"/>
          <w:color w:val="auto"/>
          <w:sz w:val="32"/>
          <w:szCs w:val="32"/>
          <w:highlight w:val="none"/>
          <w:u w:val="none"/>
          <w:lang w:eastAsia="zh-CN"/>
        </w:rPr>
      </w:pPr>
      <w:r>
        <w:rPr>
          <w:rFonts w:hint="default" w:ascii="Times New Roman" w:hAnsi="Times New Roman" w:cs="Times New Roman"/>
          <w:color w:val="auto"/>
          <w:sz w:val="32"/>
          <w:szCs w:val="32"/>
          <w:highlight w:val="none"/>
          <w:u w:val="none"/>
          <w:lang w:eastAsia="zh-CN"/>
        </w:rPr>
        <w:t>五、</w:t>
      </w:r>
      <w:r>
        <w:rPr>
          <w:rFonts w:hint="default" w:ascii="Times New Roman" w:hAnsi="Times New Roman" w:eastAsia="黑体" w:cs="Times New Roman"/>
          <w:color w:val="auto"/>
          <w:sz w:val="32"/>
          <w:szCs w:val="32"/>
          <w:highlight w:val="none"/>
          <w:u w:val="none"/>
          <w:lang w:eastAsia="zh-CN"/>
        </w:rPr>
        <w:t>存在主要问题</w:t>
      </w:r>
    </w:p>
    <w:p w14:paraId="54C2D876">
      <w:pPr>
        <w:pStyle w:val="12"/>
        <w:keepNext w:val="0"/>
        <w:keepLines w:val="0"/>
        <w:pageBreakBefore w:val="0"/>
        <w:numPr>
          <w:ilvl w:val="0"/>
          <w:numId w:val="0"/>
        </w:numPr>
        <w:tabs>
          <w:tab w:val="left" w:pos="2160"/>
        </w:tabs>
        <w:kinsoku/>
        <w:wordWrap/>
        <w:overflowPunct/>
        <w:topLinePunct w:val="0"/>
        <w:autoSpaceDE/>
        <w:autoSpaceDN/>
        <w:bidi w:val="0"/>
        <w:adjustRightInd/>
        <w:spacing w:line="578" w:lineRule="exact"/>
        <w:ind w:firstLine="640" w:firstLineChars="200"/>
        <w:textAlignment w:val="auto"/>
        <w:rPr>
          <w:rFonts w:hint="default" w:ascii="Times New Roman" w:hAnsi="Times New Roman" w:eastAsia="仿宋_GB2312" w:cs="Times New Roman"/>
          <w:b w:val="0"/>
          <w:bCs w:val="0"/>
          <w:kern w:val="0"/>
          <w:position w:val="0"/>
          <w:sz w:val="32"/>
          <w:szCs w:val="32"/>
          <w:highlight w:val="none"/>
          <w:lang w:val="en-US" w:eastAsia="zh-CN" w:bidi="ar-SA"/>
        </w:rPr>
      </w:pPr>
      <w:r>
        <w:rPr>
          <w:rFonts w:hint="eastAsia" w:ascii="Times New Roman" w:eastAsia="仿宋_GB2312" w:cs="Times New Roman"/>
          <w:b w:val="0"/>
          <w:bCs w:val="0"/>
          <w:kern w:val="0"/>
          <w:position w:val="0"/>
          <w:sz w:val="32"/>
          <w:szCs w:val="32"/>
          <w:highlight w:val="none"/>
          <w:lang w:val="en-US" w:eastAsia="zh-CN" w:bidi="ar-SA"/>
        </w:rPr>
        <w:t>考察调研活动局限于走访企业，经济贡献率有待提升；业务培训活动有待进一步增强。</w:t>
      </w:r>
    </w:p>
    <w:p w14:paraId="04C37CD8">
      <w:pPr>
        <w:pStyle w:val="12"/>
        <w:keepNext w:val="0"/>
        <w:keepLines w:val="0"/>
        <w:pageBreakBefore w:val="0"/>
        <w:numPr>
          <w:ilvl w:val="0"/>
          <w:numId w:val="0"/>
        </w:numPr>
        <w:tabs>
          <w:tab w:val="left" w:pos="2160"/>
        </w:tabs>
        <w:kinsoku/>
        <w:wordWrap/>
        <w:overflowPunct/>
        <w:topLinePunct w:val="0"/>
        <w:autoSpaceDE/>
        <w:autoSpaceDN/>
        <w:bidi w:val="0"/>
        <w:adjustRightInd/>
        <w:spacing w:line="578" w:lineRule="exact"/>
        <w:ind w:firstLine="640" w:firstLineChars="200"/>
        <w:textAlignment w:val="auto"/>
        <w:rPr>
          <w:rFonts w:hint="default" w:ascii="Times New Roman" w:hAnsi="Times New Roman" w:eastAsia="黑体" w:cs="Times New Roman"/>
          <w:color w:val="auto"/>
          <w:kern w:val="0"/>
          <w:position w:val="3"/>
          <w:sz w:val="32"/>
          <w:szCs w:val="32"/>
          <w:highlight w:val="none"/>
          <w:u w:val="none"/>
          <w:lang w:val="zh-CN" w:eastAsia="zh-CN" w:bidi="ar-SA"/>
        </w:rPr>
      </w:pPr>
      <w:r>
        <w:rPr>
          <w:rFonts w:hint="default" w:ascii="Times New Roman" w:hAnsi="Times New Roman" w:eastAsia="黑体" w:cs="Times New Roman"/>
          <w:color w:val="auto"/>
          <w:kern w:val="0"/>
          <w:position w:val="3"/>
          <w:sz w:val="32"/>
          <w:szCs w:val="32"/>
          <w:highlight w:val="none"/>
          <w:u w:val="none"/>
          <w:lang w:val="zh-CN" w:eastAsia="zh-CN" w:bidi="ar-SA"/>
        </w:rPr>
        <w:t>六、改进建议</w:t>
      </w:r>
    </w:p>
    <w:p w14:paraId="5353A8F3">
      <w:pPr>
        <w:keepNext w:val="0"/>
        <w:keepLines w:val="0"/>
        <w:pageBreakBefore w:val="0"/>
        <w:tabs>
          <w:tab w:val="left" w:pos="1911"/>
        </w:tabs>
        <w:kinsoku/>
        <w:wordWrap/>
        <w:overflowPunct/>
        <w:topLinePunct w:val="0"/>
        <w:autoSpaceDE/>
        <w:autoSpaceDN/>
        <w:bidi w:val="0"/>
        <w:spacing w:line="578" w:lineRule="exact"/>
        <w:ind w:firstLine="640" w:firstLineChars="200"/>
        <w:jc w:val="left"/>
        <w:textAlignment w:val="auto"/>
        <w:rPr>
          <w:rFonts w:hint="eastAsia" w:cs="Times New Roman"/>
          <w:b w:val="0"/>
          <w:bCs w:val="0"/>
          <w:kern w:val="0"/>
          <w:position w:val="0"/>
          <w:sz w:val="32"/>
          <w:szCs w:val="32"/>
          <w:highlight w:val="none"/>
          <w:lang w:val="en-US" w:eastAsia="zh-CN" w:bidi="ar-SA"/>
        </w:rPr>
      </w:pPr>
      <w:r>
        <w:rPr>
          <w:rFonts w:hint="eastAsia" w:cs="Times New Roman"/>
          <w:b w:val="0"/>
          <w:bCs w:val="0"/>
          <w:kern w:val="0"/>
          <w:position w:val="0"/>
          <w:sz w:val="32"/>
          <w:szCs w:val="32"/>
          <w:highlight w:val="none"/>
          <w:lang w:val="en-US" w:eastAsia="zh-CN" w:bidi="ar-SA"/>
        </w:rPr>
        <w:t>1.</w:t>
      </w:r>
      <w:r>
        <w:rPr>
          <w:rFonts w:hint="default" w:ascii="Times New Roman" w:hAnsi="Times New Roman" w:cs="Times New Roman"/>
          <w:b w:val="0"/>
          <w:bCs w:val="0"/>
          <w:kern w:val="0"/>
          <w:position w:val="0"/>
          <w:sz w:val="32"/>
          <w:szCs w:val="32"/>
          <w:highlight w:val="none"/>
          <w:lang w:val="en-US" w:eastAsia="zh-CN" w:bidi="ar-SA"/>
        </w:rPr>
        <w:t>开展企业走访活动、政策进企业，</w:t>
      </w:r>
      <w:r>
        <w:rPr>
          <w:rFonts w:hint="eastAsia" w:cs="Times New Roman"/>
          <w:b w:val="0"/>
          <w:bCs w:val="0"/>
          <w:kern w:val="0"/>
          <w:position w:val="0"/>
          <w:sz w:val="32"/>
          <w:szCs w:val="32"/>
          <w:highlight w:val="none"/>
          <w:lang w:val="en-US" w:eastAsia="zh-CN" w:bidi="ar-SA"/>
        </w:rPr>
        <w:t>服务好企业，营造良好的营商环境。</w:t>
      </w:r>
    </w:p>
    <w:p w14:paraId="114AEFC2">
      <w:pPr>
        <w:keepNext w:val="0"/>
        <w:keepLines w:val="0"/>
        <w:pageBreakBefore w:val="0"/>
        <w:tabs>
          <w:tab w:val="left" w:pos="1911"/>
        </w:tabs>
        <w:kinsoku/>
        <w:wordWrap/>
        <w:overflowPunct/>
        <w:topLinePunct w:val="0"/>
        <w:autoSpaceDE/>
        <w:autoSpaceDN/>
        <w:bidi w:val="0"/>
        <w:spacing w:line="578" w:lineRule="exact"/>
        <w:ind w:firstLine="640" w:firstLineChars="200"/>
        <w:jc w:val="left"/>
        <w:textAlignment w:val="auto"/>
        <w:rPr>
          <w:rFonts w:hint="default" w:ascii="Times New Roman" w:hAnsi="Times New Roman" w:cs="Times New Roman"/>
          <w:b w:val="0"/>
          <w:bCs w:val="0"/>
          <w:kern w:val="0"/>
          <w:position w:val="0"/>
          <w:sz w:val="32"/>
          <w:szCs w:val="32"/>
          <w:highlight w:val="none"/>
          <w:lang w:val="en-US" w:eastAsia="zh-CN" w:bidi="ar-SA"/>
        </w:rPr>
      </w:pPr>
      <w:r>
        <w:rPr>
          <w:rFonts w:hint="eastAsia" w:cs="Times New Roman"/>
          <w:b w:val="0"/>
          <w:bCs w:val="0"/>
          <w:kern w:val="0"/>
          <w:position w:val="0"/>
          <w:sz w:val="32"/>
          <w:szCs w:val="32"/>
          <w:highlight w:val="none"/>
          <w:lang w:val="en-US" w:eastAsia="zh-CN" w:bidi="ar-SA"/>
        </w:rPr>
        <w:t>2.加强与周边县市区交流合作，学习优秀经验做法</w:t>
      </w:r>
      <w:r>
        <w:rPr>
          <w:rFonts w:hint="default" w:ascii="Times New Roman" w:hAnsi="Times New Roman" w:cs="Times New Roman"/>
          <w:b w:val="0"/>
          <w:bCs w:val="0"/>
          <w:kern w:val="0"/>
          <w:position w:val="0"/>
          <w:sz w:val="32"/>
          <w:szCs w:val="32"/>
          <w:highlight w:val="none"/>
          <w:lang w:val="en-US" w:eastAsia="zh-CN" w:bidi="ar-SA"/>
        </w:rPr>
        <w:t>。</w:t>
      </w:r>
    </w:p>
    <w:p w14:paraId="1B39D9FC">
      <w:pPr>
        <w:keepNext w:val="0"/>
        <w:keepLines w:val="0"/>
        <w:pageBreakBefore w:val="0"/>
        <w:tabs>
          <w:tab w:val="left" w:pos="1911"/>
        </w:tabs>
        <w:kinsoku/>
        <w:wordWrap/>
        <w:overflowPunct/>
        <w:topLinePunct w:val="0"/>
        <w:autoSpaceDE/>
        <w:autoSpaceDN/>
        <w:bidi w:val="0"/>
        <w:spacing w:line="578" w:lineRule="exact"/>
        <w:ind w:firstLine="640" w:firstLineChars="200"/>
        <w:jc w:val="left"/>
        <w:textAlignment w:val="auto"/>
        <w:rPr>
          <w:rFonts w:hint="default" w:ascii="Times New Roman" w:hAnsi="Times New Roman" w:cs="Times New Roman"/>
          <w:b w:val="0"/>
          <w:bCs w:val="0"/>
          <w:kern w:val="0"/>
          <w:position w:val="0"/>
          <w:sz w:val="32"/>
          <w:szCs w:val="32"/>
          <w:highlight w:val="none"/>
          <w:lang w:val="en-US" w:eastAsia="zh-CN" w:bidi="ar-SA"/>
        </w:rPr>
      </w:pPr>
      <w:r>
        <w:rPr>
          <w:rFonts w:hint="eastAsia" w:cs="Times New Roman"/>
          <w:b w:val="0"/>
          <w:bCs w:val="0"/>
          <w:kern w:val="0"/>
          <w:position w:val="0"/>
          <w:sz w:val="32"/>
          <w:szCs w:val="32"/>
          <w:highlight w:val="none"/>
          <w:lang w:val="en-US" w:eastAsia="zh-CN" w:bidi="ar-SA"/>
        </w:rPr>
        <w:t>3.优化招商渠道，更新招引形式，助推企业落地渠县。</w:t>
      </w:r>
    </w:p>
    <w:p w14:paraId="6E21A480">
      <w:pPr>
        <w:keepNext w:val="0"/>
        <w:keepLines w:val="0"/>
        <w:pageBreakBefore w:val="0"/>
        <w:tabs>
          <w:tab w:val="left" w:pos="1911"/>
        </w:tabs>
        <w:kinsoku/>
        <w:wordWrap/>
        <w:overflowPunct/>
        <w:topLinePunct w:val="0"/>
        <w:autoSpaceDE/>
        <w:autoSpaceDN/>
        <w:bidi w:val="0"/>
        <w:spacing w:line="578" w:lineRule="exact"/>
        <w:ind w:firstLine="640" w:firstLineChars="200"/>
        <w:jc w:val="left"/>
        <w:textAlignment w:val="auto"/>
        <w:rPr>
          <w:rFonts w:hint="default" w:ascii="Times New Roman" w:hAnsi="Times New Roman" w:cs="Times New Roman"/>
          <w:color w:val="000000"/>
          <w:kern w:val="0"/>
          <w:szCs w:val="32"/>
          <w:highlight w:val="none"/>
          <w:shd w:val="clear" w:color="auto" w:fill="FFFFFF"/>
          <w:lang w:val="zh-CN" w:eastAsia="zh-CN"/>
        </w:rPr>
      </w:pPr>
      <w:r>
        <w:rPr>
          <w:rFonts w:hint="eastAsia" w:cs="Times New Roman"/>
          <w:b w:val="0"/>
          <w:bCs w:val="0"/>
          <w:kern w:val="0"/>
          <w:position w:val="0"/>
          <w:sz w:val="32"/>
          <w:szCs w:val="32"/>
          <w:highlight w:val="none"/>
          <w:lang w:val="en-US" w:eastAsia="zh-CN" w:bidi="ar-SA"/>
        </w:rPr>
        <w:t>4</w:t>
      </w:r>
      <w:r>
        <w:rPr>
          <w:rFonts w:hint="default" w:ascii="Times New Roman" w:hAnsi="Times New Roman" w:cs="Times New Roman"/>
          <w:b w:val="0"/>
          <w:bCs w:val="0"/>
          <w:kern w:val="0"/>
          <w:position w:val="0"/>
          <w:sz w:val="32"/>
          <w:szCs w:val="32"/>
          <w:highlight w:val="none"/>
          <w:lang w:val="en-US" w:eastAsia="zh-CN" w:bidi="ar-SA"/>
        </w:rPr>
        <w:t>.</w:t>
      </w:r>
      <w:r>
        <w:rPr>
          <w:rFonts w:hint="eastAsia" w:cs="Times New Roman"/>
          <w:b w:val="0"/>
          <w:bCs w:val="0"/>
          <w:kern w:val="0"/>
          <w:position w:val="0"/>
          <w:sz w:val="32"/>
          <w:szCs w:val="32"/>
          <w:highlight w:val="none"/>
          <w:lang w:val="en-US" w:eastAsia="zh-CN" w:bidi="ar-SA"/>
        </w:rPr>
        <w:t>持续高质量完成业务培训活动，提高人员业务素质</w:t>
      </w:r>
      <w:r>
        <w:rPr>
          <w:rFonts w:hint="default" w:ascii="Times New Roman" w:hAnsi="Times New Roman" w:cs="Times New Roman"/>
          <w:b w:val="0"/>
          <w:bCs w:val="0"/>
          <w:kern w:val="0"/>
          <w:position w:val="0"/>
          <w:sz w:val="32"/>
          <w:szCs w:val="32"/>
          <w:highlight w:val="none"/>
          <w:lang w:val="en-US" w:eastAsia="zh-CN" w:bidi="ar-SA"/>
        </w:rPr>
        <w:t>。</w:t>
      </w:r>
    </w:p>
    <w:p w14:paraId="0C9611F2">
      <w:pPr>
        <w:keepNext w:val="0"/>
        <w:keepLines w:val="0"/>
        <w:pageBreakBefore w:val="0"/>
        <w:kinsoku/>
        <w:wordWrap/>
        <w:overflowPunct/>
        <w:topLinePunct w:val="0"/>
        <w:autoSpaceDE/>
        <w:autoSpaceDN/>
        <w:bidi w:val="0"/>
        <w:snapToGrid w:val="0"/>
        <w:spacing w:line="578" w:lineRule="exact"/>
        <w:ind w:firstLine="640" w:firstLineChars="200"/>
        <w:textAlignment w:val="auto"/>
        <w:rPr>
          <w:rFonts w:hint="eastAsia"/>
          <w:color w:val="000000"/>
          <w:kern w:val="0"/>
          <w:shd w:val="clear" w:color="auto" w:fill="FFFFFF"/>
        </w:rPr>
      </w:pPr>
    </w:p>
    <w:p w14:paraId="7594F0F3">
      <w:pPr>
        <w:keepNext w:val="0"/>
        <w:keepLines w:val="0"/>
        <w:pageBreakBefore w:val="0"/>
        <w:kinsoku/>
        <w:wordWrap/>
        <w:overflowPunct/>
        <w:topLinePunct w:val="0"/>
        <w:autoSpaceDE/>
        <w:autoSpaceDN/>
        <w:bidi w:val="0"/>
        <w:snapToGrid w:val="0"/>
        <w:spacing w:line="578" w:lineRule="exact"/>
        <w:ind w:firstLine="640" w:firstLineChars="200"/>
        <w:textAlignment w:val="auto"/>
        <w:rPr>
          <w:rFonts w:hint="eastAsia"/>
          <w:color w:val="000000"/>
          <w:kern w:val="0"/>
          <w:shd w:val="clear" w:color="auto" w:fill="FFFFFF"/>
        </w:rPr>
      </w:pPr>
    </w:p>
    <w:p w14:paraId="4381E810">
      <w:pPr>
        <w:keepNext w:val="0"/>
        <w:keepLines w:val="0"/>
        <w:pageBreakBefore w:val="0"/>
        <w:kinsoku/>
        <w:wordWrap/>
        <w:overflowPunct/>
        <w:topLinePunct w:val="0"/>
        <w:autoSpaceDE/>
        <w:autoSpaceDN/>
        <w:bidi w:val="0"/>
        <w:snapToGrid w:val="0"/>
        <w:spacing w:line="578" w:lineRule="exact"/>
        <w:ind w:firstLine="640" w:firstLineChars="200"/>
        <w:textAlignment w:val="auto"/>
        <w:rPr>
          <w:rFonts w:hint="eastAsia"/>
          <w:color w:val="000000"/>
          <w:kern w:val="0"/>
          <w:shd w:val="clear" w:color="auto" w:fill="FFFFFF"/>
        </w:rPr>
      </w:pPr>
    </w:p>
    <w:p w14:paraId="2A4B59BB">
      <w:pPr>
        <w:keepNext w:val="0"/>
        <w:keepLines w:val="0"/>
        <w:pageBreakBefore w:val="0"/>
        <w:kinsoku/>
        <w:wordWrap/>
        <w:overflowPunct/>
        <w:topLinePunct w:val="0"/>
        <w:autoSpaceDE/>
        <w:autoSpaceDN/>
        <w:bidi w:val="0"/>
        <w:snapToGrid w:val="0"/>
        <w:spacing w:line="578" w:lineRule="exact"/>
        <w:ind w:firstLine="640" w:firstLineChars="200"/>
        <w:textAlignment w:val="auto"/>
        <w:rPr>
          <w:rFonts w:hint="eastAsia"/>
          <w:color w:val="000000"/>
          <w:kern w:val="0"/>
          <w:shd w:val="clear" w:color="auto" w:fill="FFFFFF"/>
        </w:rPr>
      </w:pPr>
    </w:p>
    <w:p w14:paraId="1A2E0D64">
      <w:pPr>
        <w:keepNext w:val="0"/>
        <w:keepLines w:val="0"/>
        <w:pageBreakBefore w:val="0"/>
        <w:kinsoku/>
        <w:wordWrap/>
        <w:overflowPunct/>
        <w:topLinePunct w:val="0"/>
        <w:autoSpaceDE/>
        <w:autoSpaceDN/>
        <w:bidi w:val="0"/>
        <w:snapToGrid w:val="0"/>
        <w:spacing w:line="578" w:lineRule="exact"/>
        <w:ind w:firstLine="640" w:firstLineChars="200"/>
        <w:textAlignment w:val="auto"/>
        <w:rPr>
          <w:rFonts w:hint="eastAsia"/>
          <w:color w:val="000000"/>
          <w:kern w:val="0"/>
          <w:shd w:val="clear" w:color="auto" w:fill="FFFFFF"/>
        </w:rPr>
      </w:pPr>
    </w:p>
    <w:p w14:paraId="74707C72">
      <w:pPr>
        <w:keepNext w:val="0"/>
        <w:keepLines w:val="0"/>
        <w:pageBreakBefore w:val="0"/>
        <w:kinsoku/>
        <w:wordWrap/>
        <w:overflowPunct/>
        <w:topLinePunct w:val="0"/>
        <w:autoSpaceDE/>
        <w:autoSpaceDN/>
        <w:bidi w:val="0"/>
        <w:snapToGrid w:val="0"/>
        <w:spacing w:line="578" w:lineRule="exact"/>
        <w:ind w:firstLine="640" w:firstLineChars="200"/>
        <w:textAlignment w:val="auto"/>
        <w:rPr>
          <w:rFonts w:hint="eastAsia"/>
          <w:color w:val="000000"/>
          <w:kern w:val="0"/>
          <w:shd w:val="clear" w:color="auto" w:fill="FFFFFF"/>
        </w:rPr>
      </w:pPr>
    </w:p>
    <w:p w14:paraId="2549ED32">
      <w:pPr>
        <w:keepNext w:val="0"/>
        <w:keepLines w:val="0"/>
        <w:pageBreakBefore w:val="0"/>
        <w:kinsoku/>
        <w:wordWrap/>
        <w:overflowPunct/>
        <w:topLinePunct w:val="0"/>
        <w:autoSpaceDE/>
        <w:autoSpaceDN/>
        <w:bidi w:val="0"/>
        <w:snapToGrid w:val="0"/>
        <w:spacing w:line="578" w:lineRule="exact"/>
        <w:ind w:firstLine="640" w:firstLineChars="200"/>
        <w:textAlignment w:val="auto"/>
        <w:rPr>
          <w:rFonts w:hint="eastAsia"/>
          <w:color w:val="000000"/>
          <w:kern w:val="0"/>
          <w:shd w:val="clear" w:color="auto" w:fill="FFFFFF"/>
        </w:rPr>
      </w:pPr>
    </w:p>
    <w:p w14:paraId="32849365">
      <w:pPr>
        <w:keepNext w:val="0"/>
        <w:keepLines w:val="0"/>
        <w:pageBreakBefore w:val="0"/>
        <w:kinsoku/>
        <w:wordWrap/>
        <w:overflowPunct/>
        <w:topLinePunct w:val="0"/>
        <w:autoSpaceDE/>
        <w:autoSpaceDN/>
        <w:bidi w:val="0"/>
        <w:snapToGrid w:val="0"/>
        <w:spacing w:line="578" w:lineRule="exact"/>
        <w:ind w:firstLine="640" w:firstLineChars="200"/>
        <w:textAlignment w:val="auto"/>
        <w:rPr>
          <w:rFonts w:hint="eastAsia"/>
          <w:color w:val="000000"/>
          <w:kern w:val="0"/>
          <w:shd w:val="clear" w:color="auto" w:fill="FFFFFF"/>
        </w:rPr>
      </w:pPr>
    </w:p>
    <w:p w14:paraId="7C972271">
      <w:pPr>
        <w:keepNext w:val="0"/>
        <w:keepLines w:val="0"/>
        <w:pageBreakBefore w:val="0"/>
        <w:kinsoku/>
        <w:wordWrap/>
        <w:overflowPunct/>
        <w:topLinePunct w:val="0"/>
        <w:autoSpaceDE/>
        <w:autoSpaceDN/>
        <w:bidi w:val="0"/>
        <w:snapToGrid w:val="0"/>
        <w:spacing w:line="578" w:lineRule="exact"/>
        <w:ind w:firstLine="640" w:firstLineChars="200"/>
        <w:textAlignment w:val="auto"/>
        <w:rPr>
          <w:rFonts w:hint="eastAsia"/>
          <w:color w:val="000000"/>
          <w:kern w:val="0"/>
          <w:shd w:val="clear" w:color="auto" w:fill="FFFFFF"/>
        </w:rPr>
      </w:pPr>
    </w:p>
    <w:p w14:paraId="1E6C2E16">
      <w:pPr>
        <w:keepNext w:val="0"/>
        <w:keepLines w:val="0"/>
        <w:pageBreakBefore w:val="0"/>
        <w:kinsoku/>
        <w:wordWrap/>
        <w:overflowPunct/>
        <w:topLinePunct w:val="0"/>
        <w:autoSpaceDE/>
        <w:autoSpaceDN/>
        <w:bidi w:val="0"/>
        <w:snapToGrid w:val="0"/>
        <w:spacing w:line="578" w:lineRule="exact"/>
        <w:ind w:firstLine="440" w:firstLineChars="100"/>
        <w:textAlignment w:val="auto"/>
        <w:rPr>
          <w:rFonts w:hint="eastAsia"/>
          <w:color w:val="000000"/>
          <w:kern w:val="0"/>
          <w:sz w:val="44"/>
          <w:szCs w:val="44"/>
          <w:shd w:val="clear" w:color="auto" w:fill="FFFFFF"/>
        </w:rPr>
      </w:pPr>
      <w:r>
        <w:rPr>
          <w:rFonts w:hint="eastAsia"/>
          <w:color w:val="000000"/>
          <w:kern w:val="0"/>
          <w:sz w:val="44"/>
          <w:szCs w:val="44"/>
          <w:shd w:val="clear" w:color="auto" w:fill="FFFFFF"/>
        </w:rPr>
        <w:t>专项预算项目绩效目标完成情况自评表</w:t>
      </w:r>
    </w:p>
    <w:tbl>
      <w:tblPr>
        <w:tblStyle w:val="22"/>
        <w:tblW w:w="5000" w:type="pct"/>
        <w:jc w:val="center"/>
        <w:tblLayout w:type="autofit"/>
        <w:tblCellMar>
          <w:top w:w="15" w:type="dxa"/>
          <w:left w:w="15" w:type="dxa"/>
          <w:bottom w:w="15" w:type="dxa"/>
          <w:right w:w="15" w:type="dxa"/>
        </w:tblCellMar>
      </w:tblPr>
      <w:tblGrid>
        <w:gridCol w:w="562"/>
        <w:gridCol w:w="943"/>
        <w:gridCol w:w="1085"/>
        <w:gridCol w:w="1138"/>
        <w:gridCol w:w="974"/>
        <w:gridCol w:w="840"/>
        <w:gridCol w:w="921"/>
        <w:gridCol w:w="813"/>
        <w:gridCol w:w="1599"/>
      </w:tblGrid>
      <w:tr w14:paraId="49E430CE">
        <w:tblPrEx>
          <w:tblCellMar>
            <w:top w:w="15" w:type="dxa"/>
            <w:left w:w="15" w:type="dxa"/>
            <w:bottom w:w="15" w:type="dxa"/>
            <w:right w:w="15" w:type="dxa"/>
          </w:tblCellMar>
        </w:tblPrEx>
        <w:trPr>
          <w:trHeight w:val="23" w:hRule="atLeast"/>
          <w:jc w:val="center"/>
        </w:trPr>
        <w:tc>
          <w:tcPr>
            <w:tcW w:w="2100"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DDB4365">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ascii="宋体" w:hAnsi="宋体" w:eastAsia="宋体" w:cs="宋体"/>
                <w:color w:val="000000"/>
                <w:kern w:val="0"/>
                <w:sz w:val="24"/>
                <w:szCs w:val="24"/>
                <w:lang w:bidi="ar"/>
              </w:rPr>
            </w:pPr>
          </w:p>
          <w:p w14:paraId="5BB6B147">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ascii="宋体" w:hAnsi="宋体" w:eastAsia="宋体" w:cs="宋体"/>
                <w:color w:val="000000"/>
                <w:kern w:val="0"/>
                <w:sz w:val="24"/>
                <w:szCs w:val="24"/>
                <w:lang w:bidi="ar"/>
              </w:rPr>
            </w:pPr>
          </w:p>
          <w:p w14:paraId="75E1BBE0">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ascii="宋体" w:hAnsi="宋体" w:eastAsia="宋体" w:cs="宋体"/>
                <w:color w:val="000000"/>
                <w:kern w:val="0"/>
                <w:sz w:val="24"/>
                <w:szCs w:val="24"/>
                <w:lang w:bidi="ar"/>
              </w:rPr>
            </w:pPr>
          </w:p>
          <w:p w14:paraId="6A181ABE">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项目名称</w:t>
            </w:r>
          </w:p>
        </w:tc>
        <w:tc>
          <w:tcPr>
            <w:tcW w:w="2899"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736C0AA">
            <w:pPr>
              <w:keepNext w:val="0"/>
              <w:keepLines w:val="0"/>
              <w:pageBreakBefore w:val="0"/>
              <w:kinsoku/>
              <w:wordWrap/>
              <w:overflowPunct/>
              <w:topLinePunct w:val="0"/>
              <w:autoSpaceDE/>
              <w:autoSpaceDN/>
              <w:bidi w:val="0"/>
              <w:adjustRightInd/>
              <w:snapToGrid/>
              <w:spacing w:line="240" w:lineRule="exact"/>
              <w:rPr>
                <w:rFonts w:ascii="宋体" w:hAnsi="宋体" w:eastAsia="宋体" w:cs="宋体"/>
                <w:color w:val="000000"/>
                <w:sz w:val="24"/>
                <w:szCs w:val="24"/>
              </w:rPr>
            </w:pPr>
            <w:r>
              <w:rPr>
                <w:rFonts w:hint="eastAsia" w:ascii="宋体" w:hAnsi="宋体" w:eastAsia="宋体" w:cs="宋体"/>
                <w:color w:val="000000"/>
                <w:sz w:val="24"/>
                <w:szCs w:val="24"/>
              </w:rPr>
              <w:t>区合中心专项工作经费</w:t>
            </w:r>
          </w:p>
        </w:tc>
      </w:tr>
      <w:tr w14:paraId="7382126C">
        <w:tblPrEx>
          <w:tblCellMar>
            <w:top w:w="15" w:type="dxa"/>
            <w:left w:w="15" w:type="dxa"/>
            <w:bottom w:w="15" w:type="dxa"/>
            <w:right w:w="15" w:type="dxa"/>
          </w:tblCellMar>
        </w:tblPrEx>
        <w:trPr>
          <w:trHeight w:val="23" w:hRule="atLeast"/>
          <w:jc w:val="center"/>
        </w:trPr>
        <w:tc>
          <w:tcPr>
            <w:tcW w:w="2100"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5B88DAD">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预算单位</w:t>
            </w:r>
          </w:p>
        </w:tc>
        <w:tc>
          <w:tcPr>
            <w:tcW w:w="2899"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111773D">
            <w:pPr>
              <w:keepNext w:val="0"/>
              <w:keepLines w:val="0"/>
              <w:pageBreakBefore w:val="0"/>
              <w:kinsoku/>
              <w:wordWrap/>
              <w:overflowPunct/>
              <w:topLinePunct w:val="0"/>
              <w:autoSpaceDE/>
              <w:autoSpaceDN/>
              <w:bidi w:val="0"/>
              <w:adjustRightInd/>
              <w:snapToGrid/>
              <w:spacing w:line="240" w:lineRule="exact"/>
              <w:rPr>
                <w:rFonts w:hint="default" w:ascii="宋体" w:hAnsi="宋体" w:eastAsia="宋体" w:cs="宋体"/>
                <w:color w:val="000000"/>
                <w:sz w:val="24"/>
                <w:szCs w:val="24"/>
                <w:lang w:val="en-US"/>
              </w:rPr>
            </w:pPr>
            <w:r>
              <w:rPr>
                <w:rFonts w:hint="eastAsia" w:ascii="宋体" w:hAnsi="宋体" w:eastAsia="宋体" w:cs="宋体"/>
                <w:color w:val="000000"/>
                <w:sz w:val="24"/>
                <w:szCs w:val="24"/>
                <w:lang w:val="en-US" w:eastAsia="zh-CN"/>
              </w:rPr>
              <w:t>渠县区域合作服务中心</w:t>
            </w:r>
          </w:p>
        </w:tc>
      </w:tr>
      <w:tr w14:paraId="3370C888">
        <w:tblPrEx>
          <w:tblCellMar>
            <w:top w:w="15" w:type="dxa"/>
            <w:left w:w="15" w:type="dxa"/>
            <w:bottom w:w="15" w:type="dxa"/>
            <w:right w:w="15" w:type="dxa"/>
          </w:tblCellMar>
        </w:tblPrEx>
        <w:trPr>
          <w:trHeight w:val="23" w:hRule="atLeast"/>
          <w:jc w:val="center"/>
        </w:trPr>
        <w:tc>
          <w:tcPr>
            <w:tcW w:w="2100"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8589B5E">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项目类型</w:t>
            </w:r>
          </w:p>
        </w:tc>
        <w:tc>
          <w:tcPr>
            <w:tcW w:w="2899"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77142C0">
            <w:pPr>
              <w:keepNext w:val="0"/>
              <w:keepLines w:val="0"/>
              <w:pageBreakBefore w:val="0"/>
              <w:kinsoku/>
              <w:wordWrap/>
              <w:overflowPunct/>
              <w:topLinePunct w:val="0"/>
              <w:autoSpaceDE/>
              <w:autoSpaceDN/>
              <w:bidi w:val="0"/>
              <w:adjustRightInd/>
              <w:snapToGrid/>
              <w:spacing w:line="240" w:lineRule="exact"/>
              <w:jc w:val="left"/>
              <w:rPr>
                <w:rFonts w:ascii="宋体" w:hAnsi="宋体" w:eastAsia="宋体" w:cs="宋体"/>
                <w:color w:val="000000"/>
                <w:sz w:val="24"/>
                <w:szCs w:val="24"/>
              </w:rPr>
            </w:pPr>
          </w:p>
        </w:tc>
      </w:tr>
      <w:tr w14:paraId="14481671">
        <w:tblPrEx>
          <w:tblCellMar>
            <w:top w:w="15" w:type="dxa"/>
            <w:left w:w="15" w:type="dxa"/>
            <w:bottom w:w="15" w:type="dxa"/>
            <w:right w:w="15" w:type="dxa"/>
          </w:tblCellMar>
        </w:tblPrEx>
        <w:trPr>
          <w:trHeight w:val="23" w:hRule="atLeast"/>
          <w:jc w:val="center"/>
        </w:trPr>
        <w:tc>
          <w:tcPr>
            <w:tcW w:w="31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E3548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项目 概况</w:t>
            </w:r>
          </w:p>
        </w:tc>
        <w:tc>
          <w:tcPr>
            <w:tcW w:w="178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512F2FD">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ascii="宋体" w:hAnsi="宋体" w:eastAsia="宋体" w:cs="宋体"/>
                <w:color w:val="000000"/>
                <w:kern w:val="0"/>
                <w:sz w:val="24"/>
                <w:szCs w:val="24"/>
                <w:lang w:bidi="ar"/>
              </w:rPr>
            </w:pPr>
            <w:r>
              <w:rPr>
                <w:rFonts w:ascii="宋体" w:hAnsi="宋体" w:eastAsia="宋体" w:cs="宋体"/>
                <w:color w:val="000000"/>
                <w:kern w:val="0"/>
                <w:sz w:val="24"/>
                <w:szCs w:val="24"/>
                <w:lang w:bidi="ar"/>
              </w:rPr>
              <w:t>中长期规划（名称、文号，仅指常年项目）</w:t>
            </w:r>
          </w:p>
        </w:tc>
        <w:tc>
          <w:tcPr>
            <w:tcW w:w="2899"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7E95B51">
            <w:pPr>
              <w:keepNext w:val="0"/>
              <w:keepLines w:val="0"/>
              <w:pageBreakBefore w:val="0"/>
              <w:kinsoku/>
              <w:wordWrap/>
              <w:overflowPunct/>
              <w:topLinePunct w:val="0"/>
              <w:autoSpaceDE/>
              <w:autoSpaceDN/>
              <w:bidi w:val="0"/>
              <w:adjustRightInd/>
              <w:snapToGrid/>
              <w:spacing w:line="240" w:lineRule="exact"/>
              <w:jc w:val="left"/>
              <w:rPr>
                <w:rFonts w:ascii="宋体" w:hAnsi="宋体" w:eastAsia="宋体" w:cs="宋体"/>
                <w:color w:val="000000"/>
                <w:sz w:val="24"/>
                <w:szCs w:val="24"/>
              </w:rPr>
            </w:pPr>
          </w:p>
        </w:tc>
      </w:tr>
      <w:tr w14:paraId="6F86E85C">
        <w:tblPrEx>
          <w:tblCellMar>
            <w:top w:w="15" w:type="dxa"/>
            <w:left w:w="15" w:type="dxa"/>
            <w:bottom w:w="15" w:type="dxa"/>
            <w:right w:w="15" w:type="dxa"/>
          </w:tblCellMar>
        </w:tblPrEx>
        <w:trPr>
          <w:trHeight w:val="23" w:hRule="atLeast"/>
          <w:jc w:val="center"/>
        </w:trPr>
        <w:tc>
          <w:tcPr>
            <w:tcW w:w="3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1D4DCE">
            <w:pPr>
              <w:keepNext w:val="0"/>
              <w:keepLines w:val="0"/>
              <w:pageBreakBefore w:val="0"/>
              <w:kinsoku/>
              <w:wordWrap/>
              <w:overflowPunct/>
              <w:topLinePunct w:val="0"/>
              <w:autoSpaceDE/>
              <w:autoSpaceDN/>
              <w:bidi w:val="0"/>
              <w:adjustRightInd/>
              <w:snapToGrid/>
              <w:spacing w:line="240" w:lineRule="exact"/>
              <w:rPr>
                <w:rFonts w:ascii="宋体" w:hAnsi="宋体" w:eastAsia="宋体" w:cs="宋体"/>
                <w:color w:val="000000"/>
                <w:sz w:val="24"/>
                <w:szCs w:val="24"/>
              </w:rPr>
            </w:pPr>
          </w:p>
        </w:tc>
        <w:tc>
          <w:tcPr>
            <w:tcW w:w="178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8EF39EC">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资金管理办法（名称、文号）</w:t>
            </w:r>
          </w:p>
        </w:tc>
        <w:tc>
          <w:tcPr>
            <w:tcW w:w="2899"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34FE373">
            <w:pPr>
              <w:keepNext w:val="0"/>
              <w:keepLines w:val="0"/>
              <w:pageBreakBefore w:val="0"/>
              <w:kinsoku/>
              <w:wordWrap/>
              <w:overflowPunct/>
              <w:topLinePunct w:val="0"/>
              <w:autoSpaceDE/>
              <w:autoSpaceDN/>
              <w:bidi w:val="0"/>
              <w:adjustRightInd/>
              <w:snapToGrid/>
              <w:spacing w:line="240" w:lineRule="exact"/>
              <w:jc w:val="left"/>
              <w:rPr>
                <w:rFonts w:ascii="宋体" w:hAnsi="宋体" w:eastAsia="宋体" w:cs="宋体"/>
                <w:color w:val="000000"/>
                <w:sz w:val="24"/>
                <w:szCs w:val="24"/>
              </w:rPr>
            </w:pPr>
          </w:p>
        </w:tc>
      </w:tr>
      <w:tr w14:paraId="4D8A2A85">
        <w:tblPrEx>
          <w:tblCellMar>
            <w:top w:w="15" w:type="dxa"/>
            <w:left w:w="15" w:type="dxa"/>
            <w:bottom w:w="15" w:type="dxa"/>
            <w:right w:w="15" w:type="dxa"/>
          </w:tblCellMar>
        </w:tblPrEx>
        <w:trPr>
          <w:trHeight w:val="23" w:hRule="atLeast"/>
          <w:jc w:val="center"/>
        </w:trPr>
        <w:tc>
          <w:tcPr>
            <w:tcW w:w="3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80ECBE">
            <w:pPr>
              <w:keepNext w:val="0"/>
              <w:keepLines w:val="0"/>
              <w:pageBreakBefore w:val="0"/>
              <w:kinsoku/>
              <w:wordWrap/>
              <w:overflowPunct/>
              <w:topLinePunct w:val="0"/>
              <w:autoSpaceDE/>
              <w:autoSpaceDN/>
              <w:bidi w:val="0"/>
              <w:adjustRightInd/>
              <w:snapToGrid/>
              <w:spacing w:line="240" w:lineRule="exact"/>
              <w:rPr>
                <w:rFonts w:ascii="宋体" w:hAnsi="宋体" w:eastAsia="宋体" w:cs="宋体"/>
                <w:color w:val="000000"/>
                <w:sz w:val="24"/>
                <w:szCs w:val="24"/>
              </w:rPr>
            </w:pPr>
          </w:p>
        </w:tc>
        <w:tc>
          <w:tcPr>
            <w:tcW w:w="178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A88A86B">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绩效分配方式</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151667">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ascii="Wingdings 2" w:hAnsi="Wingdings 2" w:eastAsia="Wingdings 2" w:cs="Wingdings 2"/>
                <w:color w:val="000000"/>
                <w:sz w:val="24"/>
                <w:szCs w:val="24"/>
              </w:rPr>
            </w:pPr>
            <w:r>
              <w:rPr>
                <w:rFonts w:ascii="Wingdings 2" w:hAnsi="Wingdings 2" w:eastAsia="Wingdings 2" w:cs="Wingdings 2"/>
                <w:color w:val="000000"/>
                <w:kern w:val="0"/>
                <w:sz w:val="24"/>
                <w:szCs w:val="24"/>
                <w:lang w:bidi="ar"/>
              </w:rPr>
              <w:t>£</w:t>
            </w:r>
            <w:r>
              <w:rPr>
                <w:rFonts w:ascii="宋体" w:hAnsi="宋体" w:eastAsia="宋体" w:cs="宋体"/>
                <w:color w:val="000000"/>
                <w:kern w:val="0"/>
                <w:sz w:val="24"/>
                <w:szCs w:val="24"/>
                <w:lang w:bidi="ar"/>
              </w:rPr>
              <w:t>因素法</w:t>
            </w:r>
          </w:p>
        </w:tc>
        <w:tc>
          <w:tcPr>
            <w:tcW w:w="99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74E72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Wingdings 2" w:hAnsi="Wingdings 2" w:eastAsia="Wingdings 2" w:cs="Wingdings 2"/>
                <w:color w:val="000000"/>
                <w:sz w:val="24"/>
                <w:szCs w:val="24"/>
              </w:rPr>
            </w:pPr>
            <w:r>
              <w:rPr>
                <w:rFonts w:ascii="Wingdings 2" w:hAnsi="Wingdings 2" w:eastAsia="Wingdings 2" w:cs="Wingdings 2"/>
                <w:color w:val="000000"/>
                <w:kern w:val="0"/>
                <w:sz w:val="24"/>
                <w:szCs w:val="24"/>
                <w:lang w:bidi="ar"/>
              </w:rPr>
              <w:t>£项目法</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22CCA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Wingdings 2" w:hAnsi="Wingdings 2" w:eastAsia="Wingdings 2" w:cs="Wingdings 2"/>
                <w:color w:val="000000"/>
                <w:sz w:val="24"/>
                <w:szCs w:val="24"/>
              </w:rPr>
            </w:pPr>
            <w:r>
              <w:rPr>
                <w:rFonts w:ascii="Wingdings 2" w:hAnsi="Wingdings 2" w:eastAsia="Wingdings 2" w:cs="Wingdings 2"/>
                <w:color w:val="000000"/>
                <w:kern w:val="0"/>
                <w:sz w:val="24"/>
                <w:szCs w:val="24"/>
                <w:lang w:bidi="ar"/>
              </w:rPr>
              <w:sym w:font="Wingdings 2" w:char="0052"/>
            </w:r>
            <w:r>
              <w:rPr>
                <w:rFonts w:ascii="宋体" w:hAnsi="宋体" w:eastAsia="宋体" w:cs="宋体"/>
                <w:color w:val="000000"/>
                <w:kern w:val="0"/>
                <w:sz w:val="24"/>
                <w:szCs w:val="24"/>
                <w:lang w:bidi="ar"/>
              </w:rPr>
              <w:t>据实据效</w:t>
            </w:r>
          </w:p>
        </w:tc>
        <w:tc>
          <w:tcPr>
            <w:tcW w:w="8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8AD2E6">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Wingdings 2" w:hAnsi="Wingdings 2" w:eastAsia="Wingdings 2" w:cs="Wingdings 2"/>
                <w:color w:val="000000"/>
                <w:sz w:val="24"/>
                <w:szCs w:val="24"/>
              </w:rPr>
            </w:pPr>
            <w:r>
              <w:rPr>
                <w:rFonts w:ascii="Wingdings 2" w:hAnsi="Wingdings 2" w:eastAsia="Wingdings 2" w:cs="Wingdings 2"/>
                <w:color w:val="000000"/>
                <w:kern w:val="0"/>
                <w:sz w:val="24"/>
                <w:szCs w:val="24"/>
                <w:lang w:bidi="ar"/>
              </w:rPr>
              <w:t>£</w:t>
            </w:r>
            <w:r>
              <w:rPr>
                <w:rFonts w:ascii="宋体" w:hAnsi="宋体" w:eastAsia="宋体" w:cs="宋体"/>
                <w:color w:val="000000"/>
                <w:kern w:val="0"/>
                <w:sz w:val="24"/>
                <w:szCs w:val="24"/>
                <w:lang w:bidi="ar"/>
              </w:rPr>
              <w:t>因素法与项目法相结合</w:t>
            </w:r>
          </w:p>
        </w:tc>
      </w:tr>
      <w:tr w14:paraId="7E7426A0">
        <w:tblPrEx>
          <w:tblCellMar>
            <w:top w:w="15" w:type="dxa"/>
            <w:left w:w="15" w:type="dxa"/>
            <w:bottom w:w="15" w:type="dxa"/>
            <w:right w:w="15" w:type="dxa"/>
          </w:tblCellMar>
        </w:tblPrEx>
        <w:trPr>
          <w:trHeight w:val="23" w:hRule="atLeast"/>
          <w:jc w:val="center"/>
        </w:trPr>
        <w:tc>
          <w:tcPr>
            <w:tcW w:w="3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70FEA5">
            <w:pPr>
              <w:keepNext w:val="0"/>
              <w:keepLines w:val="0"/>
              <w:pageBreakBefore w:val="0"/>
              <w:kinsoku/>
              <w:wordWrap/>
              <w:overflowPunct/>
              <w:topLinePunct w:val="0"/>
              <w:autoSpaceDE/>
              <w:autoSpaceDN/>
              <w:bidi w:val="0"/>
              <w:adjustRightInd/>
              <w:snapToGrid/>
              <w:spacing w:line="240" w:lineRule="exact"/>
              <w:rPr>
                <w:rFonts w:ascii="宋体" w:hAnsi="宋体" w:eastAsia="宋体" w:cs="宋体"/>
                <w:color w:val="000000"/>
                <w:sz w:val="24"/>
                <w:szCs w:val="24"/>
              </w:rPr>
            </w:pPr>
          </w:p>
        </w:tc>
        <w:tc>
          <w:tcPr>
            <w:tcW w:w="178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FED4951">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立项依据</w:t>
            </w:r>
          </w:p>
        </w:tc>
        <w:tc>
          <w:tcPr>
            <w:tcW w:w="2899"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1868101">
            <w:pPr>
              <w:keepNext w:val="0"/>
              <w:keepLines w:val="0"/>
              <w:pageBreakBefore w:val="0"/>
              <w:kinsoku/>
              <w:wordWrap/>
              <w:overflowPunct/>
              <w:topLinePunct w:val="0"/>
              <w:autoSpaceDE/>
              <w:autoSpaceDN/>
              <w:bidi w:val="0"/>
              <w:adjustRightInd/>
              <w:snapToGrid/>
              <w:spacing w:line="240" w:lineRule="exact"/>
              <w:jc w:val="left"/>
              <w:rPr>
                <w:rFonts w:ascii="宋体" w:hAnsi="宋体" w:eastAsia="宋体" w:cs="宋体"/>
                <w:color w:val="000000"/>
                <w:sz w:val="24"/>
                <w:szCs w:val="24"/>
              </w:rPr>
            </w:pPr>
          </w:p>
        </w:tc>
      </w:tr>
      <w:tr w14:paraId="03AA1A3B">
        <w:tblPrEx>
          <w:tblCellMar>
            <w:top w:w="15" w:type="dxa"/>
            <w:left w:w="15" w:type="dxa"/>
            <w:bottom w:w="15" w:type="dxa"/>
            <w:right w:w="15" w:type="dxa"/>
          </w:tblCellMar>
        </w:tblPrEx>
        <w:trPr>
          <w:trHeight w:val="23" w:hRule="atLeast"/>
          <w:jc w:val="center"/>
        </w:trPr>
        <w:tc>
          <w:tcPr>
            <w:tcW w:w="3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A5CE0A">
            <w:pPr>
              <w:keepNext w:val="0"/>
              <w:keepLines w:val="0"/>
              <w:pageBreakBefore w:val="0"/>
              <w:kinsoku/>
              <w:wordWrap/>
              <w:overflowPunct/>
              <w:topLinePunct w:val="0"/>
              <w:autoSpaceDE/>
              <w:autoSpaceDN/>
              <w:bidi w:val="0"/>
              <w:adjustRightInd/>
              <w:snapToGrid/>
              <w:spacing w:line="240" w:lineRule="exact"/>
              <w:rPr>
                <w:rFonts w:ascii="宋体" w:hAnsi="宋体" w:eastAsia="宋体" w:cs="宋体"/>
                <w:color w:val="000000"/>
                <w:sz w:val="24"/>
                <w:szCs w:val="24"/>
              </w:rPr>
            </w:pPr>
          </w:p>
        </w:tc>
        <w:tc>
          <w:tcPr>
            <w:tcW w:w="178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3794A46">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使用范围</w:t>
            </w:r>
          </w:p>
        </w:tc>
        <w:tc>
          <w:tcPr>
            <w:tcW w:w="2899"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DD55886">
            <w:pPr>
              <w:keepNext w:val="0"/>
              <w:keepLines w:val="0"/>
              <w:pageBreakBefore w:val="0"/>
              <w:kinsoku/>
              <w:wordWrap/>
              <w:overflowPunct/>
              <w:topLinePunct w:val="0"/>
              <w:autoSpaceDE/>
              <w:autoSpaceDN/>
              <w:bidi w:val="0"/>
              <w:adjustRightInd/>
              <w:snapToGrid/>
              <w:spacing w:line="240" w:lineRule="exact"/>
              <w:jc w:val="left"/>
              <w:rPr>
                <w:rFonts w:ascii="宋体" w:hAnsi="宋体" w:eastAsia="宋体" w:cs="宋体"/>
                <w:color w:val="000000"/>
                <w:sz w:val="24"/>
                <w:szCs w:val="24"/>
              </w:rPr>
            </w:pPr>
          </w:p>
        </w:tc>
      </w:tr>
      <w:tr w14:paraId="6BBA33BE">
        <w:tblPrEx>
          <w:tblCellMar>
            <w:top w:w="15" w:type="dxa"/>
            <w:left w:w="15" w:type="dxa"/>
            <w:bottom w:w="15" w:type="dxa"/>
            <w:right w:w="15" w:type="dxa"/>
          </w:tblCellMar>
        </w:tblPrEx>
        <w:trPr>
          <w:trHeight w:val="23" w:hRule="atLeast"/>
          <w:jc w:val="center"/>
        </w:trPr>
        <w:tc>
          <w:tcPr>
            <w:tcW w:w="3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350934">
            <w:pPr>
              <w:keepNext w:val="0"/>
              <w:keepLines w:val="0"/>
              <w:pageBreakBefore w:val="0"/>
              <w:kinsoku/>
              <w:wordWrap/>
              <w:overflowPunct/>
              <w:topLinePunct w:val="0"/>
              <w:autoSpaceDE/>
              <w:autoSpaceDN/>
              <w:bidi w:val="0"/>
              <w:adjustRightInd/>
              <w:snapToGrid/>
              <w:spacing w:line="240" w:lineRule="exact"/>
              <w:rPr>
                <w:rFonts w:ascii="宋体" w:hAnsi="宋体" w:eastAsia="宋体" w:cs="宋体"/>
                <w:color w:val="000000"/>
                <w:sz w:val="24"/>
                <w:szCs w:val="24"/>
              </w:rPr>
            </w:pPr>
          </w:p>
        </w:tc>
        <w:tc>
          <w:tcPr>
            <w:tcW w:w="178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999D6A0">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申报（补助）条件</w:t>
            </w:r>
          </w:p>
        </w:tc>
        <w:tc>
          <w:tcPr>
            <w:tcW w:w="2899"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B0C3A1E">
            <w:pPr>
              <w:keepNext w:val="0"/>
              <w:keepLines w:val="0"/>
              <w:pageBreakBefore w:val="0"/>
              <w:kinsoku/>
              <w:wordWrap/>
              <w:overflowPunct/>
              <w:topLinePunct w:val="0"/>
              <w:autoSpaceDE/>
              <w:autoSpaceDN/>
              <w:bidi w:val="0"/>
              <w:adjustRightInd/>
              <w:snapToGrid/>
              <w:spacing w:line="240" w:lineRule="exact"/>
              <w:jc w:val="left"/>
              <w:rPr>
                <w:rFonts w:ascii="宋体" w:hAnsi="宋体" w:eastAsia="宋体" w:cs="宋体"/>
                <w:color w:val="000000"/>
                <w:sz w:val="24"/>
                <w:szCs w:val="24"/>
              </w:rPr>
            </w:pPr>
          </w:p>
        </w:tc>
      </w:tr>
      <w:tr w14:paraId="7575EB45">
        <w:tblPrEx>
          <w:tblCellMar>
            <w:top w:w="15" w:type="dxa"/>
            <w:left w:w="15" w:type="dxa"/>
            <w:bottom w:w="15" w:type="dxa"/>
            <w:right w:w="15" w:type="dxa"/>
          </w:tblCellMar>
        </w:tblPrEx>
        <w:trPr>
          <w:trHeight w:val="23" w:hRule="atLeast"/>
          <w:jc w:val="center"/>
        </w:trPr>
        <w:tc>
          <w:tcPr>
            <w:tcW w:w="3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C5B74D">
            <w:pPr>
              <w:keepNext w:val="0"/>
              <w:keepLines w:val="0"/>
              <w:pageBreakBefore w:val="0"/>
              <w:kinsoku/>
              <w:wordWrap/>
              <w:overflowPunct/>
              <w:topLinePunct w:val="0"/>
              <w:autoSpaceDE/>
              <w:autoSpaceDN/>
              <w:bidi w:val="0"/>
              <w:adjustRightInd/>
              <w:snapToGrid/>
              <w:spacing w:line="240" w:lineRule="exact"/>
              <w:rPr>
                <w:rFonts w:ascii="宋体" w:hAnsi="宋体" w:eastAsia="宋体" w:cs="宋体"/>
                <w:color w:val="000000"/>
                <w:sz w:val="24"/>
                <w:szCs w:val="24"/>
              </w:rPr>
            </w:pPr>
          </w:p>
        </w:tc>
        <w:tc>
          <w:tcPr>
            <w:tcW w:w="178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28C6DEF">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项目起止年限</w:t>
            </w:r>
          </w:p>
        </w:tc>
        <w:tc>
          <w:tcPr>
            <w:tcW w:w="2899"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0AF7FF6">
            <w:pPr>
              <w:keepNext w:val="0"/>
              <w:keepLines w:val="0"/>
              <w:pageBreakBefore w:val="0"/>
              <w:kinsoku/>
              <w:wordWrap/>
              <w:overflowPunct/>
              <w:topLinePunct w:val="0"/>
              <w:autoSpaceDE/>
              <w:autoSpaceDN/>
              <w:bidi w:val="0"/>
              <w:adjustRightInd/>
              <w:snapToGrid/>
              <w:spacing w:line="240" w:lineRule="exact"/>
              <w:ind w:firstLine="960" w:firstLineChars="400"/>
              <w:rPr>
                <w:rFonts w:ascii="宋体" w:hAnsi="宋体" w:eastAsia="宋体" w:cs="宋体"/>
                <w:color w:val="000000"/>
                <w:sz w:val="24"/>
                <w:szCs w:val="24"/>
              </w:rPr>
            </w:pPr>
            <w:r>
              <w:rPr>
                <w:rFonts w:hint="eastAsia" w:ascii="宋体" w:hAnsi="宋体" w:eastAsia="宋体" w:cs="宋体"/>
                <w:color w:val="000000"/>
                <w:sz w:val="24"/>
                <w:szCs w:val="24"/>
              </w:rPr>
              <w:t>202</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年</w:t>
            </w:r>
          </w:p>
        </w:tc>
      </w:tr>
      <w:tr w14:paraId="6C750B06">
        <w:tblPrEx>
          <w:tblCellMar>
            <w:top w:w="15" w:type="dxa"/>
            <w:left w:w="15" w:type="dxa"/>
            <w:bottom w:w="15" w:type="dxa"/>
            <w:right w:w="15" w:type="dxa"/>
          </w:tblCellMar>
        </w:tblPrEx>
        <w:trPr>
          <w:trHeight w:val="23" w:hRule="atLeast"/>
          <w:jc w:val="center"/>
        </w:trPr>
        <w:tc>
          <w:tcPr>
            <w:tcW w:w="848"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D4DA5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color w:val="000000"/>
                <w:kern w:val="0"/>
                <w:sz w:val="24"/>
                <w:szCs w:val="24"/>
                <w:lang w:bidi="ar"/>
              </w:rPr>
            </w:pPr>
            <w:r>
              <w:rPr>
                <w:rFonts w:ascii="宋体" w:hAnsi="宋体" w:eastAsia="宋体" w:cs="宋体"/>
                <w:color w:val="000000"/>
                <w:kern w:val="0"/>
                <w:sz w:val="24"/>
                <w:szCs w:val="24"/>
                <w:lang w:bidi="ar"/>
              </w:rPr>
              <w:t>项目资金</w:t>
            </w:r>
          </w:p>
          <w:p w14:paraId="34DC6A7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（万元）</w:t>
            </w:r>
          </w:p>
        </w:tc>
        <w:tc>
          <w:tcPr>
            <w:tcW w:w="125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19BDEC">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 xml:space="preserve">  年度资金总额：</w:t>
            </w:r>
          </w:p>
        </w:tc>
        <w:tc>
          <w:tcPr>
            <w:tcW w:w="2899"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7523C26">
            <w:pPr>
              <w:keepNext w:val="0"/>
              <w:keepLines w:val="0"/>
              <w:pageBreakBefore w:val="0"/>
              <w:kinsoku/>
              <w:wordWrap/>
              <w:overflowPunct/>
              <w:topLinePunct w:val="0"/>
              <w:autoSpaceDE/>
              <w:autoSpaceDN/>
              <w:bidi w:val="0"/>
              <w:adjustRightInd/>
              <w:snapToGrid/>
              <w:spacing w:line="240" w:lineRule="exact"/>
              <w:jc w:val="cente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171</w:t>
            </w:r>
          </w:p>
        </w:tc>
      </w:tr>
      <w:tr w14:paraId="6D94A373">
        <w:tblPrEx>
          <w:tblCellMar>
            <w:top w:w="15" w:type="dxa"/>
            <w:left w:w="15" w:type="dxa"/>
            <w:bottom w:w="15" w:type="dxa"/>
            <w:right w:w="15" w:type="dxa"/>
          </w:tblCellMar>
        </w:tblPrEx>
        <w:trPr>
          <w:trHeight w:val="23" w:hRule="atLeast"/>
          <w:jc w:val="center"/>
        </w:trPr>
        <w:tc>
          <w:tcPr>
            <w:tcW w:w="84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107576">
            <w:pPr>
              <w:keepNext w:val="0"/>
              <w:keepLines w:val="0"/>
              <w:pageBreakBefore w:val="0"/>
              <w:kinsoku/>
              <w:wordWrap/>
              <w:overflowPunct/>
              <w:topLinePunct w:val="0"/>
              <w:autoSpaceDE/>
              <w:autoSpaceDN/>
              <w:bidi w:val="0"/>
              <w:adjustRightInd/>
              <w:snapToGrid/>
              <w:spacing w:line="240" w:lineRule="exact"/>
              <w:rPr>
                <w:rFonts w:ascii="宋体" w:hAnsi="宋体" w:eastAsia="宋体" w:cs="宋体"/>
                <w:color w:val="000000"/>
                <w:sz w:val="24"/>
                <w:szCs w:val="24"/>
              </w:rPr>
            </w:pPr>
          </w:p>
        </w:tc>
        <w:tc>
          <w:tcPr>
            <w:tcW w:w="125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8CD4CB">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 xml:space="preserve">    其中：财政拨款</w:t>
            </w:r>
          </w:p>
        </w:tc>
        <w:tc>
          <w:tcPr>
            <w:tcW w:w="2899"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63D33DF">
            <w:pPr>
              <w:keepNext w:val="0"/>
              <w:keepLines w:val="0"/>
              <w:pageBreakBefore w:val="0"/>
              <w:kinsoku/>
              <w:wordWrap/>
              <w:overflowPunct/>
              <w:topLinePunct w:val="0"/>
              <w:autoSpaceDE/>
              <w:autoSpaceDN/>
              <w:bidi w:val="0"/>
              <w:adjustRightInd/>
              <w:snapToGrid/>
              <w:spacing w:line="240" w:lineRule="exact"/>
              <w:jc w:val="cente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171</w:t>
            </w:r>
          </w:p>
        </w:tc>
      </w:tr>
      <w:tr w14:paraId="09AD44A7">
        <w:tblPrEx>
          <w:tblCellMar>
            <w:top w:w="15" w:type="dxa"/>
            <w:left w:w="15" w:type="dxa"/>
            <w:bottom w:w="15" w:type="dxa"/>
            <w:right w:w="15" w:type="dxa"/>
          </w:tblCellMar>
        </w:tblPrEx>
        <w:trPr>
          <w:trHeight w:val="23" w:hRule="atLeast"/>
          <w:jc w:val="center"/>
        </w:trPr>
        <w:tc>
          <w:tcPr>
            <w:tcW w:w="84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5D07F4">
            <w:pPr>
              <w:keepNext w:val="0"/>
              <w:keepLines w:val="0"/>
              <w:pageBreakBefore w:val="0"/>
              <w:kinsoku/>
              <w:wordWrap/>
              <w:overflowPunct/>
              <w:topLinePunct w:val="0"/>
              <w:autoSpaceDE/>
              <w:autoSpaceDN/>
              <w:bidi w:val="0"/>
              <w:adjustRightInd/>
              <w:snapToGrid/>
              <w:spacing w:line="240" w:lineRule="exact"/>
              <w:rPr>
                <w:rFonts w:ascii="宋体" w:hAnsi="宋体" w:eastAsia="宋体" w:cs="宋体"/>
                <w:color w:val="000000"/>
                <w:sz w:val="24"/>
                <w:szCs w:val="24"/>
              </w:rPr>
            </w:pPr>
          </w:p>
        </w:tc>
        <w:tc>
          <w:tcPr>
            <w:tcW w:w="125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1BE528">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 xml:space="preserve">         其他资金</w:t>
            </w:r>
          </w:p>
        </w:tc>
        <w:tc>
          <w:tcPr>
            <w:tcW w:w="2899"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5F7B2E5">
            <w:pPr>
              <w:keepNext w:val="0"/>
              <w:keepLines w:val="0"/>
              <w:pageBreakBefore w:val="0"/>
              <w:kinsoku/>
              <w:wordWrap/>
              <w:overflowPunct/>
              <w:topLinePunct w:val="0"/>
              <w:autoSpaceDE/>
              <w:autoSpaceDN/>
              <w:bidi w:val="0"/>
              <w:adjustRightInd/>
              <w:snapToGrid/>
              <w:spacing w:line="240" w:lineRule="exact"/>
              <w:jc w:val="right"/>
              <w:rPr>
                <w:rFonts w:ascii="宋体" w:hAnsi="宋体" w:eastAsia="宋体" w:cs="宋体"/>
                <w:color w:val="000000"/>
                <w:sz w:val="24"/>
                <w:szCs w:val="24"/>
              </w:rPr>
            </w:pPr>
          </w:p>
        </w:tc>
      </w:tr>
      <w:tr w14:paraId="0B6F5BB0">
        <w:tblPrEx>
          <w:tblCellMar>
            <w:top w:w="15" w:type="dxa"/>
            <w:left w:w="15" w:type="dxa"/>
            <w:bottom w:w="15" w:type="dxa"/>
            <w:right w:w="15" w:type="dxa"/>
          </w:tblCellMar>
        </w:tblPrEx>
        <w:trPr>
          <w:trHeight w:val="23" w:hRule="atLeast"/>
          <w:jc w:val="center"/>
        </w:trPr>
        <w:tc>
          <w:tcPr>
            <w:tcW w:w="31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D41F2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总体 目标</w:t>
            </w:r>
          </w:p>
        </w:tc>
        <w:tc>
          <w:tcPr>
            <w:tcW w:w="4682"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0AA674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年度目标</w:t>
            </w:r>
          </w:p>
        </w:tc>
      </w:tr>
      <w:tr w14:paraId="6C02D878">
        <w:tblPrEx>
          <w:tblCellMar>
            <w:top w:w="15" w:type="dxa"/>
            <w:left w:w="15" w:type="dxa"/>
            <w:bottom w:w="15" w:type="dxa"/>
            <w:right w:w="15" w:type="dxa"/>
          </w:tblCellMar>
        </w:tblPrEx>
        <w:trPr>
          <w:trHeight w:val="23" w:hRule="atLeast"/>
          <w:jc w:val="center"/>
        </w:trPr>
        <w:tc>
          <w:tcPr>
            <w:tcW w:w="31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9D6779">
            <w:pPr>
              <w:keepNext w:val="0"/>
              <w:keepLines w:val="0"/>
              <w:pageBreakBefore w:val="0"/>
              <w:kinsoku/>
              <w:wordWrap/>
              <w:overflowPunct/>
              <w:topLinePunct w:val="0"/>
              <w:autoSpaceDE/>
              <w:autoSpaceDN/>
              <w:bidi w:val="0"/>
              <w:adjustRightInd/>
              <w:snapToGrid/>
              <w:spacing w:line="240" w:lineRule="exact"/>
              <w:rPr>
                <w:rFonts w:ascii="宋体" w:hAnsi="宋体" w:eastAsia="宋体" w:cs="宋体"/>
                <w:color w:val="000000"/>
                <w:sz w:val="24"/>
                <w:szCs w:val="24"/>
              </w:rPr>
            </w:pPr>
          </w:p>
        </w:tc>
        <w:tc>
          <w:tcPr>
            <w:tcW w:w="4682"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602A3A5">
            <w:pPr>
              <w:keepNext w:val="0"/>
              <w:keepLines w:val="0"/>
              <w:pageBreakBefore w:val="0"/>
              <w:kinsoku/>
              <w:wordWrap/>
              <w:overflowPunct/>
              <w:topLinePunct w:val="0"/>
              <w:autoSpaceDE/>
              <w:autoSpaceDN/>
              <w:bidi w:val="0"/>
              <w:adjustRightInd/>
              <w:snapToGrid/>
              <w:spacing w:line="240" w:lineRule="exact"/>
              <w:rPr>
                <w:rFonts w:ascii="宋体" w:hAnsi="宋体" w:eastAsia="宋体" w:cs="宋体"/>
                <w:color w:val="000000"/>
                <w:sz w:val="24"/>
                <w:szCs w:val="24"/>
              </w:rPr>
            </w:pPr>
            <w:r>
              <w:rPr>
                <w:rFonts w:hint="eastAsia" w:ascii="宋体" w:hAnsi="宋体" w:eastAsia="宋体" w:cs="宋体"/>
                <w:color w:val="000000"/>
                <w:sz w:val="24"/>
                <w:szCs w:val="24"/>
              </w:rPr>
              <w:t>组织开展全县区域合作活动，承办、参与区域合作组织 的会议活动，负责与友好地区、友好城市、友好单位的沟通协调。</w:t>
            </w:r>
          </w:p>
        </w:tc>
      </w:tr>
      <w:tr w14:paraId="19EDDABD">
        <w:tblPrEx>
          <w:tblCellMar>
            <w:top w:w="15" w:type="dxa"/>
            <w:left w:w="15" w:type="dxa"/>
            <w:bottom w:w="15" w:type="dxa"/>
            <w:right w:w="15" w:type="dxa"/>
          </w:tblCellMar>
        </w:tblPrEx>
        <w:trPr>
          <w:trHeight w:val="23" w:hRule="atLeast"/>
          <w:jc w:val="center"/>
        </w:trPr>
        <w:tc>
          <w:tcPr>
            <w:tcW w:w="317" w:type="pct"/>
            <w:vMerge w:val="restart"/>
            <w:tcBorders>
              <w:top w:val="single" w:color="000000" w:sz="4" w:space="0"/>
              <w:left w:val="single" w:color="000000" w:sz="4" w:space="0"/>
              <w:bottom w:val="single" w:color="000000" w:sz="4" w:space="0"/>
            </w:tcBorders>
            <w:shd w:val="clear" w:color="auto" w:fill="auto"/>
            <w:vAlign w:val="center"/>
          </w:tcPr>
          <w:p w14:paraId="6A6DDEB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绩效 指标</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0BFBD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一级指标</w:t>
            </w:r>
          </w:p>
        </w:tc>
        <w:tc>
          <w:tcPr>
            <w:tcW w:w="611" w:type="pct"/>
            <w:tcBorders>
              <w:top w:val="single" w:color="000000" w:sz="4" w:space="0"/>
              <w:left w:val="single" w:color="000000" w:sz="4" w:space="0"/>
              <w:bottom w:val="single" w:color="auto" w:sz="4" w:space="0"/>
              <w:right w:val="single" w:color="000000" w:sz="4" w:space="0"/>
            </w:tcBorders>
            <w:shd w:val="clear" w:color="auto" w:fill="auto"/>
            <w:vAlign w:val="center"/>
          </w:tcPr>
          <w:p w14:paraId="7A0CFF07">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二级指标</w:t>
            </w:r>
          </w:p>
        </w:tc>
        <w:tc>
          <w:tcPr>
            <w:tcW w:w="641" w:type="pct"/>
            <w:tcBorders>
              <w:top w:val="single" w:color="000000" w:sz="4" w:space="0"/>
              <w:left w:val="single" w:color="000000" w:sz="4" w:space="0"/>
              <w:bottom w:val="single" w:color="auto" w:sz="4" w:space="0"/>
              <w:right w:val="single" w:color="000000" w:sz="4" w:space="0"/>
            </w:tcBorders>
            <w:shd w:val="clear" w:color="auto" w:fill="auto"/>
            <w:vAlign w:val="center"/>
          </w:tcPr>
          <w:p w14:paraId="69FF1F9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三级指标</w:t>
            </w:r>
          </w:p>
        </w:tc>
        <w:tc>
          <w:tcPr>
            <w:tcW w:w="549" w:type="pct"/>
            <w:tcBorders>
              <w:top w:val="single" w:color="000000" w:sz="4" w:space="0"/>
              <w:left w:val="single" w:color="000000" w:sz="4" w:space="0"/>
              <w:bottom w:val="single" w:color="auto" w:sz="4" w:space="0"/>
              <w:right w:val="single" w:color="000000" w:sz="4" w:space="0"/>
            </w:tcBorders>
            <w:shd w:val="clear" w:color="auto" w:fill="auto"/>
            <w:vAlign w:val="center"/>
          </w:tcPr>
          <w:p w14:paraId="7A9936B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指标性质</w:t>
            </w:r>
          </w:p>
        </w:tc>
        <w:tc>
          <w:tcPr>
            <w:tcW w:w="473" w:type="pct"/>
            <w:tcBorders>
              <w:top w:val="single" w:color="000000" w:sz="4" w:space="0"/>
              <w:left w:val="single" w:color="000000" w:sz="4" w:space="0"/>
              <w:bottom w:val="single" w:color="auto" w:sz="4" w:space="0"/>
              <w:right w:val="single" w:color="000000" w:sz="4" w:space="0"/>
            </w:tcBorders>
            <w:shd w:val="clear" w:color="auto" w:fill="auto"/>
            <w:vAlign w:val="center"/>
          </w:tcPr>
          <w:p w14:paraId="11F31B8D">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指标值</w:t>
            </w:r>
          </w:p>
        </w:tc>
        <w:tc>
          <w:tcPr>
            <w:tcW w:w="518" w:type="pct"/>
            <w:tcBorders>
              <w:top w:val="single" w:color="000000" w:sz="4" w:space="0"/>
              <w:left w:val="single" w:color="000000" w:sz="4" w:space="0"/>
              <w:bottom w:val="single" w:color="auto" w:sz="4" w:space="0"/>
              <w:right w:val="single" w:color="000000" w:sz="4" w:space="0"/>
            </w:tcBorders>
            <w:shd w:val="clear" w:color="auto" w:fill="auto"/>
            <w:vAlign w:val="center"/>
          </w:tcPr>
          <w:p w14:paraId="033CF53D">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度量单位</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D160D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权重</w:t>
            </w:r>
          </w:p>
        </w:tc>
        <w:tc>
          <w:tcPr>
            <w:tcW w:w="8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26F49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实际完成指标值</w:t>
            </w:r>
          </w:p>
        </w:tc>
      </w:tr>
      <w:tr w14:paraId="4DDA43C0">
        <w:tblPrEx>
          <w:tblCellMar>
            <w:top w:w="15" w:type="dxa"/>
            <w:left w:w="15" w:type="dxa"/>
            <w:bottom w:w="15" w:type="dxa"/>
            <w:right w:w="15" w:type="dxa"/>
          </w:tblCellMar>
        </w:tblPrEx>
        <w:trPr>
          <w:trHeight w:val="23" w:hRule="atLeast"/>
          <w:jc w:val="center"/>
        </w:trPr>
        <w:tc>
          <w:tcPr>
            <w:tcW w:w="317" w:type="pct"/>
            <w:vMerge w:val="continue"/>
            <w:tcBorders>
              <w:top w:val="single" w:color="000000" w:sz="4" w:space="0"/>
              <w:left w:val="single" w:color="000000" w:sz="4" w:space="0"/>
              <w:bottom w:val="single" w:color="000000" w:sz="4" w:space="0"/>
            </w:tcBorders>
            <w:shd w:val="clear" w:color="auto" w:fill="auto"/>
            <w:vAlign w:val="center"/>
          </w:tcPr>
          <w:p w14:paraId="404BDD73">
            <w:pPr>
              <w:keepNext w:val="0"/>
              <w:keepLines w:val="0"/>
              <w:pageBreakBefore w:val="0"/>
              <w:kinsoku/>
              <w:wordWrap/>
              <w:overflowPunct/>
              <w:topLinePunct w:val="0"/>
              <w:autoSpaceDE/>
              <w:autoSpaceDN/>
              <w:bidi w:val="0"/>
              <w:adjustRightInd/>
              <w:snapToGrid/>
              <w:spacing w:line="240" w:lineRule="exact"/>
              <w:jc w:val="center"/>
              <w:rPr>
                <w:rFonts w:ascii="宋体" w:hAnsi="宋体" w:eastAsia="宋体" w:cs="宋体"/>
                <w:color w:val="000000"/>
                <w:sz w:val="24"/>
                <w:szCs w:val="24"/>
              </w:rPr>
            </w:pPr>
          </w:p>
        </w:tc>
        <w:tc>
          <w:tcPr>
            <w:tcW w:w="531" w:type="pct"/>
            <w:vMerge w:val="restart"/>
            <w:tcBorders>
              <w:top w:val="single" w:color="000000" w:sz="4" w:space="0"/>
              <w:left w:val="single" w:color="000000" w:sz="4" w:space="0"/>
              <w:bottom w:val="single" w:color="000000" w:sz="4" w:space="0"/>
              <w:right w:val="single" w:color="auto" w:sz="4" w:space="0"/>
            </w:tcBorders>
            <w:shd w:val="clear" w:color="auto" w:fill="auto"/>
            <w:vAlign w:val="center"/>
          </w:tcPr>
          <w:p w14:paraId="295CFEE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产出指标</w:t>
            </w:r>
          </w:p>
        </w:tc>
        <w:tc>
          <w:tcPr>
            <w:tcW w:w="611" w:type="pct"/>
            <w:vMerge w:val="restart"/>
            <w:tcBorders>
              <w:top w:val="single" w:color="auto" w:sz="4" w:space="0"/>
              <w:left w:val="single" w:color="auto" w:sz="4" w:space="0"/>
              <w:right w:val="single" w:color="auto" w:sz="4" w:space="0"/>
            </w:tcBorders>
            <w:shd w:val="clear" w:color="auto" w:fill="auto"/>
            <w:vAlign w:val="center"/>
          </w:tcPr>
          <w:p w14:paraId="2B04F5F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数量指标</w:t>
            </w:r>
          </w:p>
        </w:tc>
        <w:tc>
          <w:tcPr>
            <w:tcW w:w="641" w:type="pct"/>
            <w:tcBorders>
              <w:top w:val="single" w:color="000000" w:sz="4" w:space="0"/>
              <w:left w:val="single" w:color="auto" w:sz="4" w:space="0"/>
              <w:bottom w:val="single" w:color="000000" w:sz="4" w:space="0"/>
              <w:right w:val="single" w:color="000000" w:sz="4" w:space="0"/>
            </w:tcBorders>
            <w:shd w:val="clear" w:color="auto" w:fill="auto"/>
            <w:vAlign w:val="center"/>
          </w:tcPr>
          <w:p w14:paraId="7EFBCE44">
            <w:pPr>
              <w:keepNext w:val="0"/>
              <w:keepLines w:val="0"/>
              <w:pageBreakBefore w:val="0"/>
              <w:widowControl/>
              <w:kinsoku/>
              <w:wordWrap/>
              <w:overflowPunct/>
              <w:topLinePunct w:val="0"/>
              <w:autoSpaceDE/>
              <w:autoSpaceDN/>
              <w:bidi w:val="0"/>
              <w:adjustRightInd/>
              <w:snapToGrid/>
              <w:spacing w:line="240" w:lineRule="exact"/>
              <w:jc w:val="center"/>
              <w:rPr>
                <w:rFonts w:ascii="宋体" w:hAnsi="宋体" w:eastAsia="宋体"/>
                <w:color w:val="000000"/>
                <w:kern w:val="0"/>
                <w:sz w:val="24"/>
                <w:szCs w:val="24"/>
              </w:rPr>
            </w:pPr>
            <w:r>
              <w:rPr>
                <w:rFonts w:hint="eastAsia" w:ascii="宋体" w:hAnsi="宋体" w:eastAsia="宋体"/>
                <w:color w:val="000000"/>
                <w:sz w:val="24"/>
                <w:szCs w:val="24"/>
                <w:lang w:val="en-US" w:eastAsia="zh-CN"/>
              </w:rPr>
              <w:t>业务培训</w:t>
            </w:r>
            <w:r>
              <w:rPr>
                <w:rFonts w:hint="eastAsia" w:ascii="宋体" w:hAnsi="宋体" w:eastAsia="宋体"/>
                <w:color w:val="000000"/>
                <w:sz w:val="24"/>
                <w:szCs w:val="24"/>
              </w:rPr>
              <w:t>次数</w:t>
            </w:r>
          </w:p>
        </w:tc>
        <w:tc>
          <w:tcPr>
            <w:tcW w:w="549" w:type="pct"/>
            <w:tcBorders>
              <w:top w:val="single" w:color="000000" w:sz="4" w:space="0"/>
              <w:left w:val="nil"/>
              <w:bottom w:val="single" w:color="000000" w:sz="4" w:space="0"/>
              <w:right w:val="single" w:color="000000" w:sz="4" w:space="0"/>
            </w:tcBorders>
            <w:shd w:val="clear" w:color="auto" w:fill="auto"/>
            <w:vAlign w:val="center"/>
          </w:tcPr>
          <w:p w14:paraId="5FBBE14F">
            <w:pPr>
              <w:keepNext w:val="0"/>
              <w:keepLines w:val="0"/>
              <w:pageBreakBefore w:val="0"/>
              <w:kinsoku/>
              <w:wordWrap/>
              <w:overflowPunct/>
              <w:topLinePunct w:val="0"/>
              <w:autoSpaceDE/>
              <w:autoSpaceDN/>
              <w:bidi w:val="0"/>
              <w:adjustRightInd/>
              <w:snapToGrid/>
              <w:spacing w:line="240" w:lineRule="exact"/>
              <w:jc w:val="center"/>
              <w:rPr>
                <w:rFonts w:ascii="宋体" w:hAnsi="宋体" w:eastAsia="宋体"/>
                <w:color w:val="000000"/>
                <w:sz w:val="24"/>
                <w:szCs w:val="24"/>
              </w:rPr>
            </w:pPr>
            <w:r>
              <w:rPr>
                <w:rFonts w:hint="eastAsia" w:ascii="宋体" w:hAnsi="宋体" w:eastAsia="宋体"/>
                <w:color w:val="000000"/>
                <w:sz w:val="24"/>
                <w:szCs w:val="24"/>
              </w:rPr>
              <w:t>≥</w:t>
            </w:r>
          </w:p>
        </w:tc>
        <w:tc>
          <w:tcPr>
            <w:tcW w:w="473" w:type="pct"/>
            <w:tcBorders>
              <w:top w:val="single" w:color="000000" w:sz="4" w:space="0"/>
              <w:left w:val="nil"/>
              <w:bottom w:val="single" w:color="000000" w:sz="4" w:space="0"/>
              <w:right w:val="single" w:color="000000" w:sz="4" w:space="0"/>
            </w:tcBorders>
            <w:shd w:val="clear" w:color="auto" w:fill="auto"/>
            <w:vAlign w:val="center"/>
          </w:tcPr>
          <w:p w14:paraId="1F371FDD">
            <w:pPr>
              <w:keepNext w:val="0"/>
              <w:keepLines w:val="0"/>
              <w:pageBreakBefore w:val="0"/>
              <w:kinsoku/>
              <w:wordWrap/>
              <w:overflowPunct/>
              <w:topLinePunct w:val="0"/>
              <w:autoSpaceDE/>
              <w:autoSpaceDN/>
              <w:bidi w:val="0"/>
              <w:adjustRightInd/>
              <w:snapToGrid/>
              <w:spacing w:line="240" w:lineRule="exact"/>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10</w:t>
            </w:r>
          </w:p>
        </w:tc>
        <w:tc>
          <w:tcPr>
            <w:tcW w:w="518" w:type="pct"/>
            <w:tcBorders>
              <w:top w:val="single" w:color="000000" w:sz="4" w:space="0"/>
              <w:left w:val="nil"/>
              <w:bottom w:val="single" w:color="000000" w:sz="4" w:space="0"/>
              <w:right w:val="single" w:color="000000" w:sz="4" w:space="0"/>
            </w:tcBorders>
            <w:shd w:val="clear" w:color="auto" w:fill="auto"/>
            <w:vAlign w:val="center"/>
          </w:tcPr>
          <w:p w14:paraId="7AACE352">
            <w:pPr>
              <w:keepNext w:val="0"/>
              <w:keepLines w:val="0"/>
              <w:pageBreakBefore w:val="0"/>
              <w:kinsoku/>
              <w:wordWrap/>
              <w:overflowPunct/>
              <w:topLinePunct w:val="0"/>
              <w:autoSpaceDE/>
              <w:autoSpaceDN/>
              <w:bidi w:val="0"/>
              <w:adjustRightInd/>
              <w:snapToGrid/>
              <w:spacing w:line="240" w:lineRule="exact"/>
              <w:jc w:val="center"/>
              <w:rPr>
                <w:rFonts w:ascii="宋体" w:hAnsi="宋体" w:eastAsia="宋体"/>
                <w:color w:val="000000"/>
                <w:sz w:val="24"/>
                <w:szCs w:val="24"/>
              </w:rPr>
            </w:pPr>
            <w:r>
              <w:rPr>
                <w:rFonts w:hint="eastAsia" w:ascii="宋体" w:hAnsi="宋体" w:eastAsia="宋体"/>
                <w:color w:val="000000"/>
                <w:sz w:val="24"/>
                <w:szCs w:val="24"/>
              </w:rPr>
              <w:t>次</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9B7421">
            <w:pPr>
              <w:keepNext w:val="0"/>
              <w:keepLines w:val="0"/>
              <w:pageBreakBefore w:val="0"/>
              <w:widowControl/>
              <w:kinsoku/>
              <w:wordWrap/>
              <w:overflowPunct/>
              <w:topLinePunct w:val="0"/>
              <w:autoSpaceDE/>
              <w:autoSpaceDN/>
              <w:bidi w:val="0"/>
              <w:adjustRightInd/>
              <w:snapToGrid/>
              <w:spacing w:line="240" w:lineRule="exact"/>
              <w:jc w:val="center"/>
              <w:rPr>
                <w:rFonts w:eastAsia="宋体"/>
                <w:color w:val="000000"/>
                <w:kern w:val="0"/>
                <w:sz w:val="24"/>
                <w:szCs w:val="24"/>
              </w:rPr>
            </w:pPr>
            <w:r>
              <w:rPr>
                <w:rFonts w:hint="eastAsia"/>
                <w:color w:val="000000"/>
                <w:sz w:val="24"/>
                <w:szCs w:val="24"/>
              </w:rPr>
              <w:t>10</w:t>
            </w:r>
          </w:p>
        </w:tc>
        <w:tc>
          <w:tcPr>
            <w:tcW w:w="8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B3F280">
            <w:pPr>
              <w:keepNext w:val="0"/>
              <w:keepLines w:val="0"/>
              <w:pageBreakBefore w:val="0"/>
              <w:kinsoku/>
              <w:wordWrap/>
              <w:overflowPunct/>
              <w:topLinePunct w:val="0"/>
              <w:autoSpaceDE/>
              <w:autoSpaceDN/>
              <w:bidi w:val="0"/>
              <w:adjustRightInd/>
              <w:snapToGrid/>
              <w:spacing w:line="240" w:lineRule="exact"/>
              <w:jc w:val="center"/>
              <w:rPr>
                <w:rFonts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0</w:t>
            </w:r>
          </w:p>
        </w:tc>
      </w:tr>
      <w:tr w14:paraId="579A0911">
        <w:tblPrEx>
          <w:tblCellMar>
            <w:top w:w="15" w:type="dxa"/>
            <w:left w:w="15" w:type="dxa"/>
            <w:bottom w:w="15" w:type="dxa"/>
            <w:right w:w="15" w:type="dxa"/>
          </w:tblCellMar>
        </w:tblPrEx>
        <w:trPr>
          <w:trHeight w:val="23" w:hRule="atLeast"/>
          <w:jc w:val="center"/>
        </w:trPr>
        <w:tc>
          <w:tcPr>
            <w:tcW w:w="317" w:type="pct"/>
            <w:vMerge w:val="continue"/>
            <w:tcBorders>
              <w:top w:val="single" w:color="000000" w:sz="4" w:space="0"/>
              <w:left w:val="single" w:color="000000" w:sz="4" w:space="0"/>
              <w:bottom w:val="single" w:color="000000" w:sz="4" w:space="0"/>
            </w:tcBorders>
            <w:shd w:val="clear" w:color="auto" w:fill="auto"/>
            <w:vAlign w:val="center"/>
          </w:tcPr>
          <w:p w14:paraId="0AB70ED4">
            <w:pPr>
              <w:keepNext w:val="0"/>
              <w:keepLines w:val="0"/>
              <w:pageBreakBefore w:val="0"/>
              <w:kinsoku/>
              <w:wordWrap/>
              <w:overflowPunct/>
              <w:topLinePunct w:val="0"/>
              <w:autoSpaceDE/>
              <w:autoSpaceDN/>
              <w:bidi w:val="0"/>
              <w:adjustRightInd/>
              <w:snapToGrid/>
              <w:spacing w:line="240" w:lineRule="exact"/>
              <w:jc w:val="center"/>
              <w:rPr>
                <w:rFonts w:ascii="宋体" w:hAnsi="宋体" w:eastAsia="宋体" w:cs="宋体"/>
                <w:color w:val="000000"/>
                <w:sz w:val="24"/>
                <w:szCs w:val="24"/>
              </w:rPr>
            </w:pPr>
          </w:p>
        </w:tc>
        <w:tc>
          <w:tcPr>
            <w:tcW w:w="531" w:type="pct"/>
            <w:vMerge w:val="continue"/>
            <w:tcBorders>
              <w:left w:val="single" w:color="000000" w:sz="4" w:space="0"/>
              <w:right w:val="single" w:color="auto" w:sz="4" w:space="0"/>
            </w:tcBorders>
            <w:shd w:val="clear" w:color="auto" w:fill="auto"/>
            <w:vAlign w:val="center"/>
          </w:tcPr>
          <w:p w14:paraId="03299633">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color w:val="000000"/>
                <w:kern w:val="0"/>
                <w:sz w:val="24"/>
                <w:szCs w:val="24"/>
                <w:lang w:bidi="ar"/>
              </w:rPr>
            </w:pPr>
          </w:p>
        </w:tc>
        <w:tc>
          <w:tcPr>
            <w:tcW w:w="611" w:type="pct"/>
            <w:vMerge w:val="continue"/>
            <w:tcBorders>
              <w:left w:val="single" w:color="auto" w:sz="4" w:space="0"/>
              <w:bottom w:val="single" w:color="auto" w:sz="4" w:space="0"/>
              <w:right w:val="single" w:color="auto" w:sz="4" w:space="0"/>
            </w:tcBorders>
            <w:shd w:val="clear" w:color="auto" w:fill="auto"/>
            <w:vAlign w:val="center"/>
          </w:tcPr>
          <w:p w14:paraId="549226E2">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color w:val="000000"/>
                <w:kern w:val="0"/>
                <w:sz w:val="24"/>
                <w:szCs w:val="24"/>
                <w:lang w:bidi="ar"/>
              </w:rPr>
            </w:pPr>
          </w:p>
        </w:tc>
        <w:tc>
          <w:tcPr>
            <w:tcW w:w="641" w:type="pct"/>
            <w:tcBorders>
              <w:top w:val="single" w:color="000000" w:sz="4" w:space="0"/>
              <w:left w:val="single" w:color="auto" w:sz="4" w:space="0"/>
              <w:bottom w:val="single" w:color="000000" w:sz="4" w:space="0"/>
              <w:right w:val="single" w:color="000000" w:sz="4" w:space="0"/>
            </w:tcBorders>
            <w:shd w:val="clear" w:color="auto" w:fill="auto"/>
            <w:vAlign w:val="center"/>
          </w:tcPr>
          <w:p w14:paraId="29D7822D">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考察调研次数</w:t>
            </w:r>
          </w:p>
        </w:tc>
        <w:tc>
          <w:tcPr>
            <w:tcW w:w="549" w:type="pct"/>
            <w:tcBorders>
              <w:top w:val="single" w:color="000000" w:sz="4" w:space="0"/>
              <w:left w:val="nil"/>
              <w:bottom w:val="single" w:color="000000" w:sz="4" w:space="0"/>
              <w:right w:val="single" w:color="000000" w:sz="4" w:space="0"/>
            </w:tcBorders>
            <w:shd w:val="clear" w:color="auto" w:fill="auto"/>
            <w:vAlign w:val="center"/>
          </w:tcPr>
          <w:p w14:paraId="0C05963C">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w:t>
            </w:r>
          </w:p>
        </w:tc>
        <w:tc>
          <w:tcPr>
            <w:tcW w:w="473" w:type="pct"/>
            <w:tcBorders>
              <w:top w:val="single" w:color="000000" w:sz="4" w:space="0"/>
              <w:left w:val="nil"/>
              <w:bottom w:val="single" w:color="000000" w:sz="4" w:space="0"/>
              <w:right w:val="single" w:color="000000" w:sz="4" w:space="0"/>
            </w:tcBorders>
            <w:shd w:val="clear" w:color="auto" w:fill="auto"/>
            <w:vAlign w:val="center"/>
          </w:tcPr>
          <w:p w14:paraId="27AF2D83">
            <w:pPr>
              <w:keepNext w:val="0"/>
              <w:keepLines w:val="0"/>
              <w:pageBreakBefore w:val="0"/>
              <w:kinsoku/>
              <w:wordWrap/>
              <w:overflowPunct/>
              <w:topLinePunct w:val="0"/>
              <w:autoSpaceDE/>
              <w:autoSpaceDN/>
              <w:bidi w:val="0"/>
              <w:adjustRightInd/>
              <w:snapToGrid/>
              <w:spacing w:line="240" w:lineRule="exact"/>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50</w:t>
            </w:r>
          </w:p>
        </w:tc>
        <w:tc>
          <w:tcPr>
            <w:tcW w:w="518" w:type="pct"/>
            <w:tcBorders>
              <w:top w:val="single" w:color="000000" w:sz="4" w:space="0"/>
              <w:left w:val="nil"/>
              <w:bottom w:val="single" w:color="000000" w:sz="4" w:space="0"/>
              <w:right w:val="single" w:color="000000" w:sz="4" w:space="0"/>
            </w:tcBorders>
            <w:shd w:val="clear" w:color="auto" w:fill="auto"/>
            <w:vAlign w:val="center"/>
          </w:tcPr>
          <w:p w14:paraId="3916E122">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次</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1DB4B1">
            <w:pPr>
              <w:keepNext w:val="0"/>
              <w:keepLines w:val="0"/>
              <w:pageBreakBefore w:val="0"/>
              <w:widowControl/>
              <w:kinsoku/>
              <w:wordWrap/>
              <w:overflowPunct/>
              <w:topLinePunct w:val="0"/>
              <w:autoSpaceDE/>
              <w:autoSpaceDN/>
              <w:bidi w:val="0"/>
              <w:adjustRightInd/>
              <w:snapToGrid/>
              <w:spacing w:line="240" w:lineRule="exact"/>
              <w:jc w:val="center"/>
              <w:rPr>
                <w:rFonts w:hint="default" w:eastAsia="仿宋_GB2312"/>
                <w:color w:val="000000"/>
                <w:sz w:val="24"/>
                <w:szCs w:val="24"/>
                <w:lang w:val="en-US" w:eastAsia="zh-CN"/>
              </w:rPr>
            </w:pPr>
            <w:r>
              <w:rPr>
                <w:rFonts w:hint="eastAsia"/>
                <w:color w:val="000000"/>
                <w:sz w:val="24"/>
                <w:szCs w:val="24"/>
                <w:lang w:val="en-US" w:eastAsia="zh-CN"/>
              </w:rPr>
              <w:t>20</w:t>
            </w:r>
          </w:p>
        </w:tc>
        <w:tc>
          <w:tcPr>
            <w:tcW w:w="8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109F0F">
            <w:pPr>
              <w:keepNext w:val="0"/>
              <w:keepLines w:val="0"/>
              <w:pageBreakBefore w:val="0"/>
              <w:kinsoku/>
              <w:wordWrap/>
              <w:overflowPunct/>
              <w:topLinePunct w:val="0"/>
              <w:autoSpaceDE/>
              <w:autoSpaceDN/>
              <w:bidi w:val="0"/>
              <w:adjustRightInd/>
              <w:snapToGrid/>
              <w:spacing w:line="240" w:lineRule="exact"/>
              <w:jc w:val="cente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70</w:t>
            </w:r>
          </w:p>
        </w:tc>
      </w:tr>
      <w:tr w14:paraId="41026D0C">
        <w:tblPrEx>
          <w:tblCellMar>
            <w:top w:w="15" w:type="dxa"/>
            <w:left w:w="15" w:type="dxa"/>
            <w:bottom w:w="15" w:type="dxa"/>
            <w:right w:w="15" w:type="dxa"/>
          </w:tblCellMar>
        </w:tblPrEx>
        <w:trPr>
          <w:trHeight w:val="23" w:hRule="atLeast"/>
          <w:jc w:val="center"/>
        </w:trPr>
        <w:tc>
          <w:tcPr>
            <w:tcW w:w="317" w:type="pct"/>
            <w:vMerge w:val="continue"/>
            <w:tcBorders>
              <w:top w:val="single" w:color="000000" w:sz="4" w:space="0"/>
              <w:left w:val="single" w:color="000000" w:sz="4" w:space="0"/>
              <w:bottom w:val="single" w:color="000000" w:sz="4" w:space="0"/>
            </w:tcBorders>
            <w:shd w:val="clear" w:color="auto" w:fill="auto"/>
            <w:vAlign w:val="center"/>
          </w:tcPr>
          <w:p w14:paraId="0467730C">
            <w:pPr>
              <w:keepNext w:val="0"/>
              <w:keepLines w:val="0"/>
              <w:pageBreakBefore w:val="0"/>
              <w:kinsoku/>
              <w:wordWrap/>
              <w:overflowPunct/>
              <w:topLinePunct w:val="0"/>
              <w:autoSpaceDE/>
              <w:autoSpaceDN/>
              <w:bidi w:val="0"/>
              <w:adjustRightInd/>
              <w:snapToGrid/>
              <w:spacing w:line="240" w:lineRule="exact"/>
              <w:jc w:val="center"/>
              <w:rPr>
                <w:rFonts w:ascii="宋体" w:hAnsi="宋体" w:eastAsia="宋体" w:cs="宋体"/>
                <w:color w:val="000000"/>
                <w:sz w:val="24"/>
                <w:szCs w:val="24"/>
              </w:rPr>
            </w:pPr>
          </w:p>
        </w:tc>
        <w:tc>
          <w:tcPr>
            <w:tcW w:w="5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D6407E">
            <w:pPr>
              <w:keepNext w:val="0"/>
              <w:keepLines w:val="0"/>
              <w:pageBreakBefore w:val="0"/>
              <w:kinsoku/>
              <w:wordWrap/>
              <w:overflowPunct/>
              <w:topLinePunct w:val="0"/>
              <w:autoSpaceDE/>
              <w:autoSpaceDN/>
              <w:bidi w:val="0"/>
              <w:adjustRightInd/>
              <w:snapToGrid/>
              <w:spacing w:line="240" w:lineRule="exact"/>
              <w:jc w:val="center"/>
              <w:rPr>
                <w:rFonts w:ascii="宋体" w:hAnsi="宋体" w:eastAsia="宋体" w:cs="宋体"/>
                <w:color w:val="000000"/>
                <w:sz w:val="24"/>
                <w:szCs w:val="24"/>
              </w:rPr>
            </w:pPr>
          </w:p>
        </w:tc>
        <w:tc>
          <w:tcPr>
            <w:tcW w:w="611" w:type="pct"/>
            <w:vMerge w:val="restart"/>
            <w:tcBorders>
              <w:top w:val="single" w:color="auto" w:sz="4" w:space="0"/>
              <w:left w:val="single" w:color="000000" w:sz="4" w:space="0"/>
              <w:right w:val="single" w:color="auto" w:sz="4" w:space="0"/>
            </w:tcBorders>
            <w:shd w:val="clear" w:color="auto" w:fill="auto"/>
            <w:vAlign w:val="center"/>
          </w:tcPr>
          <w:p w14:paraId="353036B1">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质量指标</w:t>
            </w:r>
          </w:p>
        </w:tc>
        <w:tc>
          <w:tcPr>
            <w:tcW w:w="641" w:type="pct"/>
            <w:tcBorders>
              <w:top w:val="nil"/>
              <w:left w:val="single" w:color="000000" w:sz="4" w:space="0"/>
              <w:bottom w:val="single" w:color="000000" w:sz="4" w:space="0"/>
              <w:right w:val="single" w:color="000000" w:sz="4" w:space="0"/>
            </w:tcBorders>
            <w:shd w:val="clear" w:color="auto" w:fill="auto"/>
            <w:vAlign w:val="center"/>
          </w:tcPr>
          <w:p w14:paraId="5165140E">
            <w:pPr>
              <w:keepNext w:val="0"/>
              <w:keepLines w:val="0"/>
              <w:pageBreakBefore w:val="0"/>
              <w:kinsoku/>
              <w:wordWrap/>
              <w:overflowPunct/>
              <w:topLinePunct w:val="0"/>
              <w:autoSpaceDE/>
              <w:autoSpaceDN/>
              <w:bidi w:val="0"/>
              <w:adjustRightInd/>
              <w:snapToGrid/>
              <w:spacing w:line="240" w:lineRule="exact"/>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业务培训合格率</w:t>
            </w:r>
          </w:p>
        </w:tc>
        <w:tc>
          <w:tcPr>
            <w:tcW w:w="549" w:type="pct"/>
            <w:tcBorders>
              <w:top w:val="nil"/>
              <w:left w:val="nil"/>
              <w:bottom w:val="single" w:color="000000" w:sz="4" w:space="0"/>
              <w:right w:val="single" w:color="000000" w:sz="4" w:space="0"/>
            </w:tcBorders>
            <w:shd w:val="clear" w:color="auto" w:fill="auto"/>
            <w:vAlign w:val="center"/>
          </w:tcPr>
          <w:p w14:paraId="79903FC2">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w:t>
            </w:r>
          </w:p>
        </w:tc>
        <w:tc>
          <w:tcPr>
            <w:tcW w:w="473" w:type="pct"/>
            <w:tcBorders>
              <w:top w:val="nil"/>
              <w:left w:val="nil"/>
              <w:bottom w:val="single" w:color="000000" w:sz="4" w:space="0"/>
              <w:right w:val="single" w:color="000000" w:sz="4" w:space="0"/>
            </w:tcBorders>
            <w:shd w:val="clear" w:color="auto" w:fill="auto"/>
            <w:vAlign w:val="center"/>
          </w:tcPr>
          <w:p w14:paraId="2BEFF041">
            <w:pPr>
              <w:keepNext w:val="0"/>
              <w:keepLines w:val="0"/>
              <w:pageBreakBefore w:val="0"/>
              <w:kinsoku/>
              <w:wordWrap/>
              <w:overflowPunct/>
              <w:topLinePunct w:val="0"/>
              <w:autoSpaceDE/>
              <w:autoSpaceDN/>
              <w:bidi w:val="0"/>
              <w:adjustRightInd/>
              <w:snapToGrid/>
              <w:spacing w:line="240" w:lineRule="exact"/>
              <w:jc w:val="center"/>
              <w:rPr>
                <w:rFonts w:ascii="宋体" w:hAnsi="宋体" w:eastAsia="宋体"/>
                <w:color w:val="000000"/>
                <w:sz w:val="24"/>
                <w:szCs w:val="24"/>
              </w:rPr>
            </w:pPr>
            <w:r>
              <w:rPr>
                <w:rFonts w:hint="eastAsia" w:ascii="宋体" w:hAnsi="宋体" w:eastAsia="宋体"/>
                <w:color w:val="000000"/>
                <w:sz w:val="24"/>
                <w:szCs w:val="24"/>
              </w:rPr>
              <w:t>100</w:t>
            </w:r>
          </w:p>
        </w:tc>
        <w:tc>
          <w:tcPr>
            <w:tcW w:w="518" w:type="pct"/>
            <w:tcBorders>
              <w:top w:val="nil"/>
              <w:left w:val="nil"/>
              <w:bottom w:val="single" w:color="000000" w:sz="4" w:space="0"/>
              <w:right w:val="single" w:color="000000" w:sz="4" w:space="0"/>
            </w:tcBorders>
            <w:shd w:val="clear" w:color="auto" w:fill="auto"/>
            <w:vAlign w:val="center"/>
          </w:tcPr>
          <w:p w14:paraId="5D4CA6C8">
            <w:pPr>
              <w:keepNext w:val="0"/>
              <w:keepLines w:val="0"/>
              <w:pageBreakBefore w:val="0"/>
              <w:kinsoku/>
              <w:wordWrap/>
              <w:overflowPunct/>
              <w:topLinePunct w:val="0"/>
              <w:autoSpaceDE/>
              <w:autoSpaceDN/>
              <w:bidi w:val="0"/>
              <w:adjustRightInd/>
              <w:snapToGrid/>
              <w:spacing w:line="240" w:lineRule="exact"/>
              <w:jc w:val="center"/>
              <w:rPr>
                <w:rFonts w:ascii="宋体" w:hAnsi="宋体" w:eastAsia="宋体"/>
                <w:color w:val="000000"/>
                <w:sz w:val="24"/>
                <w:szCs w:val="24"/>
              </w:rPr>
            </w:pPr>
            <w:r>
              <w:rPr>
                <w:rFonts w:hint="eastAsia" w:ascii="宋体" w:hAnsi="宋体" w:eastAsia="宋体"/>
                <w:color w:val="000000"/>
                <w:sz w:val="24"/>
                <w:szCs w:val="24"/>
              </w:rPr>
              <w:t>%</w:t>
            </w:r>
          </w:p>
        </w:tc>
        <w:tc>
          <w:tcPr>
            <w:tcW w:w="458" w:type="pct"/>
            <w:tcBorders>
              <w:top w:val="nil"/>
              <w:left w:val="single" w:color="000000" w:sz="4" w:space="0"/>
              <w:bottom w:val="single" w:color="000000" w:sz="4" w:space="0"/>
              <w:right w:val="single" w:color="000000" w:sz="4" w:space="0"/>
            </w:tcBorders>
            <w:shd w:val="clear" w:color="auto" w:fill="auto"/>
            <w:vAlign w:val="center"/>
          </w:tcPr>
          <w:p w14:paraId="39F6A034">
            <w:pPr>
              <w:keepNext w:val="0"/>
              <w:keepLines w:val="0"/>
              <w:pageBreakBefore w:val="0"/>
              <w:kinsoku/>
              <w:wordWrap/>
              <w:overflowPunct/>
              <w:topLinePunct w:val="0"/>
              <w:autoSpaceDE/>
              <w:autoSpaceDN/>
              <w:bidi w:val="0"/>
              <w:adjustRightInd/>
              <w:snapToGrid/>
              <w:spacing w:line="240" w:lineRule="exact"/>
              <w:jc w:val="center"/>
              <w:rPr>
                <w:rFonts w:hint="default" w:eastAsia="仿宋_GB2312"/>
                <w:color w:val="000000"/>
                <w:sz w:val="24"/>
                <w:szCs w:val="24"/>
                <w:lang w:val="en-US" w:eastAsia="zh-CN"/>
              </w:rPr>
            </w:pPr>
            <w:r>
              <w:rPr>
                <w:rFonts w:hint="eastAsia"/>
                <w:color w:val="000000"/>
                <w:sz w:val="24"/>
                <w:szCs w:val="24"/>
                <w:lang w:val="en-US" w:eastAsia="zh-CN"/>
              </w:rPr>
              <w:t>10</w:t>
            </w:r>
          </w:p>
        </w:tc>
        <w:tc>
          <w:tcPr>
            <w:tcW w:w="8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83B5C7">
            <w:pPr>
              <w:keepNext w:val="0"/>
              <w:keepLines w:val="0"/>
              <w:pageBreakBefore w:val="0"/>
              <w:kinsoku/>
              <w:wordWrap/>
              <w:overflowPunct/>
              <w:topLinePunct w:val="0"/>
              <w:autoSpaceDE/>
              <w:autoSpaceDN/>
              <w:bidi w:val="0"/>
              <w:adjustRightInd/>
              <w:snapToGrid/>
              <w:spacing w:line="240" w:lineRule="exact"/>
              <w:jc w:val="center"/>
              <w:rPr>
                <w:rFonts w:ascii="宋体" w:hAnsi="宋体" w:eastAsia="宋体" w:cs="宋体"/>
                <w:color w:val="000000"/>
                <w:sz w:val="24"/>
                <w:szCs w:val="24"/>
              </w:rPr>
            </w:pPr>
            <w:r>
              <w:rPr>
                <w:rFonts w:hint="eastAsia" w:ascii="宋体" w:hAnsi="宋体" w:eastAsia="宋体" w:cs="宋体"/>
                <w:color w:val="000000"/>
                <w:sz w:val="24"/>
                <w:szCs w:val="24"/>
              </w:rPr>
              <w:t>100</w:t>
            </w:r>
          </w:p>
        </w:tc>
      </w:tr>
      <w:tr w14:paraId="648A42B1">
        <w:tblPrEx>
          <w:tblCellMar>
            <w:top w:w="15" w:type="dxa"/>
            <w:left w:w="15" w:type="dxa"/>
            <w:bottom w:w="15" w:type="dxa"/>
            <w:right w:w="15" w:type="dxa"/>
          </w:tblCellMar>
        </w:tblPrEx>
        <w:trPr>
          <w:trHeight w:val="23" w:hRule="atLeast"/>
          <w:jc w:val="center"/>
        </w:trPr>
        <w:tc>
          <w:tcPr>
            <w:tcW w:w="317" w:type="pct"/>
            <w:vMerge w:val="continue"/>
            <w:tcBorders>
              <w:top w:val="single" w:color="000000" w:sz="4" w:space="0"/>
              <w:left w:val="single" w:color="000000" w:sz="4" w:space="0"/>
              <w:bottom w:val="single" w:color="000000" w:sz="4" w:space="0"/>
            </w:tcBorders>
            <w:shd w:val="clear" w:color="auto" w:fill="auto"/>
            <w:vAlign w:val="center"/>
          </w:tcPr>
          <w:p w14:paraId="20C6043C">
            <w:pPr>
              <w:keepNext w:val="0"/>
              <w:keepLines w:val="0"/>
              <w:pageBreakBefore w:val="0"/>
              <w:kinsoku/>
              <w:wordWrap/>
              <w:overflowPunct/>
              <w:topLinePunct w:val="0"/>
              <w:autoSpaceDE/>
              <w:autoSpaceDN/>
              <w:bidi w:val="0"/>
              <w:adjustRightInd/>
              <w:snapToGrid/>
              <w:spacing w:line="240" w:lineRule="exact"/>
              <w:jc w:val="center"/>
              <w:rPr>
                <w:rFonts w:ascii="宋体" w:hAnsi="宋体" w:eastAsia="宋体" w:cs="宋体"/>
                <w:color w:val="000000"/>
                <w:sz w:val="24"/>
                <w:szCs w:val="24"/>
              </w:rPr>
            </w:pPr>
          </w:p>
        </w:tc>
        <w:tc>
          <w:tcPr>
            <w:tcW w:w="5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88DC85">
            <w:pPr>
              <w:keepNext w:val="0"/>
              <w:keepLines w:val="0"/>
              <w:pageBreakBefore w:val="0"/>
              <w:kinsoku/>
              <w:wordWrap/>
              <w:overflowPunct/>
              <w:topLinePunct w:val="0"/>
              <w:autoSpaceDE/>
              <w:autoSpaceDN/>
              <w:bidi w:val="0"/>
              <w:adjustRightInd/>
              <w:snapToGrid/>
              <w:spacing w:line="240" w:lineRule="exact"/>
              <w:jc w:val="center"/>
              <w:rPr>
                <w:rFonts w:ascii="宋体" w:hAnsi="宋体" w:eastAsia="宋体" w:cs="宋体"/>
                <w:color w:val="000000"/>
                <w:sz w:val="24"/>
                <w:szCs w:val="24"/>
              </w:rPr>
            </w:pPr>
          </w:p>
        </w:tc>
        <w:tc>
          <w:tcPr>
            <w:tcW w:w="611" w:type="pct"/>
            <w:vMerge w:val="continue"/>
            <w:tcBorders>
              <w:left w:val="single" w:color="000000" w:sz="4" w:space="0"/>
              <w:bottom w:val="single" w:color="000000" w:sz="4" w:space="0"/>
              <w:right w:val="single" w:color="auto" w:sz="4" w:space="0"/>
            </w:tcBorders>
            <w:shd w:val="clear" w:color="auto" w:fill="auto"/>
            <w:vAlign w:val="center"/>
          </w:tcPr>
          <w:p w14:paraId="3E593E1A">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color w:val="000000"/>
                <w:kern w:val="0"/>
                <w:sz w:val="24"/>
                <w:szCs w:val="24"/>
                <w:lang w:bidi="ar"/>
              </w:rPr>
            </w:pPr>
          </w:p>
        </w:tc>
        <w:tc>
          <w:tcPr>
            <w:tcW w:w="641" w:type="pct"/>
            <w:tcBorders>
              <w:top w:val="nil"/>
              <w:left w:val="single" w:color="000000" w:sz="4" w:space="0"/>
              <w:bottom w:val="single" w:color="000000" w:sz="4" w:space="0"/>
              <w:right w:val="single" w:color="000000" w:sz="4" w:space="0"/>
            </w:tcBorders>
            <w:shd w:val="clear" w:color="auto" w:fill="auto"/>
            <w:vAlign w:val="center"/>
          </w:tcPr>
          <w:p w14:paraId="640C16B3">
            <w:pPr>
              <w:keepNext w:val="0"/>
              <w:keepLines w:val="0"/>
              <w:pageBreakBefore w:val="0"/>
              <w:kinsoku/>
              <w:wordWrap/>
              <w:overflowPunct/>
              <w:topLinePunct w:val="0"/>
              <w:autoSpaceDE/>
              <w:autoSpaceDN/>
              <w:bidi w:val="0"/>
              <w:adjustRightInd/>
              <w:snapToGrid/>
              <w:spacing w:line="240" w:lineRule="exact"/>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考察企业达标率</w:t>
            </w:r>
          </w:p>
        </w:tc>
        <w:tc>
          <w:tcPr>
            <w:tcW w:w="549" w:type="pct"/>
            <w:tcBorders>
              <w:top w:val="nil"/>
              <w:left w:val="nil"/>
              <w:bottom w:val="single" w:color="000000" w:sz="4" w:space="0"/>
              <w:right w:val="single" w:color="000000" w:sz="4" w:space="0"/>
            </w:tcBorders>
            <w:shd w:val="clear" w:color="auto" w:fill="auto"/>
            <w:vAlign w:val="center"/>
          </w:tcPr>
          <w:p w14:paraId="17622810">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olor w:val="000000"/>
                <w:sz w:val="24"/>
                <w:szCs w:val="24"/>
              </w:rPr>
            </w:pPr>
            <w:r>
              <w:rPr>
                <w:rFonts w:hint="eastAsia" w:ascii="宋体" w:hAnsi="宋体" w:eastAsia="宋体"/>
                <w:color w:val="000000"/>
                <w:sz w:val="24"/>
                <w:szCs w:val="24"/>
              </w:rPr>
              <w:t>≥</w:t>
            </w:r>
          </w:p>
        </w:tc>
        <w:tc>
          <w:tcPr>
            <w:tcW w:w="473" w:type="pct"/>
            <w:tcBorders>
              <w:top w:val="nil"/>
              <w:left w:val="nil"/>
              <w:bottom w:val="single" w:color="000000" w:sz="4" w:space="0"/>
              <w:right w:val="single" w:color="000000" w:sz="4" w:space="0"/>
            </w:tcBorders>
            <w:shd w:val="clear" w:color="auto" w:fill="auto"/>
            <w:vAlign w:val="center"/>
          </w:tcPr>
          <w:p w14:paraId="3B374C4B">
            <w:pPr>
              <w:keepNext w:val="0"/>
              <w:keepLines w:val="0"/>
              <w:pageBreakBefore w:val="0"/>
              <w:kinsoku/>
              <w:wordWrap/>
              <w:overflowPunct/>
              <w:topLinePunct w:val="0"/>
              <w:autoSpaceDE/>
              <w:autoSpaceDN/>
              <w:bidi w:val="0"/>
              <w:adjustRightInd/>
              <w:snapToGrid/>
              <w:spacing w:line="240" w:lineRule="exact"/>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60</w:t>
            </w:r>
          </w:p>
        </w:tc>
        <w:tc>
          <w:tcPr>
            <w:tcW w:w="518" w:type="pct"/>
            <w:tcBorders>
              <w:top w:val="nil"/>
              <w:left w:val="nil"/>
              <w:bottom w:val="single" w:color="000000" w:sz="4" w:space="0"/>
              <w:right w:val="single" w:color="000000" w:sz="4" w:space="0"/>
            </w:tcBorders>
            <w:shd w:val="clear" w:color="auto" w:fill="auto"/>
            <w:vAlign w:val="center"/>
          </w:tcPr>
          <w:p w14:paraId="4E0F9371">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olor w:val="000000"/>
                <w:sz w:val="24"/>
                <w:szCs w:val="24"/>
              </w:rPr>
            </w:pPr>
            <w:r>
              <w:rPr>
                <w:rFonts w:hint="eastAsia" w:ascii="宋体" w:hAnsi="宋体" w:eastAsia="宋体"/>
                <w:color w:val="000000"/>
                <w:sz w:val="24"/>
                <w:szCs w:val="24"/>
              </w:rPr>
              <w:t>%</w:t>
            </w:r>
          </w:p>
        </w:tc>
        <w:tc>
          <w:tcPr>
            <w:tcW w:w="458" w:type="pct"/>
            <w:tcBorders>
              <w:top w:val="nil"/>
              <w:left w:val="single" w:color="000000" w:sz="4" w:space="0"/>
              <w:bottom w:val="single" w:color="000000" w:sz="4" w:space="0"/>
              <w:right w:val="single" w:color="000000" w:sz="4" w:space="0"/>
            </w:tcBorders>
            <w:shd w:val="clear" w:color="auto" w:fill="auto"/>
            <w:vAlign w:val="center"/>
          </w:tcPr>
          <w:p w14:paraId="694B26F3">
            <w:pPr>
              <w:keepNext w:val="0"/>
              <w:keepLines w:val="0"/>
              <w:pageBreakBefore w:val="0"/>
              <w:kinsoku/>
              <w:wordWrap/>
              <w:overflowPunct/>
              <w:topLinePunct w:val="0"/>
              <w:autoSpaceDE/>
              <w:autoSpaceDN/>
              <w:bidi w:val="0"/>
              <w:adjustRightInd/>
              <w:snapToGrid/>
              <w:spacing w:line="240" w:lineRule="exact"/>
              <w:jc w:val="center"/>
              <w:rPr>
                <w:rFonts w:hint="default" w:eastAsia="仿宋_GB2312"/>
                <w:color w:val="000000"/>
                <w:sz w:val="24"/>
                <w:szCs w:val="24"/>
                <w:lang w:val="en-US" w:eastAsia="zh-CN"/>
              </w:rPr>
            </w:pPr>
            <w:r>
              <w:rPr>
                <w:rFonts w:hint="eastAsia"/>
                <w:color w:val="000000"/>
                <w:sz w:val="24"/>
                <w:szCs w:val="24"/>
                <w:lang w:val="en-US" w:eastAsia="zh-CN"/>
              </w:rPr>
              <w:t>10</w:t>
            </w:r>
          </w:p>
        </w:tc>
        <w:tc>
          <w:tcPr>
            <w:tcW w:w="8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D6C2BB">
            <w:pPr>
              <w:keepNext w:val="0"/>
              <w:keepLines w:val="0"/>
              <w:pageBreakBefore w:val="0"/>
              <w:kinsoku/>
              <w:wordWrap/>
              <w:overflowPunct/>
              <w:topLinePunct w:val="0"/>
              <w:autoSpaceDE/>
              <w:autoSpaceDN/>
              <w:bidi w:val="0"/>
              <w:adjustRightInd/>
              <w:snapToGrid/>
              <w:spacing w:line="240" w:lineRule="exact"/>
              <w:jc w:val="cente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80</w:t>
            </w:r>
          </w:p>
        </w:tc>
      </w:tr>
      <w:tr w14:paraId="32EB770B">
        <w:tblPrEx>
          <w:tblCellMar>
            <w:top w:w="15" w:type="dxa"/>
            <w:left w:w="15" w:type="dxa"/>
            <w:bottom w:w="15" w:type="dxa"/>
            <w:right w:w="15" w:type="dxa"/>
          </w:tblCellMar>
        </w:tblPrEx>
        <w:trPr>
          <w:trHeight w:val="23" w:hRule="atLeast"/>
          <w:jc w:val="center"/>
        </w:trPr>
        <w:tc>
          <w:tcPr>
            <w:tcW w:w="317" w:type="pct"/>
            <w:vMerge w:val="continue"/>
            <w:tcBorders>
              <w:top w:val="single" w:color="000000" w:sz="4" w:space="0"/>
              <w:left w:val="single" w:color="000000" w:sz="4" w:space="0"/>
              <w:bottom w:val="single" w:color="000000" w:sz="4" w:space="0"/>
            </w:tcBorders>
            <w:shd w:val="clear" w:color="auto" w:fill="auto"/>
            <w:vAlign w:val="center"/>
          </w:tcPr>
          <w:p w14:paraId="08D1422C">
            <w:pPr>
              <w:keepNext w:val="0"/>
              <w:keepLines w:val="0"/>
              <w:pageBreakBefore w:val="0"/>
              <w:kinsoku/>
              <w:wordWrap/>
              <w:overflowPunct/>
              <w:topLinePunct w:val="0"/>
              <w:autoSpaceDE/>
              <w:autoSpaceDN/>
              <w:bidi w:val="0"/>
              <w:adjustRightInd/>
              <w:snapToGrid/>
              <w:spacing w:line="240" w:lineRule="exact"/>
              <w:jc w:val="center"/>
              <w:rPr>
                <w:rFonts w:ascii="宋体" w:hAnsi="宋体" w:eastAsia="宋体" w:cs="宋体"/>
                <w:color w:val="000000"/>
                <w:sz w:val="24"/>
                <w:szCs w:val="24"/>
              </w:rPr>
            </w:pPr>
          </w:p>
        </w:tc>
        <w:tc>
          <w:tcPr>
            <w:tcW w:w="5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80F0E9">
            <w:pPr>
              <w:keepNext w:val="0"/>
              <w:keepLines w:val="0"/>
              <w:pageBreakBefore w:val="0"/>
              <w:kinsoku/>
              <w:wordWrap/>
              <w:overflowPunct/>
              <w:topLinePunct w:val="0"/>
              <w:autoSpaceDE/>
              <w:autoSpaceDN/>
              <w:bidi w:val="0"/>
              <w:adjustRightInd/>
              <w:snapToGrid/>
              <w:spacing w:line="240" w:lineRule="exact"/>
              <w:jc w:val="center"/>
              <w:rPr>
                <w:rFonts w:ascii="宋体" w:hAnsi="宋体" w:eastAsia="宋体" w:cs="宋体"/>
                <w:color w:val="000000"/>
                <w:sz w:val="24"/>
                <w:szCs w:val="24"/>
              </w:rPr>
            </w:pPr>
          </w:p>
        </w:tc>
        <w:tc>
          <w:tcPr>
            <w:tcW w:w="611" w:type="pct"/>
            <w:tcBorders>
              <w:top w:val="single" w:color="000000" w:sz="4" w:space="0"/>
              <w:left w:val="single" w:color="000000" w:sz="4" w:space="0"/>
              <w:bottom w:val="single" w:color="000000" w:sz="4" w:space="0"/>
              <w:right w:val="single" w:color="auto" w:sz="4" w:space="0"/>
            </w:tcBorders>
            <w:shd w:val="clear" w:color="auto" w:fill="auto"/>
            <w:vAlign w:val="center"/>
          </w:tcPr>
          <w:p w14:paraId="6FF18E3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时效指标</w:t>
            </w:r>
          </w:p>
        </w:tc>
        <w:tc>
          <w:tcPr>
            <w:tcW w:w="641" w:type="pct"/>
            <w:tcBorders>
              <w:top w:val="nil"/>
              <w:left w:val="single" w:color="000000" w:sz="4" w:space="0"/>
              <w:bottom w:val="single" w:color="000000" w:sz="4" w:space="0"/>
              <w:right w:val="single" w:color="000000" w:sz="4" w:space="0"/>
            </w:tcBorders>
            <w:shd w:val="clear" w:color="auto" w:fill="auto"/>
            <w:vAlign w:val="center"/>
          </w:tcPr>
          <w:p w14:paraId="37C78DF3">
            <w:pPr>
              <w:keepNext w:val="0"/>
              <w:keepLines w:val="0"/>
              <w:pageBreakBefore w:val="0"/>
              <w:kinsoku/>
              <w:wordWrap/>
              <w:overflowPunct/>
              <w:topLinePunct w:val="0"/>
              <w:autoSpaceDE/>
              <w:autoSpaceDN/>
              <w:bidi w:val="0"/>
              <w:adjustRightInd/>
              <w:snapToGrid/>
              <w:spacing w:line="240" w:lineRule="exact"/>
              <w:jc w:val="center"/>
              <w:rPr>
                <w:rFonts w:ascii="宋体" w:hAnsi="宋体" w:eastAsia="宋体"/>
                <w:color w:val="000000"/>
                <w:sz w:val="24"/>
                <w:szCs w:val="24"/>
              </w:rPr>
            </w:pPr>
            <w:r>
              <w:rPr>
                <w:rFonts w:hint="eastAsia" w:ascii="宋体" w:hAnsi="宋体" w:eastAsia="宋体"/>
                <w:color w:val="000000"/>
                <w:sz w:val="24"/>
                <w:szCs w:val="24"/>
                <w:lang w:val="en-US" w:eastAsia="zh-CN"/>
              </w:rPr>
              <w:t>服务企业</w:t>
            </w:r>
            <w:r>
              <w:rPr>
                <w:rFonts w:hint="eastAsia" w:ascii="宋体" w:hAnsi="宋体" w:eastAsia="宋体"/>
                <w:color w:val="000000"/>
                <w:sz w:val="24"/>
                <w:szCs w:val="24"/>
              </w:rPr>
              <w:t>时限达标率</w:t>
            </w:r>
          </w:p>
        </w:tc>
        <w:tc>
          <w:tcPr>
            <w:tcW w:w="549" w:type="pct"/>
            <w:tcBorders>
              <w:top w:val="nil"/>
              <w:left w:val="nil"/>
              <w:bottom w:val="single" w:color="000000" w:sz="4" w:space="0"/>
              <w:right w:val="single" w:color="000000" w:sz="4" w:space="0"/>
            </w:tcBorders>
            <w:shd w:val="clear" w:color="auto" w:fill="auto"/>
            <w:vAlign w:val="center"/>
          </w:tcPr>
          <w:p w14:paraId="613A9E29">
            <w:pPr>
              <w:keepNext w:val="0"/>
              <w:keepLines w:val="0"/>
              <w:pageBreakBefore w:val="0"/>
              <w:kinsoku/>
              <w:wordWrap/>
              <w:overflowPunct/>
              <w:topLinePunct w:val="0"/>
              <w:autoSpaceDE/>
              <w:autoSpaceDN/>
              <w:bidi w:val="0"/>
              <w:adjustRightInd/>
              <w:snapToGrid/>
              <w:spacing w:line="240" w:lineRule="exact"/>
              <w:jc w:val="center"/>
              <w:rPr>
                <w:rFonts w:ascii="宋体" w:hAnsi="宋体" w:eastAsia="宋体"/>
                <w:color w:val="000000"/>
                <w:sz w:val="24"/>
                <w:szCs w:val="24"/>
              </w:rPr>
            </w:pPr>
            <w:r>
              <w:rPr>
                <w:rFonts w:hint="eastAsia" w:ascii="宋体" w:hAnsi="宋体" w:eastAsia="宋体"/>
                <w:color w:val="000000"/>
                <w:sz w:val="24"/>
                <w:szCs w:val="24"/>
              </w:rPr>
              <w:t>≥</w:t>
            </w:r>
          </w:p>
        </w:tc>
        <w:tc>
          <w:tcPr>
            <w:tcW w:w="473" w:type="pct"/>
            <w:tcBorders>
              <w:top w:val="nil"/>
              <w:left w:val="nil"/>
              <w:bottom w:val="single" w:color="000000" w:sz="4" w:space="0"/>
              <w:right w:val="single" w:color="000000" w:sz="4" w:space="0"/>
            </w:tcBorders>
            <w:shd w:val="clear" w:color="auto" w:fill="auto"/>
            <w:vAlign w:val="center"/>
          </w:tcPr>
          <w:p w14:paraId="780AF398">
            <w:pPr>
              <w:keepNext w:val="0"/>
              <w:keepLines w:val="0"/>
              <w:pageBreakBefore w:val="0"/>
              <w:kinsoku/>
              <w:wordWrap/>
              <w:overflowPunct/>
              <w:topLinePunct w:val="0"/>
              <w:autoSpaceDE/>
              <w:autoSpaceDN/>
              <w:bidi w:val="0"/>
              <w:adjustRightInd/>
              <w:snapToGrid/>
              <w:spacing w:line="240" w:lineRule="exact"/>
              <w:jc w:val="center"/>
              <w:rPr>
                <w:rFonts w:ascii="宋体" w:hAnsi="宋体" w:eastAsia="宋体"/>
                <w:color w:val="000000"/>
                <w:sz w:val="24"/>
                <w:szCs w:val="24"/>
              </w:rPr>
            </w:pPr>
            <w:r>
              <w:rPr>
                <w:rFonts w:hint="eastAsia" w:ascii="宋体" w:hAnsi="宋体" w:eastAsia="宋体"/>
                <w:color w:val="000000"/>
                <w:sz w:val="24"/>
                <w:szCs w:val="24"/>
              </w:rPr>
              <w:t>100</w:t>
            </w:r>
          </w:p>
        </w:tc>
        <w:tc>
          <w:tcPr>
            <w:tcW w:w="518" w:type="pct"/>
            <w:tcBorders>
              <w:top w:val="nil"/>
              <w:left w:val="nil"/>
              <w:bottom w:val="single" w:color="000000" w:sz="4" w:space="0"/>
              <w:right w:val="single" w:color="000000" w:sz="4" w:space="0"/>
            </w:tcBorders>
            <w:shd w:val="clear" w:color="auto" w:fill="auto"/>
            <w:vAlign w:val="center"/>
          </w:tcPr>
          <w:p w14:paraId="479BCFD2">
            <w:pPr>
              <w:keepNext w:val="0"/>
              <w:keepLines w:val="0"/>
              <w:pageBreakBefore w:val="0"/>
              <w:kinsoku/>
              <w:wordWrap/>
              <w:overflowPunct/>
              <w:topLinePunct w:val="0"/>
              <w:autoSpaceDE/>
              <w:autoSpaceDN/>
              <w:bidi w:val="0"/>
              <w:adjustRightInd/>
              <w:snapToGrid/>
              <w:spacing w:line="240" w:lineRule="exact"/>
              <w:jc w:val="center"/>
              <w:rPr>
                <w:rFonts w:ascii="宋体" w:hAnsi="宋体" w:eastAsia="宋体"/>
                <w:color w:val="000000"/>
                <w:sz w:val="24"/>
                <w:szCs w:val="24"/>
              </w:rPr>
            </w:pPr>
            <w:r>
              <w:rPr>
                <w:rFonts w:hint="eastAsia" w:ascii="宋体" w:hAnsi="宋体" w:eastAsia="宋体"/>
                <w:color w:val="000000"/>
                <w:sz w:val="24"/>
                <w:szCs w:val="24"/>
              </w:rPr>
              <w:t>%</w:t>
            </w:r>
          </w:p>
        </w:tc>
        <w:tc>
          <w:tcPr>
            <w:tcW w:w="458" w:type="pct"/>
            <w:tcBorders>
              <w:top w:val="nil"/>
              <w:left w:val="single" w:color="000000" w:sz="4" w:space="0"/>
              <w:bottom w:val="single" w:color="000000" w:sz="4" w:space="0"/>
              <w:right w:val="single" w:color="000000" w:sz="4" w:space="0"/>
            </w:tcBorders>
            <w:shd w:val="clear" w:color="auto" w:fill="auto"/>
            <w:vAlign w:val="center"/>
          </w:tcPr>
          <w:p w14:paraId="3E627573">
            <w:pPr>
              <w:keepNext w:val="0"/>
              <w:keepLines w:val="0"/>
              <w:pageBreakBefore w:val="0"/>
              <w:kinsoku/>
              <w:wordWrap/>
              <w:overflowPunct/>
              <w:topLinePunct w:val="0"/>
              <w:autoSpaceDE/>
              <w:autoSpaceDN/>
              <w:bidi w:val="0"/>
              <w:adjustRightInd/>
              <w:snapToGrid/>
              <w:spacing w:line="240" w:lineRule="exact"/>
              <w:jc w:val="center"/>
              <w:rPr>
                <w:rFonts w:hint="default" w:eastAsia="仿宋_GB2312"/>
                <w:color w:val="000000"/>
                <w:sz w:val="24"/>
                <w:szCs w:val="24"/>
                <w:lang w:val="en-US" w:eastAsia="zh-CN"/>
              </w:rPr>
            </w:pPr>
            <w:r>
              <w:rPr>
                <w:rFonts w:hint="eastAsia"/>
                <w:color w:val="000000"/>
                <w:sz w:val="24"/>
                <w:szCs w:val="24"/>
                <w:lang w:val="en-US" w:eastAsia="zh-CN"/>
              </w:rPr>
              <w:t>10</w:t>
            </w:r>
          </w:p>
        </w:tc>
        <w:tc>
          <w:tcPr>
            <w:tcW w:w="8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D3B2A8">
            <w:pPr>
              <w:keepNext w:val="0"/>
              <w:keepLines w:val="0"/>
              <w:pageBreakBefore w:val="0"/>
              <w:kinsoku/>
              <w:wordWrap/>
              <w:overflowPunct/>
              <w:topLinePunct w:val="0"/>
              <w:autoSpaceDE/>
              <w:autoSpaceDN/>
              <w:bidi w:val="0"/>
              <w:adjustRightInd/>
              <w:snapToGrid/>
              <w:spacing w:line="240" w:lineRule="exact"/>
              <w:jc w:val="center"/>
              <w:rPr>
                <w:rFonts w:ascii="宋体" w:hAnsi="宋体" w:eastAsia="宋体" w:cs="宋体"/>
                <w:color w:val="000000"/>
                <w:sz w:val="24"/>
                <w:szCs w:val="24"/>
              </w:rPr>
            </w:pPr>
            <w:r>
              <w:rPr>
                <w:rFonts w:hint="eastAsia" w:ascii="宋体" w:hAnsi="宋体" w:eastAsia="宋体" w:cs="宋体"/>
                <w:color w:val="000000"/>
                <w:sz w:val="24"/>
                <w:szCs w:val="24"/>
              </w:rPr>
              <w:t>100</w:t>
            </w:r>
          </w:p>
        </w:tc>
      </w:tr>
      <w:tr w14:paraId="7532855C">
        <w:tblPrEx>
          <w:tblCellMar>
            <w:top w:w="15" w:type="dxa"/>
            <w:left w:w="15" w:type="dxa"/>
            <w:bottom w:w="15" w:type="dxa"/>
            <w:right w:w="15" w:type="dxa"/>
          </w:tblCellMar>
        </w:tblPrEx>
        <w:trPr>
          <w:trHeight w:val="23" w:hRule="atLeast"/>
          <w:jc w:val="center"/>
        </w:trPr>
        <w:tc>
          <w:tcPr>
            <w:tcW w:w="317" w:type="pct"/>
            <w:vMerge w:val="continue"/>
            <w:tcBorders>
              <w:top w:val="single" w:color="000000" w:sz="4" w:space="0"/>
              <w:left w:val="single" w:color="000000" w:sz="4" w:space="0"/>
              <w:bottom w:val="single" w:color="000000" w:sz="4" w:space="0"/>
            </w:tcBorders>
            <w:shd w:val="clear" w:color="auto" w:fill="auto"/>
            <w:vAlign w:val="center"/>
          </w:tcPr>
          <w:p w14:paraId="351BD745">
            <w:pPr>
              <w:keepNext w:val="0"/>
              <w:keepLines w:val="0"/>
              <w:pageBreakBefore w:val="0"/>
              <w:kinsoku/>
              <w:wordWrap/>
              <w:overflowPunct/>
              <w:topLinePunct w:val="0"/>
              <w:autoSpaceDE/>
              <w:autoSpaceDN/>
              <w:bidi w:val="0"/>
              <w:adjustRightInd/>
              <w:snapToGrid/>
              <w:spacing w:line="240" w:lineRule="exact"/>
              <w:jc w:val="center"/>
              <w:rPr>
                <w:rFonts w:ascii="宋体" w:hAnsi="宋体" w:eastAsia="宋体" w:cs="宋体"/>
                <w:color w:val="000000"/>
                <w:sz w:val="24"/>
                <w:szCs w:val="24"/>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FFEFBE">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效益指标</w:t>
            </w:r>
          </w:p>
        </w:tc>
        <w:tc>
          <w:tcPr>
            <w:tcW w:w="611" w:type="pct"/>
            <w:tcBorders>
              <w:top w:val="single" w:color="000000" w:sz="4" w:space="0"/>
              <w:left w:val="single" w:color="000000" w:sz="4" w:space="0"/>
              <w:bottom w:val="single" w:color="000000" w:sz="4" w:space="0"/>
              <w:right w:val="single" w:color="auto" w:sz="4" w:space="0"/>
            </w:tcBorders>
            <w:shd w:val="clear" w:color="auto" w:fill="auto"/>
            <w:vAlign w:val="center"/>
          </w:tcPr>
          <w:p w14:paraId="3A46AB66">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val="en-US" w:eastAsia="zh-CN" w:bidi="ar"/>
              </w:rPr>
              <w:t>经济</w:t>
            </w:r>
            <w:r>
              <w:rPr>
                <w:rFonts w:ascii="宋体" w:hAnsi="宋体" w:eastAsia="宋体" w:cs="宋体"/>
                <w:color w:val="000000"/>
                <w:kern w:val="0"/>
                <w:sz w:val="24"/>
                <w:szCs w:val="24"/>
                <w:lang w:bidi="ar"/>
              </w:rPr>
              <w:t>效益</w:t>
            </w:r>
          </w:p>
          <w:p w14:paraId="66F84BB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指标</w:t>
            </w:r>
          </w:p>
        </w:tc>
        <w:tc>
          <w:tcPr>
            <w:tcW w:w="641" w:type="pct"/>
            <w:tcBorders>
              <w:top w:val="nil"/>
              <w:left w:val="single" w:color="000000" w:sz="4" w:space="0"/>
              <w:bottom w:val="single" w:color="auto" w:sz="4" w:space="0"/>
              <w:right w:val="single" w:color="000000" w:sz="4" w:space="0"/>
            </w:tcBorders>
            <w:shd w:val="clear" w:color="auto" w:fill="auto"/>
            <w:vAlign w:val="center"/>
          </w:tcPr>
          <w:p w14:paraId="5E56FF02">
            <w:pPr>
              <w:keepNext w:val="0"/>
              <w:keepLines w:val="0"/>
              <w:pageBreakBefore w:val="0"/>
              <w:kinsoku/>
              <w:wordWrap/>
              <w:overflowPunct/>
              <w:topLinePunct w:val="0"/>
              <w:autoSpaceDE/>
              <w:autoSpaceDN/>
              <w:bidi w:val="0"/>
              <w:adjustRightInd/>
              <w:snapToGrid/>
              <w:spacing w:line="240" w:lineRule="exact"/>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县域经济增长贡献率</w:t>
            </w:r>
          </w:p>
        </w:tc>
        <w:tc>
          <w:tcPr>
            <w:tcW w:w="549" w:type="pct"/>
            <w:tcBorders>
              <w:top w:val="nil"/>
              <w:left w:val="nil"/>
              <w:bottom w:val="single" w:color="auto" w:sz="4" w:space="0"/>
              <w:right w:val="single" w:color="000000" w:sz="4" w:space="0"/>
            </w:tcBorders>
            <w:shd w:val="clear" w:color="auto" w:fill="auto"/>
            <w:vAlign w:val="center"/>
          </w:tcPr>
          <w:p w14:paraId="47181C95">
            <w:pPr>
              <w:keepNext w:val="0"/>
              <w:keepLines w:val="0"/>
              <w:pageBreakBefore w:val="0"/>
              <w:kinsoku/>
              <w:wordWrap/>
              <w:overflowPunct/>
              <w:topLinePunct w:val="0"/>
              <w:autoSpaceDE/>
              <w:autoSpaceDN/>
              <w:bidi w:val="0"/>
              <w:adjustRightInd/>
              <w:snapToGrid/>
              <w:spacing w:line="240" w:lineRule="exact"/>
              <w:jc w:val="center"/>
              <w:rPr>
                <w:rFonts w:ascii="宋体" w:hAnsi="宋体" w:eastAsia="宋体"/>
                <w:color w:val="000000"/>
                <w:sz w:val="24"/>
                <w:szCs w:val="24"/>
              </w:rPr>
            </w:pPr>
            <w:r>
              <w:rPr>
                <w:rFonts w:hint="eastAsia" w:ascii="宋体" w:hAnsi="宋体" w:eastAsia="宋体"/>
                <w:color w:val="000000"/>
                <w:sz w:val="24"/>
                <w:szCs w:val="24"/>
              </w:rPr>
              <w:t>≥</w:t>
            </w:r>
          </w:p>
        </w:tc>
        <w:tc>
          <w:tcPr>
            <w:tcW w:w="473" w:type="pct"/>
            <w:tcBorders>
              <w:top w:val="nil"/>
              <w:left w:val="nil"/>
              <w:bottom w:val="single" w:color="auto" w:sz="4" w:space="0"/>
              <w:right w:val="single" w:color="000000" w:sz="4" w:space="0"/>
            </w:tcBorders>
            <w:shd w:val="clear" w:color="auto" w:fill="auto"/>
            <w:vAlign w:val="center"/>
          </w:tcPr>
          <w:p w14:paraId="3CA431BA">
            <w:pPr>
              <w:keepNext w:val="0"/>
              <w:keepLines w:val="0"/>
              <w:pageBreakBefore w:val="0"/>
              <w:kinsoku/>
              <w:wordWrap/>
              <w:overflowPunct/>
              <w:topLinePunct w:val="0"/>
              <w:autoSpaceDE/>
              <w:autoSpaceDN/>
              <w:bidi w:val="0"/>
              <w:adjustRightInd/>
              <w:snapToGrid/>
              <w:spacing w:line="240" w:lineRule="exact"/>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0.1</w:t>
            </w:r>
          </w:p>
        </w:tc>
        <w:tc>
          <w:tcPr>
            <w:tcW w:w="518" w:type="pct"/>
            <w:tcBorders>
              <w:top w:val="nil"/>
              <w:left w:val="nil"/>
              <w:bottom w:val="single" w:color="auto" w:sz="4" w:space="0"/>
              <w:right w:val="single" w:color="000000" w:sz="4" w:space="0"/>
            </w:tcBorders>
            <w:shd w:val="clear" w:color="auto" w:fill="auto"/>
            <w:vAlign w:val="center"/>
          </w:tcPr>
          <w:p w14:paraId="2508EFF3">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olor w:val="000000"/>
                <w:sz w:val="24"/>
                <w:szCs w:val="24"/>
                <w:lang w:eastAsia="zh-CN"/>
              </w:rPr>
            </w:pPr>
            <w:r>
              <w:rPr>
                <w:rFonts w:hint="eastAsia" w:ascii="宋体" w:hAnsi="宋体" w:eastAsia="宋体"/>
                <w:color w:val="000000"/>
                <w:sz w:val="24"/>
                <w:szCs w:val="24"/>
                <w:lang w:val="en-US" w:eastAsia="zh-CN"/>
              </w:rPr>
              <w:t>%</w:t>
            </w:r>
          </w:p>
        </w:tc>
        <w:tc>
          <w:tcPr>
            <w:tcW w:w="458" w:type="pct"/>
            <w:tcBorders>
              <w:top w:val="nil"/>
              <w:left w:val="single" w:color="000000" w:sz="4" w:space="0"/>
              <w:bottom w:val="single" w:color="auto" w:sz="4" w:space="0"/>
              <w:right w:val="single" w:color="000000" w:sz="4" w:space="0"/>
            </w:tcBorders>
            <w:shd w:val="clear" w:color="auto" w:fill="auto"/>
            <w:vAlign w:val="center"/>
          </w:tcPr>
          <w:p w14:paraId="288A710E">
            <w:pPr>
              <w:keepNext w:val="0"/>
              <w:keepLines w:val="0"/>
              <w:pageBreakBefore w:val="0"/>
              <w:kinsoku/>
              <w:wordWrap/>
              <w:overflowPunct/>
              <w:topLinePunct w:val="0"/>
              <w:autoSpaceDE/>
              <w:autoSpaceDN/>
              <w:bidi w:val="0"/>
              <w:adjustRightInd/>
              <w:snapToGrid/>
              <w:spacing w:line="240" w:lineRule="exact"/>
              <w:jc w:val="center"/>
              <w:rPr>
                <w:rFonts w:hint="default" w:eastAsia="仿宋_GB2312"/>
                <w:color w:val="000000"/>
                <w:sz w:val="24"/>
                <w:szCs w:val="24"/>
                <w:lang w:val="en-US" w:eastAsia="zh-CN"/>
              </w:rPr>
            </w:pPr>
            <w:r>
              <w:rPr>
                <w:rFonts w:hint="eastAsia"/>
                <w:color w:val="000000"/>
                <w:sz w:val="24"/>
                <w:szCs w:val="24"/>
                <w:lang w:val="en-US" w:eastAsia="zh-CN"/>
              </w:rPr>
              <w:t>20</w:t>
            </w:r>
          </w:p>
        </w:tc>
        <w:tc>
          <w:tcPr>
            <w:tcW w:w="8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B3DCA0">
            <w:pPr>
              <w:keepNext w:val="0"/>
              <w:keepLines w:val="0"/>
              <w:pageBreakBefore w:val="0"/>
              <w:kinsoku/>
              <w:wordWrap/>
              <w:overflowPunct/>
              <w:topLinePunct w:val="0"/>
              <w:autoSpaceDE/>
              <w:autoSpaceDN/>
              <w:bidi w:val="0"/>
              <w:adjustRightInd/>
              <w:snapToGrid/>
              <w:spacing w:line="240" w:lineRule="exact"/>
              <w:jc w:val="cente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0.01</w:t>
            </w:r>
          </w:p>
        </w:tc>
      </w:tr>
      <w:tr w14:paraId="70D37F6E">
        <w:tblPrEx>
          <w:tblCellMar>
            <w:top w:w="15" w:type="dxa"/>
            <w:left w:w="15" w:type="dxa"/>
            <w:bottom w:w="15" w:type="dxa"/>
            <w:right w:w="15" w:type="dxa"/>
          </w:tblCellMar>
        </w:tblPrEx>
        <w:trPr>
          <w:trHeight w:val="23" w:hRule="atLeast"/>
          <w:jc w:val="center"/>
        </w:trPr>
        <w:tc>
          <w:tcPr>
            <w:tcW w:w="317" w:type="pct"/>
            <w:vMerge w:val="continue"/>
            <w:tcBorders>
              <w:top w:val="single" w:color="000000" w:sz="4" w:space="0"/>
              <w:left w:val="single" w:color="000000" w:sz="4" w:space="0"/>
              <w:bottom w:val="single" w:color="000000" w:sz="4" w:space="0"/>
            </w:tcBorders>
            <w:shd w:val="clear" w:color="auto" w:fill="auto"/>
            <w:vAlign w:val="center"/>
          </w:tcPr>
          <w:p w14:paraId="0149CADB">
            <w:pPr>
              <w:keepNext w:val="0"/>
              <w:keepLines w:val="0"/>
              <w:pageBreakBefore w:val="0"/>
              <w:kinsoku/>
              <w:wordWrap/>
              <w:overflowPunct/>
              <w:topLinePunct w:val="0"/>
              <w:autoSpaceDE/>
              <w:autoSpaceDN/>
              <w:bidi w:val="0"/>
              <w:adjustRightInd/>
              <w:snapToGrid/>
              <w:spacing w:line="240" w:lineRule="exact"/>
              <w:jc w:val="center"/>
              <w:rPr>
                <w:rFonts w:ascii="宋体" w:hAnsi="宋体" w:eastAsia="宋体" w:cs="宋体"/>
                <w:color w:val="000000"/>
                <w:sz w:val="24"/>
                <w:szCs w:val="24"/>
              </w:rPr>
            </w:pPr>
          </w:p>
        </w:tc>
        <w:tc>
          <w:tcPr>
            <w:tcW w:w="531" w:type="pct"/>
            <w:tcBorders>
              <w:top w:val="single" w:color="000000" w:sz="4" w:space="0"/>
              <w:left w:val="single" w:color="000000" w:sz="4" w:space="0"/>
              <w:bottom w:val="single" w:color="auto" w:sz="4" w:space="0"/>
              <w:right w:val="single" w:color="000000" w:sz="4" w:space="0"/>
            </w:tcBorders>
            <w:shd w:val="clear" w:color="auto" w:fill="auto"/>
            <w:vAlign w:val="center"/>
          </w:tcPr>
          <w:p w14:paraId="7DB3D60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color w:val="000000"/>
                <w:kern w:val="0"/>
                <w:sz w:val="24"/>
                <w:szCs w:val="24"/>
                <w:lang w:bidi="ar"/>
              </w:rPr>
            </w:pPr>
            <w:r>
              <w:rPr>
                <w:rFonts w:ascii="宋体" w:hAnsi="宋体" w:eastAsia="宋体" w:cs="宋体"/>
                <w:color w:val="000000"/>
                <w:kern w:val="0"/>
                <w:sz w:val="24"/>
                <w:szCs w:val="24"/>
                <w:lang w:bidi="ar"/>
              </w:rPr>
              <w:t>满意度</w:t>
            </w:r>
          </w:p>
          <w:p w14:paraId="6319C0BB">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指标</w:t>
            </w:r>
          </w:p>
        </w:tc>
        <w:tc>
          <w:tcPr>
            <w:tcW w:w="611" w:type="pct"/>
            <w:tcBorders>
              <w:top w:val="single" w:color="000000" w:sz="4" w:space="0"/>
              <w:left w:val="single" w:color="000000" w:sz="4" w:space="0"/>
              <w:bottom w:val="single" w:color="auto" w:sz="4" w:space="0"/>
              <w:right w:val="single" w:color="auto" w:sz="4" w:space="0"/>
            </w:tcBorders>
            <w:shd w:val="clear" w:color="auto" w:fill="auto"/>
            <w:vAlign w:val="center"/>
          </w:tcPr>
          <w:p w14:paraId="092F4B37">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color w:val="000000"/>
                <w:kern w:val="0"/>
                <w:sz w:val="24"/>
                <w:szCs w:val="24"/>
                <w:lang w:bidi="ar"/>
              </w:rPr>
            </w:pPr>
            <w:r>
              <w:rPr>
                <w:rFonts w:ascii="宋体" w:hAnsi="宋体" w:eastAsia="宋体" w:cs="宋体"/>
                <w:color w:val="000000"/>
                <w:kern w:val="0"/>
                <w:sz w:val="24"/>
                <w:szCs w:val="24"/>
                <w:lang w:bidi="ar"/>
              </w:rPr>
              <w:t>服务对象</w:t>
            </w:r>
          </w:p>
          <w:p w14:paraId="189D6590">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满意度指标</w:t>
            </w:r>
          </w:p>
        </w:tc>
        <w:tc>
          <w:tcPr>
            <w:tcW w:w="641" w:type="pct"/>
            <w:tcBorders>
              <w:top w:val="single" w:color="auto" w:sz="4" w:space="0"/>
              <w:left w:val="single" w:color="000000" w:sz="4" w:space="0"/>
              <w:bottom w:val="single" w:color="000000" w:sz="4" w:space="0"/>
              <w:right w:val="single" w:color="000000" w:sz="4" w:space="0"/>
            </w:tcBorders>
            <w:shd w:val="clear" w:color="auto" w:fill="auto"/>
            <w:vAlign w:val="center"/>
          </w:tcPr>
          <w:p w14:paraId="7420A0FF">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olor w:val="000000"/>
                <w:sz w:val="24"/>
                <w:szCs w:val="24"/>
                <w:lang w:eastAsia="zh-CN"/>
              </w:rPr>
            </w:pPr>
            <w:r>
              <w:rPr>
                <w:rFonts w:hint="eastAsia" w:ascii="宋体" w:hAnsi="宋体" w:eastAsia="宋体"/>
                <w:color w:val="000000"/>
                <w:sz w:val="24"/>
                <w:szCs w:val="24"/>
                <w:lang w:val="en-US" w:eastAsia="zh-CN"/>
              </w:rPr>
              <w:t>企业满意度</w:t>
            </w:r>
          </w:p>
        </w:tc>
        <w:tc>
          <w:tcPr>
            <w:tcW w:w="549" w:type="pct"/>
            <w:tcBorders>
              <w:top w:val="single" w:color="auto" w:sz="4" w:space="0"/>
              <w:left w:val="nil"/>
              <w:bottom w:val="single" w:color="000000" w:sz="4" w:space="0"/>
              <w:right w:val="single" w:color="000000" w:sz="4" w:space="0"/>
            </w:tcBorders>
            <w:shd w:val="clear" w:color="auto" w:fill="auto"/>
            <w:vAlign w:val="center"/>
          </w:tcPr>
          <w:p w14:paraId="7A2AD7AB">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olor w:val="000000"/>
                <w:sz w:val="24"/>
                <w:szCs w:val="24"/>
                <w:lang w:eastAsia="zh-CN"/>
              </w:rPr>
            </w:pPr>
            <w:r>
              <w:rPr>
                <w:rFonts w:hint="eastAsia" w:ascii="宋体" w:hAnsi="宋体" w:eastAsia="宋体"/>
                <w:color w:val="000000"/>
                <w:sz w:val="24"/>
                <w:szCs w:val="24"/>
                <w:lang w:val="en-US" w:eastAsia="zh-CN"/>
              </w:rPr>
              <w:t>≥</w:t>
            </w:r>
          </w:p>
        </w:tc>
        <w:tc>
          <w:tcPr>
            <w:tcW w:w="473" w:type="pct"/>
            <w:tcBorders>
              <w:top w:val="single" w:color="auto" w:sz="4" w:space="0"/>
              <w:left w:val="nil"/>
              <w:bottom w:val="single" w:color="000000" w:sz="4" w:space="0"/>
              <w:right w:val="single" w:color="000000" w:sz="4" w:space="0"/>
            </w:tcBorders>
            <w:shd w:val="clear" w:color="auto" w:fill="auto"/>
            <w:vAlign w:val="center"/>
          </w:tcPr>
          <w:p w14:paraId="135AE831">
            <w:pPr>
              <w:keepNext w:val="0"/>
              <w:keepLines w:val="0"/>
              <w:pageBreakBefore w:val="0"/>
              <w:kinsoku/>
              <w:wordWrap/>
              <w:overflowPunct/>
              <w:topLinePunct w:val="0"/>
              <w:autoSpaceDE/>
              <w:autoSpaceDN/>
              <w:bidi w:val="0"/>
              <w:adjustRightInd/>
              <w:snapToGrid/>
              <w:spacing w:line="240" w:lineRule="exact"/>
              <w:jc w:val="center"/>
              <w:rPr>
                <w:rFonts w:ascii="宋体" w:hAnsi="宋体" w:eastAsia="宋体"/>
                <w:color w:val="000000"/>
                <w:sz w:val="24"/>
                <w:szCs w:val="24"/>
              </w:rPr>
            </w:pPr>
            <w:r>
              <w:rPr>
                <w:rFonts w:hint="eastAsia" w:ascii="宋体" w:hAnsi="宋体" w:eastAsia="宋体"/>
                <w:color w:val="000000"/>
                <w:sz w:val="24"/>
                <w:szCs w:val="24"/>
                <w:lang w:val="en-US" w:eastAsia="zh-CN"/>
              </w:rPr>
              <w:t>9</w:t>
            </w:r>
            <w:r>
              <w:rPr>
                <w:rFonts w:hint="eastAsia" w:ascii="宋体" w:hAnsi="宋体" w:eastAsia="宋体"/>
                <w:color w:val="000000"/>
                <w:sz w:val="24"/>
                <w:szCs w:val="24"/>
              </w:rPr>
              <w:t>0</w:t>
            </w:r>
          </w:p>
        </w:tc>
        <w:tc>
          <w:tcPr>
            <w:tcW w:w="518" w:type="pct"/>
            <w:tcBorders>
              <w:top w:val="single" w:color="auto" w:sz="4" w:space="0"/>
              <w:left w:val="nil"/>
              <w:bottom w:val="single" w:color="000000" w:sz="4" w:space="0"/>
              <w:right w:val="single" w:color="000000" w:sz="4" w:space="0"/>
            </w:tcBorders>
            <w:shd w:val="clear" w:color="auto" w:fill="auto"/>
            <w:vAlign w:val="center"/>
          </w:tcPr>
          <w:p w14:paraId="5775D3BA">
            <w:pPr>
              <w:keepNext w:val="0"/>
              <w:keepLines w:val="0"/>
              <w:pageBreakBefore w:val="0"/>
              <w:kinsoku/>
              <w:wordWrap/>
              <w:overflowPunct/>
              <w:topLinePunct w:val="0"/>
              <w:autoSpaceDE/>
              <w:autoSpaceDN/>
              <w:bidi w:val="0"/>
              <w:adjustRightInd/>
              <w:snapToGrid/>
              <w:spacing w:line="240" w:lineRule="exact"/>
              <w:jc w:val="center"/>
              <w:rPr>
                <w:rFonts w:ascii="宋体" w:hAnsi="宋体" w:eastAsia="宋体"/>
                <w:color w:val="000000"/>
                <w:sz w:val="24"/>
                <w:szCs w:val="24"/>
              </w:rPr>
            </w:pPr>
            <w:r>
              <w:rPr>
                <w:rFonts w:hint="eastAsia" w:ascii="宋体" w:hAnsi="宋体" w:eastAsia="宋体"/>
                <w:color w:val="000000"/>
                <w:sz w:val="24"/>
                <w:szCs w:val="24"/>
                <w:lang w:val="en-US" w:eastAsia="zh-CN"/>
              </w:rPr>
              <w:t>%</w:t>
            </w:r>
          </w:p>
        </w:tc>
        <w:tc>
          <w:tcPr>
            <w:tcW w:w="458" w:type="pct"/>
            <w:tcBorders>
              <w:top w:val="single" w:color="auto" w:sz="4" w:space="0"/>
              <w:left w:val="single" w:color="000000" w:sz="4" w:space="0"/>
              <w:bottom w:val="single" w:color="000000" w:sz="4" w:space="0"/>
              <w:right w:val="single" w:color="000000" w:sz="4" w:space="0"/>
            </w:tcBorders>
            <w:shd w:val="clear" w:color="auto" w:fill="auto"/>
            <w:vAlign w:val="center"/>
          </w:tcPr>
          <w:p w14:paraId="76C46AE3">
            <w:pPr>
              <w:keepNext w:val="0"/>
              <w:keepLines w:val="0"/>
              <w:pageBreakBefore w:val="0"/>
              <w:kinsoku/>
              <w:wordWrap/>
              <w:overflowPunct/>
              <w:topLinePunct w:val="0"/>
              <w:autoSpaceDE/>
              <w:autoSpaceDN/>
              <w:bidi w:val="0"/>
              <w:adjustRightInd/>
              <w:snapToGrid/>
              <w:spacing w:line="240" w:lineRule="exact"/>
              <w:jc w:val="center"/>
              <w:rPr>
                <w:color w:val="000000"/>
                <w:sz w:val="24"/>
                <w:szCs w:val="24"/>
              </w:rPr>
            </w:pPr>
            <w:r>
              <w:rPr>
                <w:rFonts w:hint="eastAsia"/>
                <w:color w:val="000000"/>
                <w:sz w:val="24"/>
                <w:szCs w:val="24"/>
              </w:rPr>
              <w:t>10</w:t>
            </w:r>
          </w:p>
        </w:tc>
        <w:tc>
          <w:tcPr>
            <w:tcW w:w="8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0B46FB">
            <w:pPr>
              <w:keepNext w:val="0"/>
              <w:keepLines w:val="0"/>
              <w:pageBreakBefore w:val="0"/>
              <w:kinsoku/>
              <w:wordWrap/>
              <w:overflowPunct/>
              <w:topLinePunct w:val="0"/>
              <w:autoSpaceDE/>
              <w:autoSpaceDN/>
              <w:bidi w:val="0"/>
              <w:adjustRightInd/>
              <w:snapToGrid/>
              <w:spacing w:line="240" w:lineRule="exact"/>
              <w:jc w:val="cente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95</w:t>
            </w:r>
          </w:p>
        </w:tc>
      </w:tr>
      <w:tr w14:paraId="08618CD1">
        <w:tblPrEx>
          <w:tblCellMar>
            <w:top w:w="15" w:type="dxa"/>
            <w:left w:w="15" w:type="dxa"/>
            <w:bottom w:w="15" w:type="dxa"/>
            <w:right w:w="15" w:type="dxa"/>
          </w:tblCellMar>
        </w:tblPrEx>
        <w:trPr>
          <w:trHeight w:val="23" w:hRule="atLeast"/>
          <w:jc w:val="center"/>
        </w:trPr>
        <w:tc>
          <w:tcPr>
            <w:tcW w:w="317" w:type="pct"/>
            <w:vMerge w:val="continue"/>
            <w:tcBorders>
              <w:top w:val="single" w:color="000000" w:sz="4" w:space="0"/>
              <w:left w:val="single" w:color="000000" w:sz="4" w:space="0"/>
              <w:bottom w:val="single" w:color="000000" w:sz="4" w:space="0"/>
            </w:tcBorders>
            <w:shd w:val="clear" w:color="auto" w:fill="auto"/>
            <w:vAlign w:val="center"/>
          </w:tcPr>
          <w:p w14:paraId="38BFF2B8">
            <w:pPr>
              <w:keepNext w:val="0"/>
              <w:keepLines w:val="0"/>
              <w:pageBreakBefore w:val="0"/>
              <w:kinsoku/>
              <w:wordWrap/>
              <w:overflowPunct/>
              <w:topLinePunct w:val="0"/>
              <w:autoSpaceDE/>
              <w:autoSpaceDN/>
              <w:bidi w:val="0"/>
              <w:adjustRightInd/>
              <w:snapToGrid/>
              <w:spacing w:line="240" w:lineRule="exact"/>
              <w:jc w:val="center"/>
              <w:rPr>
                <w:rFonts w:ascii="宋体" w:hAnsi="宋体" w:eastAsia="宋体" w:cs="宋体"/>
                <w:color w:val="000000"/>
                <w:sz w:val="24"/>
                <w:szCs w:val="24"/>
              </w:rPr>
            </w:pPr>
          </w:p>
        </w:tc>
        <w:tc>
          <w:tcPr>
            <w:tcW w:w="531" w:type="pct"/>
            <w:tcBorders>
              <w:top w:val="single" w:color="auto" w:sz="4" w:space="0"/>
              <w:left w:val="single" w:color="000000" w:sz="4" w:space="0"/>
              <w:bottom w:val="single" w:color="000000" w:sz="4" w:space="0"/>
              <w:right w:val="single" w:color="000000" w:sz="4" w:space="0"/>
            </w:tcBorders>
            <w:shd w:val="clear" w:color="auto" w:fill="auto"/>
            <w:vAlign w:val="center"/>
          </w:tcPr>
          <w:p w14:paraId="36C13619">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成本指标</w:t>
            </w:r>
          </w:p>
        </w:tc>
        <w:tc>
          <w:tcPr>
            <w:tcW w:w="611" w:type="pct"/>
            <w:tcBorders>
              <w:top w:val="single" w:color="auto" w:sz="4" w:space="0"/>
              <w:left w:val="single" w:color="000000" w:sz="4" w:space="0"/>
              <w:bottom w:val="single" w:color="000000" w:sz="4" w:space="0"/>
              <w:right w:val="single" w:color="auto" w:sz="4" w:space="0"/>
            </w:tcBorders>
            <w:shd w:val="clear" w:color="auto" w:fill="auto"/>
            <w:vAlign w:val="center"/>
          </w:tcPr>
          <w:p w14:paraId="5137366C">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color w:val="000000"/>
                <w:kern w:val="0"/>
                <w:sz w:val="24"/>
                <w:szCs w:val="24"/>
                <w:lang w:bidi="ar"/>
              </w:rPr>
            </w:pPr>
            <w:r>
              <w:rPr>
                <w:rFonts w:ascii="宋体" w:hAnsi="宋体" w:eastAsia="宋体" w:cs="宋体"/>
                <w:color w:val="000000"/>
                <w:kern w:val="0"/>
                <w:sz w:val="24"/>
                <w:szCs w:val="24"/>
                <w:lang w:bidi="ar"/>
              </w:rPr>
              <w:t>经济成本</w:t>
            </w:r>
          </w:p>
          <w:p w14:paraId="5D841C6F">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ascii="宋体" w:hAnsi="宋体" w:eastAsia="宋体" w:cs="宋体"/>
                <w:color w:val="000000"/>
                <w:sz w:val="24"/>
                <w:szCs w:val="24"/>
              </w:rPr>
            </w:pPr>
            <w:r>
              <w:rPr>
                <w:rFonts w:ascii="宋体" w:hAnsi="宋体" w:eastAsia="宋体" w:cs="宋体"/>
                <w:color w:val="000000"/>
                <w:kern w:val="0"/>
                <w:sz w:val="24"/>
                <w:szCs w:val="24"/>
                <w:lang w:bidi="ar"/>
              </w:rPr>
              <w:t>指标</w:t>
            </w:r>
          </w:p>
        </w:tc>
        <w:tc>
          <w:tcPr>
            <w:tcW w:w="641" w:type="pct"/>
            <w:tcBorders>
              <w:top w:val="nil"/>
              <w:left w:val="single" w:color="000000" w:sz="4" w:space="0"/>
              <w:bottom w:val="single" w:color="000000" w:sz="4" w:space="0"/>
              <w:right w:val="single" w:color="000000" w:sz="4" w:space="0"/>
            </w:tcBorders>
            <w:shd w:val="clear" w:color="auto" w:fill="auto"/>
            <w:vAlign w:val="center"/>
          </w:tcPr>
          <w:p w14:paraId="4F1EDC0B">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olor w:val="000000"/>
                <w:sz w:val="24"/>
                <w:szCs w:val="24"/>
                <w:lang w:eastAsia="zh-CN"/>
              </w:rPr>
            </w:pPr>
            <w:r>
              <w:rPr>
                <w:rFonts w:hint="eastAsia" w:ascii="宋体" w:hAnsi="宋体" w:eastAsia="宋体"/>
                <w:color w:val="000000"/>
                <w:sz w:val="24"/>
                <w:szCs w:val="24"/>
                <w:lang w:val="en-US" w:eastAsia="zh-CN"/>
              </w:rPr>
              <w:t>成本控制</w:t>
            </w:r>
          </w:p>
        </w:tc>
        <w:tc>
          <w:tcPr>
            <w:tcW w:w="549" w:type="pct"/>
            <w:tcBorders>
              <w:top w:val="nil"/>
              <w:left w:val="nil"/>
              <w:bottom w:val="single" w:color="000000" w:sz="4" w:space="0"/>
              <w:right w:val="single" w:color="000000" w:sz="4" w:space="0"/>
            </w:tcBorders>
            <w:shd w:val="clear" w:color="auto" w:fill="auto"/>
            <w:vAlign w:val="center"/>
          </w:tcPr>
          <w:p w14:paraId="625B2727">
            <w:pPr>
              <w:keepNext w:val="0"/>
              <w:keepLines w:val="0"/>
              <w:pageBreakBefore w:val="0"/>
              <w:kinsoku/>
              <w:wordWrap/>
              <w:overflowPunct/>
              <w:topLinePunct w:val="0"/>
              <w:autoSpaceDE/>
              <w:autoSpaceDN/>
              <w:bidi w:val="0"/>
              <w:adjustRightInd/>
              <w:snapToGrid/>
              <w:spacing w:line="240" w:lineRule="exact"/>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w:t>
            </w:r>
          </w:p>
        </w:tc>
        <w:tc>
          <w:tcPr>
            <w:tcW w:w="473" w:type="pct"/>
            <w:tcBorders>
              <w:top w:val="nil"/>
              <w:left w:val="nil"/>
              <w:bottom w:val="single" w:color="000000" w:sz="4" w:space="0"/>
              <w:right w:val="single" w:color="000000" w:sz="4" w:space="0"/>
            </w:tcBorders>
            <w:shd w:val="clear" w:color="auto" w:fill="auto"/>
            <w:vAlign w:val="center"/>
          </w:tcPr>
          <w:p w14:paraId="7A3C777E">
            <w:pPr>
              <w:keepNext w:val="0"/>
              <w:keepLines w:val="0"/>
              <w:pageBreakBefore w:val="0"/>
              <w:kinsoku/>
              <w:wordWrap/>
              <w:overflowPunct/>
              <w:topLinePunct w:val="0"/>
              <w:autoSpaceDE/>
              <w:autoSpaceDN/>
              <w:bidi w:val="0"/>
              <w:adjustRightInd/>
              <w:snapToGrid/>
              <w:spacing w:line="240" w:lineRule="exact"/>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171</w:t>
            </w:r>
          </w:p>
        </w:tc>
        <w:tc>
          <w:tcPr>
            <w:tcW w:w="518" w:type="pct"/>
            <w:tcBorders>
              <w:top w:val="nil"/>
              <w:left w:val="nil"/>
              <w:bottom w:val="single" w:color="000000" w:sz="4" w:space="0"/>
              <w:right w:val="single" w:color="000000" w:sz="4" w:space="0"/>
            </w:tcBorders>
            <w:shd w:val="clear" w:color="auto" w:fill="auto"/>
            <w:vAlign w:val="center"/>
          </w:tcPr>
          <w:p w14:paraId="5E09F432">
            <w:pPr>
              <w:keepNext w:val="0"/>
              <w:keepLines w:val="0"/>
              <w:pageBreakBefore w:val="0"/>
              <w:kinsoku/>
              <w:wordWrap/>
              <w:overflowPunct/>
              <w:topLinePunct w:val="0"/>
              <w:autoSpaceDE/>
              <w:autoSpaceDN/>
              <w:bidi w:val="0"/>
              <w:adjustRightInd/>
              <w:snapToGrid/>
              <w:spacing w:line="240" w:lineRule="exact"/>
              <w:jc w:val="center"/>
              <w:rPr>
                <w:rFonts w:ascii="宋体" w:hAnsi="宋体" w:eastAsia="宋体"/>
                <w:color w:val="000000"/>
                <w:sz w:val="24"/>
                <w:szCs w:val="24"/>
              </w:rPr>
            </w:pPr>
            <w:r>
              <w:rPr>
                <w:rFonts w:hint="eastAsia" w:ascii="宋体" w:hAnsi="宋体" w:eastAsia="宋体"/>
                <w:color w:val="000000"/>
                <w:sz w:val="24"/>
                <w:szCs w:val="24"/>
              </w:rPr>
              <w:t>万</w:t>
            </w:r>
          </w:p>
        </w:tc>
        <w:tc>
          <w:tcPr>
            <w:tcW w:w="458" w:type="pct"/>
            <w:tcBorders>
              <w:top w:val="nil"/>
              <w:left w:val="single" w:color="000000" w:sz="4" w:space="0"/>
              <w:bottom w:val="single" w:color="000000" w:sz="4" w:space="0"/>
              <w:right w:val="single" w:color="000000" w:sz="4" w:space="0"/>
            </w:tcBorders>
            <w:shd w:val="clear" w:color="auto" w:fill="auto"/>
            <w:vAlign w:val="center"/>
          </w:tcPr>
          <w:p w14:paraId="73BEBBC0">
            <w:pPr>
              <w:keepNext w:val="0"/>
              <w:keepLines w:val="0"/>
              <w:pageBreakBefore w:val="0"/>
              <w:kinsoku/>
              <w:wordWrap/>
              <w:overflowPunct/>
              <w:topLinePunct w:val="0"/>
              <w:autoSpaceDE/>
              <w:autoSpaceDN/>
              <w:bidi w:val="0"/>
              <w:adjustRightInd/>
              <w:snapToGrid/>
              <w:spacing w:line="240" w:lineRule="exact"/>
              <w:jc w:val="center"/>
              <w:rPr>
                <w:color w:val="000000"/>
                <w:sz w:val="24"/>
                <w:szCs w:val="24"/>
              </w:rPr>
            </w:pPr>
            <w:r>
              <w:rPr>
                <w:rFonts w:hint="eastAsia"/>
                <w:color w:val="000000"/>
                <w:sz w:val="24"/>
                <w:szCs w:val="24"/>
              </w:rPr>
              <w:t>10</w:t>
            </w:r>
          </w:p>
        </w:tc>
        <w:tc>
          <w:tcPr>
            <w:tcW w:w="8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E2C059">
            <w:pPr>
              <w:keepNext w:val="0"/>
              <w:keepLines w:val="0"/>
              <w:pageBreakBefore w:val="0"/>
              <w:kinsoku/>
              <w:wordWrap/>
              <w:overflowPunct/>
              <w:topLinePunct w:val="0"/>
              <w:autoSpaceDE/>
              <w:autoSpaceDN/>
              <w:bidi w:val="0"/>
              <w:adjustRightInd/>
              <w:snapToGrid/>
              <w:spacing w:line="240" w:lineRule="exact"/>
              <w:jc w:val="cente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171</w:t>
            </w:r>
          </w:p>
        </w:tc>
      </w:tr>
    </w:tbl>
    <w:p w14:paraId="20022CE2">
      <w:pPr>
        <w:suppressAutoHyphens/>
        <w:bidi w:val="0"/>
        <w:spacing w:line="600" w:lineRule="exact"/>
        <w:jc w:val="center"/>
        <w:outlineLvl w:val="0"/>
        <w:rPr>
          <w:rStyle w:val="43"/>
          <w:rFonts w:hint="eastAsia" w:ascii="黑体" w:hAnsi="黑体" w:eastAsia="黑体"/>
          <w:b w:val="0"/>
          <w:color w:val="auto"/>
          <w:highlight w:val="none"/>
        </w:rPr>
      </w:pPr>
    </w:p>
    <w:p w14:paraId="18ACCA09">
      <w:pPr>
        <w:suppressAutoHyphens/>
        <w:bidi w:val="0"/>
        <w:spacing w:line="600" w:lineRule="exact"/>
        <w:jc w:val="center"/>
        <w:outlineLvl w:val="0"/>
        <w:rPr>
          <w:rStyle w:val="43"/>
          <w:rFonts w:hint="eastAsia" w:ascii="黑体" w:hAnsi="黑体" w:eastAsia="黑体"/>
          <w:b w:val="0"/>
          <w:color w:val="auto"/>
          <w:highlight w:val="none"/>
        </w:rPr>
      </w:pPr>
    </w:p>
    <w:p w14:paraId="49B07736">
      <w:pPr>
        <w:rPr>
          <w:rStyle w:val="43"/>
          <w:rFonts w:hint="eastAsia" w:ascii="黑体" w:hAnsi="黑体" w:eastAsia="黑体"/>
          <w:b w:val="0"/>
          <w:color w:val="auto"/>
          <w:highlight w:val="none"/>
        </w:rPr>
      </w:pPr>
      <w:bookmarkStart w:id="3" w:name="_GoBack"/>
      <w:bookmarkEnd w:id="3"/>
    </w:p>
    <w:sectPr>
      <w:footerReference r:id="rId7" w:type="default"/>
      <w:pgSz w:w="11906" w:h="16838"/>
      <w:pgMar w:top="1440" w:right="1474" w:bottom="1440" w:left="1587"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88E2A1C2-1CEC-48DF-8754-3A5FE76158D0}"/>
  </w:font>
  <w:font w:name="黑体">
    <w:panose1 w:val="02010609060101010101"/>
    <w:charset w:val="86"/>
    <w:family w:val="auto"/>
    <w:pitch w:val="default"/>
    <w:sig w:usb0="800002BF" w:usb1="38CF7CFA" w:usb2="00000016" w:usb3="00000000" w:csb0="00040001" w:csb1="00000000"/>
    <w:embedRegular r:id="rId2" w:fontKey="{C6C6A468-DE26-4311-BCA5-2289C8BF60F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3" w:fontKey="{A3C0674A-BE05-4E4B-8BBF-EDD0881CC68C}"/>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embedRegular r:id="rId4" w:fontKey="{8CF71C37-465C-4020-8D7A-20FF4E91F86D}"/>
  </w:font>
  <w:font w:name="??">
    <w:altName w:val="EmojiOne Mozilla"/>
    <w:panose1 w:val="00000000000000000000"/>
    <w:charset w:val="00"/>
    <w:family w:val="auto"/>
    <w:pitch w:val="default"/>
    <w:sig w:usb0="00000000" w:usb1="00000000" w:usb2="00000000" w:usb3="00000000" w:csb0="00000000" w:csb1="00000000"/>
  </w:font>
  <w:font w:name="EmojiOne Mozilla">
    <w:panose1 w:val="02000509000000000000"/>
    <w:charset w:val="00"/>
    <w:family w:val="auto"/>
    <w:pitch w:val="default"/>
    <w:sig w:usb0="80000003" w:usb1="0241E4AC" w:usb2="08000000" w:usb3="04000000" w:csb0="00000001" w:csb1="00000000"/>
    <w:embedRegular r:id="rId5" w:fontKey="{036CCE8E-E001-45FD-A224-0B4F8F4D78F2}"/>
  </w:font>
  <w:font w:name="Wingdings 2">
    <w:panose1 w:val="05020102010507070707"/>
    <w:charset w:val="00"/>
    <w:family w:val="auto"/>
    <w:pitch w:val="default"/>
    <w:sig w:usb0="00000000" w:usb1="00000000" w:usb2="00000000" w:usb3="00000000" w:csb0="80000000" w:csb1="00000000"/>
    <w:embedRegular r:id="rId6" w:fontKey="{F617D6CD-BCCB-4F34-AEFF-1C64AA80F5DE}"/>
  </w:font>
  <w:font w:name="思源黑体 CN Normal">
    <w:altName w:val="黑体"/>
    <w:panose1 w:val="020B0400000000000000"/>
    <w:charset w:val="86"/>
    <w:family w:val="auto"/>
    <w:pitch w:val="default"/>
    <w:sig w:usb0="00000000" w:usb1="00000000" w:usb2="00000016" w:usb3="00000000" w:csb0="60060107" w:csb1="00000000"/>
    <w:embedRegular r:id="rId7" w:fontKey="{D8E42377-75E7-4BCF-93F5-744BD19B515F}"/>
  </w:font>
  <w:font w:name="方正小标宋简体">
    <w:panose1 w:val="02000000000000000000"/>
    <w:charset w:val="86"/>
    <w:family w:val="auto"/>
    <w:pitch w:val="default"/>
    <w:sig w:usb0="00000001" w:usb1="08000000" w:usb2="00000000" w:usb3="00000000" w:csb0="00040000" w:csb1="00000000"/>
    <w:embedRegular r:id="rId8" w:fontKey="{8401510D-3315-4DA6-BBA3-F8F1E7D00FEA}"/>
  </w:font>
  <w:font w:name="方正小标宋_GBK">
    <w:panose1 w:val="02000000000000000000"/>
    <w:charset w:val="86"/>
    <w:family w:val="auto"/>
    <w:pitch w:val="default"/>
    <w:sig w:usb0="00000001" w:usb1="080E0000" w:usb2="00000000" w:usb3="00000000" w:csb0="00040000" w:csb1="00000000"/>
    <w:embedRegular r:id="rId9" w:fontKey="{7740F10B-7759-470B-8E09-C6D4C80B0B0C}"/>
  </w:font>
  <w:font w:name="楷体_GB2312">
    <w:panose1 w:val="02010609030101010101"/>
    <w:charset w:val="86"/>
    <w:family w:val="auto"/>
    <w:pitch w:val="default"/>
    <w:sig w:usb0="00000001" w:usb1="080E0000" w:usb2="00000000" w:usb3="00000000" w:csb0="00040000" w:csb1="00000000"/>
    <w:embedRegular r:id="rId10" w:fontKey="{034450C3-BBE4-4B72-BF88-8C292C986D70}"/>
  </w:font>
  <w:font w:name="楷体">
    <w:panose1 w:val="02010609060101010101"/>
    <w:charset w:val="86"/>
    <w:family w:val="auto"/>
    <w:pitch w:val="default"/>
    <w:sig w:usb0="800002BF" w:usb1="38CF7CFA" w:usb2="00000016" w:usb3="00000000" w:csb0="00040001" w:csb1="00000000"/>
    <w:embedRegular r:id="rId11" w:fontKey="{BDB0D2D8-C348-41E9-B0C7-AA1C1716645A}"/>
  </w:font>
  <w:font w:name="方正仿宋_GBK">
    <w:panose1 w:val="03000509000000000000"/>
    <w:charset w:val="86"/>
    <w:family w:val="auto"/>
    <w:pitch w:val="default"/>
    <w:sig w:usb0="00000001" w:usb1="080E0000" w:usb2="00000000" w:usb3="00000000" w:csb0="00040000" w:csb1="00000000"/>
    <w:embedRegular r:id="rId12" w:fontKey="{E8A41452-3BAF-481C-8752-7253F985F161}"/>
  </w:font>
  <w:font w:name="方正仿宋_GB2312">
    <w:panose1 w:val="02000000000000000000"/>
    <w:charset w:val="86"/>
    <w:family w:val="auto"/>
    <w:pitch w:val="default"/>
    <w:sig w:usb0="A00002BF" w:usb1="184F6CFA" w:usb2="00000012" w:usb3="00000000" w:csb0="00040001" w:csb1="00000000"/>
    <w:embedRegular r:id="rId13" w:fontKey="{6DF3F250-F342-4CDA-BB6B-CDDCE908F6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0FF7B9">
    <w:pPr>
      <w:pStyle w:val="15"/>
      <w:jc w:val="center"/>
    </w:pPr>
  </w:p>
  <w:p w14:paraId="40092139">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CE9E89">
    <w:pPr>
      <w:pStyle w:val="1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BAE1AE">
                          <w:pPr>
                            <w:pStyle w:val="15"/>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09BAE1AE">
                    <w:pPr>
                      <w:pStyle w:val="15"/>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8D8548">
    <w:pPr>
      <w:pStyle w:val="15"/>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77D5EF">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2777D5EF">
                    <w:pPr>
                      <w:pStyle w:val="15"/>
                    </w:pPr>
                    <w:r>
                      <w:fldChar w:fldCharType="begin"/>
                    </w:r>
                    <w:r>
                      <w:instrText xml:space="preserve"> PAGE  \* MERGEFORMAT </w:instrText>
                    </w:r>
                    <w:r>
                      <w:fldChar w:fldCharType="separate"/>
                    </w:r>
                    <w:r>
                      <w:t>1</w:t>
                    </w:r>
                    <w:r>
                      <w:fldChar w:fldCharType="end"/>
                    </w:r>
                  </w:p>
                </w:txbxContent>
              </v:textbox>
            </v:shape>
          </w:pict>
        </mc:Fallback>
      </mc:AlternateContent>
    </w:r>
  </w:p>
  <w:p w14:paraId="002629A3">
    <w:pPr>
      <w:pStyle w:val="1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6EE576">
    <w:pPr>
      <w:pStyle w:val="16"/>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4FFD1A">
    <w:pPr>
      <w:pStyle w:val="1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9341B"/>
    <w:multiLevelType w:val="singleLevel"/>
    <w:tmpl w:val="9239341B"/>
    <w:lvl w:ilvl="0" w:tentative="0">
      <w:start w:val="2"/>
      <w:numFmt w:val="chineseCounting"/>
      <w:suff w:val="nothing"/>
      <w:lvlText w:val="（%1）"/>
      <w:lvlJc w:val="left"/>
      <w:rPr>
        <w:rFonts w:hint="eastAsia"/>
      </w:rPr>
    </w:lvl>
  </w:abstractNum>
  <w:abstractNum w:abstractNumId="1">
    <w:nsid w:val="B5E306ED"/>
    <w:multiLevelType w:val="singleLevel"/>
    <w:tmpl w:val="B5E306ED"/>
    <w:lvl w:ilvl="0" w:tentative="0">
      <w:start w:val="3"/>
      <w:numFmt w:val="chineseCounting"/>
      <w:suff w:val="nothing"/>
      <w:lvlText w:val="（%1）"/>
      <w:lvlJc w:val="left"/>
      <w:rPr>
        <w:rFonts w:hint="eastAsia"/>
      </w:rPr>
    </w:lvl>
  </w:abstractNum>
  <w:abstractNum w:abstractNumId="2">
    <w:nsid w:val="BF205925"/>
    <w:multiLevelType w:val="singleLevel"/>
    <w:tmpl w:val="BF205925"/>
    <w:lvl w:ilvl="0" w:tentative="0">
      <w:start w:val="4"/>
      <w:numFmt w:val="chineseCounting"/>
      <w:suff w:val="nothing"/>
      <w:lvlText w:val="%1、"/>
      <w:lvlJc w:val="left"/>
      <w:rPr>
        <w:rFonts w:hint="eastAsia"/>
      </w:rPr>
    </w:lvl>
  </w:abstractNum>
  <w:abstractNum w:abstractNumId="3">
    <w:nsid w:val="CF092B84"/>
    <w:multiLevelType w:val="singleLevel"/>
    <w:tmpl w:val="CF092B84"/>
    <w:lvl w:ilvl="0" w:tentative="0">
      <w:start w:val="2"/>
      <w:numFmt w:val="chineseCounting"/>
      <w:suff w:val="nothing"/>
      <w:lvlText w:val="（%1）"/>
      <w:lvlJc w:val="left"/>
      <w:pPr>
        <w:ind w:left="-3"/>
      </w:pPr>
      <w:rPr>
        <w:rFonts w:hint="eastAsia" w:ascii="楷体" w:hAnsi="楷体" w:eastAsia="楷体" w:cs="楷体"/>
        <w:b/>
        <w:bCs/>
      </w:rPr>
    </w:lvl>
  </w:abstractNum>
  <w:abstractNum w:abstractNumId="4">
    <w:nsid w:val="0053208E"/>
    <w:multiLevelType w:val="singleLevel"/>
    <w:tmpl w:val="0053208E"/>
    <w:lvl w:ilvl="0" w:tentative="0">
      <w:start w:val="2"/>
      <w:numFmt w:val="chineseCounting"/>
      <w:suff w:val="nothing"/>
      <w:lvlText w:val="（%1）"/>
      <w:lvlJc w:val="left"/>
      <w:rPr>
        <w:rFonts w:hint="eastAsia"/>
      </w:rPr>
    </w:lvl>
  </w:abstractNum>
  <w:abstractNum w:abstractNumId="5">
    <w:nsid w:val="0248C179"/>
    <w:multiLevelType w:val="singleLevel"/>
    <w:tmpl w:val="0248C179"/>
    <w:lvl w:ilvl="0" w:tentative="0">
      <w:start w:val="3"/>
      <w:numFmt w:val="chineseCounting"/>
      <w:suff w:val="nothing"/>
      <w:lvlText w:val="（%1）"/>
      <w:lvlJc w:val="left"/>
      <w:rPr>
        <w:rFonts w:hint="eastAsia"/>
      </w:rPr>
    </w:lvl>
  </w:abstractNum>
  <w:abstractNum w:abstractNumId="6">
    <w:nsid w:val="03D62ECE"/>
    <w:multiLevelType w:val="singleLevel"/>
    <w:tmpl w:val="03D62ECE"/>
    <w:lvl w:ilvl="0" w:tentative="0">
      <w:start w:val="4"/>
      <w:numFmt w:val="chineseCounting"/>
      <w:suff w:val="nothing"/>
      <w:lvlText w:val="（%1）"/>
      <w:lvlJc w:val="left"/>
      <w:rPr>
        <w:rFonts w:hint="eastAsia" w:ascii="楷体" w:hAnsi="楷体" w:eastAsia="楷体" w:cs="楷体"/>
        <w:b/>
        <w:bCs/>
      </w:rPr>
    </w:lvl>
  </w:abstractNum>
  <w:abstractNum w:abstractNumId="7">
    <w:nsid w:val="25B654F3"/>
    <w:multiLevelType w:val="singleLevel"/>
    <w:tmpl w:val="25B654F3"/>
    <w:lvl w:ilvl="0" w:tentative="0">
      <w:start w:val="2"/>
      <w:numFmt w:val="chineseCounting"/>
      <w:suff w:val="nothing"/>
      <w:lvlText w:val="（%1）"/>
      <w:lvlJc w:val="left"/>
      <w:rPr>
        <w:rFonts w:hint="eastAsia"/>
      </w:rPr>
    </w:lvl>
  </w:abstractNum>
  <w:abstractNum w:abstractNumId="8">
    <w:nsid w:val="2A8F537B"/>
    <w:multiLevelType w:val="singleLevel"/>
    <w:tmpl w:val="2A8F537B"/>
    <w:lvl w:ilvl="0" w:tentative="0">
      <w:start w:val="2"/>
      <w:numFmt w:val="chineseCounting"/>
      <w:suff w:val="nothing"/>
      <w:lvlText w:val="（%1）"/>
      <w:lvlJc w:val="left"/>
      <w:rPr>
        <w:rFonts w:hint="eastAsia"/>
      </w:rPr>
    </w:lvl>
  </w:abstractNum>
  <w:abstractNum w:abstractNumId="9">
    <w:nsid w:val="59ADCABA"/>
    <w:multiLevelType w:val="singleLevel"/>
    <w:tmpl w:val="59ADCABA"/>
    <w:lvl w:ilvl="0" w:tentative="0">
      <w:start w:val="3"/>
      <w:numFmt w:val="chineseCounting"/>
      <w:suff w:val="nothing"/>
      <w:lvlText w:val="%1、"/>
      <w:lvlJc w:val="left"/>
      <w:rPr>
        <w:rFonts w:hint="eastAsia" w:ascii="黑体" w:hAnsi="黑体" w:eastAsia="黑体" w:cs="黑体"/>
        <w:sz w:val="32"/>
        <w:szCs w:val="32"/>
      </w:rPr>
    </w:lvl>
  </w:abstractNum>
  <w:abstractNum w:abstractNumId="10">
    <w:nsid w:val="72183CF9"/>
    <w:multiLevelType w:val="singleLevel"/>
    <w:tmpl w:val="72183CF9"/>
    <w:lvl w:ilvl="0" w:tentative="0">
      <w:start w:val="2"/>
      <w:numFmt w:val="chineseCounting"/>
      <w:suff w:val="nothing"/>
      <w:lvlText w:val="（%1）"/>
      <w:lvlJc w:val="left"/>
      <w:pPr>
        <w:ind w:left="-3"/>
      </w:pPr>
      <w:rPr>
        <w:rFonts w:hint="eastAsia" w:ascii="楷体" w:hAnsi="楷体" w:eastAsia="楷体" w:cs="楷体"/>
        <w:b/>
        <w:bCs/>
      </w:rPr>
    </w:lvl>
  </w:abstractNum>
  <w:num w:numId="1">
    <w:abstractNumId w:val="4"/>
  </w:num>
  <w:num w:numId="2">
    <w:abstractNumId w:val="3"/>
  </w:num>
  <w:num w:numId="3">
    <w:abstractNumId w:val="9"/>
  </w:num>
  <w:num w:numId="4">
    <w:abstractNumId w:val="2"/>
  </w:num>
  <w:num w:numId="5">
    <w:abstractNumId w:val="1"/>
  </w:num>
  <w:num w:numId="6">
    <w:abstractNumId w:val="6"/>
  </w:num>
  <w:num w:numId="7">
    <w:abstractNumId w:val="7"/>
  </w:num>
  <w:num w:numId="8">
    <w:abstractNumId w:val="10"/>
  </w:num>
  <w:num w:numId="9">
    <w:abstractNumId w:val="5"/>
  </w:num>
  <w:num w:numId="10">
    <w:abstractNumId w:val="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hmNjAzMWJlZjFkMmQwODUwMTJkYzE2ODFiYmFmYTcifQ=="/>
  </w:docVars>
  <w:rsids>
    <w:rsidRoot w:val="00F1361C"/>
    <w:rsid w:val="000000BC"/>
    <w:rsid w:val="00000665"/>
    <w:rsid w:val="00000B38"/>
    <w:rsid w:val="000015A2"/>
    <w:rsid w:val="00002628"/>
    <w:rsid w:val="00003E5B"/>
    <w:rsid w:val="00004806"/>
    <w:rsid w:val="00007EA6"/>
    <w:rsid w:val="00012FB7"/>
    <w:rsid w:val="00013357"/>
    <w:rsid w:val="00013C9E"/>
    <w:rsid w:val="00015450"/>
    <w:rsid w:val="000175E6"/>
    <w:rsid w:val="00017F98"/>
    <w:rsid w:val="00020F07"/>
    <w:rsid w:val="000222C6"/>
    <w:rsid w:val="00022FC0"/>
    <w:rsid w:val="000230B2"/>
    <w:rsid w:val="0002359B"/>
    <w:rsid w:val="00023DEB"/>
    <w:rsid w:val="00025226"/>
    <w:rsid w:val="0002549F"/>
    <w:rsid w:val="00025F1E"/>
    <w:rsid w:val="0002749D"/>
    <w:rsid w:val="0003013F"/>
    <w:rsid w:val="00031598"/>
    <w:rsid w:val="00031926"/>
    <w:rsid w:val="000326D5"/>
    <w:rsid w:val="00033414"/>
    <w:rsid w:val="00034ABC"/>
    <w:rsid w:val="00034D1D"/>
    <w:rsid w:val="00034D24"/>
    <w:rsid w:val="00035A69"/>
    <w:rsid w:val="000366B3"/>
    <w:rsid w:val="00036E57"/>
    <w:rsid w:val="00047195"/>
    <w:rsid w:val="00047C09"/>
    <w:rsid w:val="00052D93"/>
    <w:rsid w:val="000551CF"/>
    <w:rsid w:val="000571AC"/>
    <w:rsid w:val="00063AA8"/>
    <w:rsid w:val="0006487A"/>
    <w:rsid w:val="00065F8F"/>
    <w:rsid w:val="00066365"/>
    <w:rsid w:val="00066A65"/>
    <w:rsid w:val="00070C93"/>
    <w:rsid w:val="00070D58"/>
    <w:rsid w:val="00070F40"/>
    <w:rsid w:val="00071796"/>
    <w:rsid w:val="00072BEC"/>
    <w:rsid w:val="00073345"/>
    <w:rsid w:val="000768F2"/>
    <w:rsid w:val="00077C80"/>
    <w:rsid w:val="00081156"/>
    <w:rsid w:val="000815F6"/>
    <w:rsid w:val="00083B72"/>
    <w:rsid w:val="000846FF"/>
    <w:rsid w:val="0008503A"/>
    <w:rsid w:val="000851B4"/>
    <w:rsid w:val="000859F0"/>
    <w:rsid w:val="00087C06"/>
    <w:rsid w:val="00090134"/>
    <w:rsid w:val="00090DB7"/>
    <w:rsid w:val="0009184B"/>
    <w:rsid w:val="00091AAC"/>
    <w:rsid w:val="000921CB"/>
    <w:rsid w:val="000925CB"/>
    <w:rsid w:val="0009389E"/>
    <w:rsid w:val="0009593C"/>
    <w:rsid w:val="000A1370"/>
    <w:rsid w:val="000A17C4"/>
    <w:rsid w:val="000A37A2"/>
    <w:rsid w:val="000A500C"/>
    <w:rsid w:val="000B007F"/>
    <w:rsid w:val="000B047F"/>
    <w:rsid w:val="000B071C"/>
    <w:rsid w:val="000B1716"/>
    <w:rsid w:val="000B202D"/>
    <w:rsid w:val="000B26BE"/>
    <w:rsid w:val="000B2D44"/>
    <w:rsid w:val="000B2FD8"/>
    <w:rsid w:val="000B44F0"/>
    <w:rsid w:val="000B5923"/>
    <w:rsid w:val="000B5A48"/>
    <w:rsid w:val="000B6FF3"/>
    <w:rsid w:val="000C0A06"/>
    <w:rsid w:val="000C148A"/>
    <w:rsid w:val="000C2B6A"/>
    <w:rsid w:val="000C3467"/>
    <w:rsid w:val="000C3CA6"/>
    <w:rsid w:val="000C4E3D"/>
    <w:rsid w:val="000C7136"/>
    <w:rsid w:val="000D1267"/>
    <w:rsid w:val="000D17A8"/>
    <w:rsid w:val="000D1D50"/>
    <w:rsid w:val="000D304F"/>
    <w:rsid w:val="000D4033"/>
    <w:rsid w:val="000D5782"/>
    <w:rsid w:val="000D620F"/>
    <w:rsid w:val="000D74AA"/>
    <w:rsid w:val="000E3AC5"/>
    <w:rsid w:val="000E4C84"/>
    <w:rsid w:val="000E6613"/>
    <w:rsid w:val="000E6663"/>
    <w:rsid w:val="000E7119"/>
    <w:rsid w:val="000E75B2"/>
    <w:rsid w:val="000F0D1B"/>
    <w:rsid w:val="000F3E1D"/>
    <w:rsid w:val="000F7336"/>
    <w:rsid w:val="00101546"/>
    <w:rsid w:val="00106B75"/>
    <w:rsid w:val="0010727E"/>
    <w:rsid w:val="00107CCA"/>
    <w:rsid w:val="00110310"/>
    <w:rsid w:val="0011211B"/>
    <w:rsid w:val="00112787"/>
    <w:rsid w:val="00114E9B"/>
    <w:rsid w:val="0011649B"/>
    <w:rsid w:val="00116E5E"/>
    <w:rsid w:val="0012218E"/>
    <w:rsid w:val="0012398F"/>
    <w:rsid w:val="00124113"/>
    <w:rsid w:val="00124BFE"/>
    <w:rsid w:val="0012516D"/>
    <w:rsid w:val="00125224"/>
    <w:rsid w:val="00130F18"/>
    <w:rsid w:val="00133C7A"/>
    <w:rsid w:val="0013434B"/>
    <w:rsid w:val="00137E3C"/>
    <w:rsid w:val="001418EE"/>
    <w:rsid w:val="00142F42"/>
    <w:rsid w:val="00143AE1"/>
    <w:rsid w:val="00143C8F"/>
    <w:rsid w:val="001446FE"/>
    <w:rsid w:val="00144A59"/>
    <w:rsid w:val="00146A3D"/>
    <w:rsid w:val="0014729F"/>
    <w:rsid w:val="00147410"/>
    <w:rsid w:val="001506F6"/>
    <w:rsid w:val="00151128"/>
    <w:rsid w:val="0015213E"/>
    <w:rsid w:val="001544D9"/>
    <w:rsid w:val="00156D25"/>
    <w:rsid w:val="00156D5D"/>
    <w:rsid w:val="00157BAB"/>
    <w:rsid w:val="0016151A"/>
    <w:rsid w:val="00163B54"/>
    <w:rsid w:val="00163F03"/>
    <w:rsid w:val="001654D1"/>
    <w:rsid w:val="00166A14"/>
    <w:rsid w:val="00166F25"/>
    <w:rsid w:val="0016730C"/>
    <w:rsid w:val="00167FD7"/>
    <w:rsid w:val="0017190C"/>
    <w:rsid w:val="00174145"/>
    <w:rsid w:val="0018106D"/>
    <w:rsid w:val="0018125C"/>
    <w:rsid w:val="00181856"/>
    <w:rsid w:val="00183B64"/>
    <w:rsid w:val="00184B52"/>
    <w:rsid w:val="001877A7"/>
    <w:rsid w:val="00187CD2"/>
    <w:rsid w:val="00191536"/>
    <w:rsid w:val="00191B2C"/>
    <w:rsid w:val="001927B3"/>
    <w:rsid w:val="00193E73"/>
    <w:rsid w:val="00193FE2"/>
    <w:rsid w:val="001959D9"/>
    <w:rsid w:val="00195AB7"/>
    <w:rsid w:val="00196687"/>
    <w:rsid w:val="001A0107"/>
    <w:rsid w:val="001A0B9F"/>
    <w:rsid w:val="001A0EA2"/>
    <w:rsid w:val="001A1DBF"/>
    <w:rsid w:val="001A41F1"/>
    <w:rsid w:val="001A5CF3"/>
    <w:rsid w:val="001A63BB"/>
    <w:rsid w:val="001B1840"/>
    <w:rsid w:val="001B1FA9"/>
    <w:rsid w:val="001B2FB3"/>
    <w:rsid w:val="001B5F65"/>
    <w:rsid w:val="001B6640"/>
    <w:rsid w:val="001B7FF7"/>
    <w:rsid w:val="001C0962"/>
    <w:rsid w:val="001C1941"/>
    <w:rsid w:val="001C1A81"/>
    <w:rsid w:val="001C38A5"/>
    <w:rsid w:val="001C597C"/>
    <w:rsid w:val="001C6464"/>
    <w:rsid w:val="001C746B"/>
    <w:rsid w:val="001D14B6"/>
    <w:rsid w:val="001D342B"/>
    <w:rsid w:val="001D6C1E"/>
    <w:rsid w:val="001D7531"/>
    <w:rsid w:val="001E0A1B"/>
    <w:rsid w:val="001E1402"/>
    <w:rsid w:val="001E2922"/>
    <w:rsid w:val="001E3680"/>
    <w:rsid w:val="001E6926"/>
    <w:rsid w:val="001E737D"/>
    <w:rsid w:val="001F0592"/>
    <w:rsid w:val="001F0C89"/>
    <w:rsid w:val="001F7506"/>
    <w:rsid w:val="002006CD"/>
    <w:rsid w:val="0020075A"/>
    <w:rsid w:val="00202B36"/>
    <w:rsid w:val="00202C44"/>
    <w:rsid w:val="00202F80"/>
    <w:rsid w:val="002030A5"/>
    <w:rsid w:val="00204B7A"/>
    <w:rsid w:val="00206616"/>
    <w:rsid w:val="0020689D"/>
    <w:rsid w:val="00206B0E"/>
    <w:rsid w:val="00207949"/>
    <w:rsid w:val="0021101A"/>
    <w:rsid w:val="0021190F"/>
    <w:rsid w:val="0021334C"/>
    <w:rsid w:val="00216B50"/>
    <w:rsid w:val="00220536"/>
    <w:rsid w:val="00220C02"/>
    <w:rsid w:val="00224F1D"/>
    <w:rsid w:val="00225CB7"/>
    <w:rsid w:val="0023060C"/>
    <w:rsid w:val="00234E40"/>
    <w:rsid w:val="00235629"/>
    <w:rsid w:val="00237409"/>
    <w:rsid w:val="00237AE4"/>
    <w:rsid w:val="00240C43"/>
    <w:rsid w:val="00240C5D"/>
    <w:rsid w:val="00243589"/>
    <w:rsid w:val="002527B1"/>
    <w:rsid w:val="0025301B"/>
    <w:rsid w:val="00253FF8"/>
    <w:rsid w:val="00260A32"/>
    <w:rsid w:val="00260C38"/>
    <w:rsid w:val="00260F84"/>
    <w:rsid w:val="002616C0"/>
    <w:rsid w:val="002620C0"/>
    <w:rsid w:val="002662AA"/>
    <w:rsid w:val="00267E1C"/>
    <w:rsid w:val="00272FB2"/>
    <w:rsid w:val="0027313F"/>
    <w:rsid w:val="00273F8B"/>
    <w:rsid w:val="002740FA"/>
    <w:rsid w:val="0027692F"/>
    <w:rsid w:val="0027703A"/>
    <w:rsid w:val="00277BF4"/>
    <w:rsid w:val="002803BD"/>
    <w:rsid w:val="00280496"/>
    <w:rsid w:val="00283D63"/>
    <w:rsid w:val="00283E91"/>
    <w:rsid w:val="002856F9"/>
    <w:rsid w:val="002866CA"/>
    <w:rsid w:val="00286C21"/>
    <w:rsid w:val="002875BF"/>
    <w:rsid w:val="0029076F"/>
    <w:rsid w:val="0029094E"/>
    <w:rsid w:val="00291DC2"/>
    <w:rsid w:val="00292626"/>
    <w:rsid w:val="00292E6B"/>
    <w:rsid w:val="00295495"/>
    <w:rsid w:val="002A0D55"/>
    <w:rsid w:val="002A0E88"/>
    <w:rsid w:val="002A1940"/>
    <w:rsid w:val="002A3F4C"/>
    <w:rsid w:val="002A70D7"/>
    <w:rsid w:val="002A77B7"/>
    <w:rsid w:val="002A7AE1"/>
    <w:rsid w:val="002B133E"/>
    <w:rsid w:val="002B1B6D"/>
    <w:rsid w:val="002B2613"/>
    <w:rsid w:val="002B2C2A"/>
    <w:rsid w:val="002B2F51"/>
    <w:rsid w:val="002B44FC"/>
    <w:rsid w:val="002B5438"/>
    <w:rsid w:val="002B544A"/>
    <w:rsid w:val="002B5F40"/>
    <w:rsid w:val="002B79B7"/>
    <w:rsid w:val="002C00BF"/>
    <w:rsid w:val="002C0137"/>
    <w:rsid w:val="002C1004"/>
    <w:rsid w:val="002C1E97"/>
    <w:rsid w:val="002C4022"/>
    <w:rsid w:val="002C5275"/>
    <w:rsid w:val="002C6074"/>
    <w:rsid w:val="002D1F9E"/>
    <w:rsid w:val="002D30E8"/>
    <w:rsid w:val="002E0F9C"/>
    <w:rsid w:val="002E1F75"/>
    <w:rsid w:val="002E202A"/>
    <w:rsid w:val="002E5C3A"/>
    <w:rsid w:val="002E64D0"/>
    <w:rsid w:val="002F1818"/>
    <w:rsid w:val="002F1A28"/>
    <w:rsid w:val="002F2C84"/>
    <w:rsid w:val="002F335F"/>
    <w:rsid w:val="002F567B"/>
    <w:rsid w:val="002F66D8"/>
    <w:rsid w:val="002F7353"/>
    <w:rsid w:val="0030080A"/>
    <w:rsid w:val="0030298F"/>
    <w:rsid w:val="00302AF1"/>
    <w:rsid w:val="00305126"/>
    <w:rsid w:val="0030593B"/>
    <w:rsid w:val="00310306"/>
    <w:rsid w:val="0031156F"/>
    <w:rsid w:val="00317FD1"/>
    <w:rsid w:val="00321358"/>
    <w:rsid w:val="003216A9"/>
    <w:rsid w:val="00322D89"/>
    <w:rsid w:val="00325332"/>
    <w:rsid w:val="00325856"/>
    <w:rsid w:val="00325985"/>
    <w:rsid w:val="003278AA"/>
    <w:rsid w:val="00332726"/>
    <w:rsid w:val="0033309F"/>
    <w:rsid w:val="00335ED6"/>
    <w:rsid w:val="00337694"/>
    <w:rsid w:val="003431B7"/>
    <w:rsid w:val="0034381A"/>
    <w:rsid w:val="003440C6"/>
    <w:rsid w:val="00350C26"/>
    <w:rsid w:val="003515CF"/>
    <w:rsid w:val="00353569"/>
    <w:rsid w:val="00354D51"/>
    <w:rsid w:val="0035612F"/>
    <w:rsid w:val="00356A32"/>
    <w:rsid w:val="0035779A"/>
    <w:rsid w:val="00360394"/>
    <w:rsid w:val="0036392A"/>
    <w:rsid w:val="003663FE"/>
    <w:rsid w:val="0036688B"/>
    <w:rsid w:val="00366A86"/>
    <w:rsid w:val="00367683"/>
    <w:rsid w:val="00367B91"/>
    <w:rsid w:val="0037013F"/>
    <w:rsid w:val="00373FCE"/>
    <w:rsid w:val="00377A4C"/>
    <w:rsid w:val="003802FF"/>
    <w:rsid w:val="00380C92"/>
    <w:rsid w:val="00383877"/>
    <w:rsid w:val="00385025"/>
    <w:rsid w:val="00386455"/>
    <w:rsid w:val="00390D36"/>
    <w:rsid w:val="00390F3B"/>
    <w:rsid w:val="0039111A"/>
    <w:rsid w:val="003936B4"/>
    <w:rsid w:val="00393AFD"/>
    <w:rsid w:val="003A079E"/>
    <w:rsid w:val="003A10FA"/>
    <w:rsid w:val="003A163E"/>
    <w:rsid w:val="003A32EC"/>
    <w:rsid w:val="003A36AE"/>
    <w:rsid w:val="003A3ACA"/>
    <w:rsid w:val="003A4404"/>
    <w:rsid w:val="003A484F"/>
    <w:rsid w:val="003A4F96"/>
    <w:rsid w:val="003A5540"/>
    <w:rsid w:val="003B0BE0"/>
    <w:rsid w:val="003B0C1A"/>
    <w:rsid w:val="003B0C1B"/>
    <w:rsid w:val="003B5601"/>
    <w:rsid w:val="003B688C"/>
    <w:rsid w:val="003C0291"/>
    <w:rsid w:val="003C2ECB"/>
    <w:rsid w:val="003C350E"/>
    <w:rsid w:val="003C39AE"/>
    <w:rsid w:val="003C6D0D"/>
    <w:rsid w:val="003C76CC"/>
    <w:rsid w:val="003C7B60"/>
    <w:rsid w:val="003D0821"/>
    <w:rsid w:val="003D1FB2"/>
    <w:rsid w:val="003D2303"/>
    <w:rsid w:val="003D3CC9"/>
    <w:rsid w:val="003D4221"/>
    <w:rsid w:val="003D644D"/>
    <w:rsid w:val="003D66DA"/>
    <w:rsid w:val="003E10D3"/>
    <w:rsid w:val="003E1310"/>
    <w:rsid w:val="003E2E1C"/>
    <w:rsid w:val="003E5BD3"/>
    <w:rsid w:val="003E6348"/>
    <w:rsid w:val="003E6F55"/>
    <w:rsid w:val="003F133D"/>
    <w:rsid w:val="003F2794"/>
    <w:rsid w:val="003F339D"/>
    <w:rsid w:val="003F363F"/>
    <w:rsid w:val="003F3A2A"/>
    <w:rsid w:val="003F3DED"/>
    <w:rsid w:val="003F3E94"/>
    <w:rsid w:val="003F44B8"/>
    <w:rsid w:val="003F7CD6"/>
    <w:rsid w:val="00400549"/>
    <w:rsid w:val="00401C71"/>
    <w:rsid w:val="004026F9"/>
    <w:rsid w:val="00402FCE"/>
    <w:rsid w:val="00405639"/>
    <w:rsid w:val="00406254"/>
    <w:rsid w:val="004071E0"/>
    <w:rsid w:val="00407AD0"/>
    <w:rsid w:val="00410C16"/>
    <w:rsid w:val="00422023"/>
    <w:rsid w:val="004223DE"/>
    <w:rsid w:val="004234B2"/>
    <w:rsid w:val="00426FA8"/>
    <w:rsid w:val="00427162"/>
    <w:rsid w:val="0043341C"/>
    <w:rsid w:val="004343F3"/>
    <w:rsid w:val="00434489"/>
    <w:rsid w:val="0043475E"/>
    <w:rsid w:val="0043497B"/>
    <w:rsid w:val="00435137"/>
    <w:rsid w:val="00436E88"/>
    <w:rsid w:val="00437085"/>
    <w:rsid w:val="004370D1"/>
    <w:rsid w:val="00440872"/>
    <w:rsid w:val="00440A29"/>
    <w:rsid w:val="00441C18"/>
    <w:rsid w:val="004422EF"/>
    <w:rsid w:val="00443880"/>
    <w:rsid w:val="00444CE1"/>
    <w:rsid w:val="0044578E"/>
    <w:rsid w:val="0044581C"/>
    <w:rsid w:val="004464F4"/>
    <w:rsid w:val="00446FA9"/>
    <w:rsid w:val="00447035"/>
    <w:rsid w:val="00450BFF"/>
    <w:rsid w:val="00454FA9"/>
    <w:rsid w:val="004571F2"/>
    <w:rsid w:val="0045723A"/>
    <w:rsid w:val="00460A67"/>
    <w:rsid w:val="00461A98"/>
    <w:rsid w:val="00462B33"/>
    <w:rsid w:val="0046346E"/>
    <w:rsid w:val="004700E2"/>
    <w:rsid w:val="004708B9"/>
    <w:rsid w:val="00471401"/>
    <w:rsid w:val="00471CBB"/>
    <w:rsid w:val="00473F31"/>
    <w:rsid w:val="00474218"/>
    <w:rsid w:val="004750E8"/>
    <w:rsid w:val="00476F1B"/>
    <w:rsid w:val="0047729B"/>
    <w:rsid w:val="0048263A"/>
    <w:rsid w:val="0048368B"/>
    <w:rsid w:val="0048372E"/>
    <w:rsid w:val="00483F46"/>
    <w:rsid w:val="00484CD3"/>
    <w:rsid w:val="004857E4"/>
    <w:rsid w:val="00486073"/>
    <w:rsid w:val="0048694C"/>
    <w:rsid w:val="00486E3E"/>
    <w:rsid w:val="00487E5D"/>
    <w:rsid w:val="00491181"/>
    <w:rsid w:val="00492070"/>
    <w:rsid w:val="004941B6"/>
    <w:rsid w:val="00497E59"/>
    <w:rsid w:val="004A2A48"/>
    <w:rsid w:val="004A4A66"/>
    <w:rsid w:val="004A4B01"/>
    <w:rsid w:val="004A5576"/>
    <w:rsid w:val="004A6B85"/>
    <w:rsid w:val="004A711F"/>
    <w:rsid w:val="004A7B2B"/>
    <w:rsid w:val="004B01AE"/>
    <w:rsid w:val="004B199D"/>
    <w:rsid w:val="004B2279"/>
    <w:rsid w:val="004B25B9"/>
    <w:rsid w:val="004B3F00"/>
    <w:rsid w:val="004B4690"/>
    <w:rsid w:val="004B7108"/>
    <w:rsid w:val="004B778F"/>
    <w:rsid w:val="004B785F"/>
    <w:rsid w:val="004C01B1"/>
    <w:rsid w:val="004C062D"/>
    <w:rsid w:val="004C4638"/>
    <w:rsid w:val="004C5745"/>
    <w:rsid w:val="004C5DBD"/>
    <w:rsid w:val="004C62FA"/>
    <w:rsid w:val="004C6FB9"/>
    <w:rsid w:val="004D1DC6"/>
    <w:rsid w:val="004D31FB"/>
    <w:rsid w:val="004D4BB1"/>
    <w:rsid w:val="004D4D6E"/>
    <w:rsid w:val="004D4DA3"/>
    <w:rsid w:val="004D798C"/>
    <w:rsid w:val="004D7AEF"/>
    <w:rsid w:val="004E028C"/>
    <w:rsid w:val="004E0815"/>
    <w:rsid w:val="004E0A2D"/>
    <w:rsid w:val="004E206B"/>
    <w:rsid w:val="004E3DEC"/>
    <w:rsid w:val="004E67E0"/>
    <w:rsid w:val="004E6DF7"/>
    <w:rsid w:val="004F0FBD"/>
    <w:rsid w:val="00501436"/>
    <w:rsid w:val="00501B3E"/>
    <w:rsid w:val="00502053"/>
    <w:rsid w:val="005020BB"/>
    <w:rsid w:val="00505843"/>
    <w:rsid w:val="00505A47"/>
    <w:rsid w:val="0050679E"/>
    <w:rsid w:val="0051166F"/>
    <w:rsid w:val="0051173A"/>
    <w:rsid w:val="00512FDA"/>
    <w:rsid w:val="00513ED7"/>
    <w:rsid w:val="0051467D"/>
    <w:rsid w:val="00520DA0"/>
    <w:rsid w:val="005225FC"/>
    <w:rsid w:val="00524AC4"/>
    <w:rsid w:val="0052729E"/>
    <w:rsid w:val="0052733D"/>
    <w:rsid w:val="00530E19"/>
    <w:rsid w:val="00530F71"/>
    <w:rsid w:val="005322EB"/>
    <w:rsid w:val="0053459C"/>
    <w:rsid w:val="00550726"/>
    <w:rsid w:val="00550F95"/>
    <w:rsid w:val="0055106D"/>
    <w:rsid w:val="005559A4"/>
    <w:rsid w:val="0056304B"/>
    <w:rsid w:val="005651E3"/>
    <w:rsid w:val="00565D17"/>
    <w:rsid w:val="005664BB"/>
    <w:rsid w:val="00566C08"/>
    <w:rsid w:val="0056722F"/>
    <w:rsid w:val="00567B67"/>
    <w:rsid w:val="00570C62"/>
    <w:rsid w:val="00572EB1"/>
    <w:rsid w:val="00572EC9"/>
    <w:rsid w:val="00573576"/>
    <w:rsid w:val="0057481D"/>
    <w:rsid w:val="0057798B"/>
    <w:rsid w:val="00577A75"/>
    <w:rsid w:val="00577DF2"/>
    <w:rsid w:val="00580D35"/>
    <w:rsid w:val="0058486E"/>
    <w:rsid w:val="00584F2B"/>
    <w:rsid w:val="005935E9"/>
    <w:rsid w:val="005939BC"/>
    <w:rsid w:val="00593D4E"/>
    <w:rsid w:val="005975DB"/>
    <w:rsid w:val="00597919"/>
    <w:rsid w:val="005A0204"/>
    <w:rsid w:val="005A0CF8"/>
    <w:rsid w:val="005A324B"/>
    <w:rsid w:val="005B186A"/>
    <w:rsid w:val="005B553C"/>
    <w:rsid w:val="005B57DB"/>
    <w:rsid w:val="005B58F9"/>
    <w:rsid w:val="005B5ACB"/>
    <w:rsid w:val="005B76E6"/>
    <w:rsid w:val="005C0AF7"/>
    <w:rsid w:val="005C0B82"/>
    <w:rsid w:val="005C0D5C"/>
    <w:rsid w:val="005C4A4C"/>
    <w:rsid w:val="005C52C6"/>
    <w:rsid w:val="005C7204"/>
    <w:rsid w:val="005D1C8B"/>
    <w:rsid w:val="005D5CED"/>
    <w:rsid w:val="005D6054"/>
    <w:rsid w:val="005E1522"/>
    <w:rsid w:val="005E3365"/>
    <w:rsid w:val="005E5517"/>
    <w:rsid w:val="005F0705"/>
    <w:rsid w:val="005F0C83"/>
    <w:rsid w:val="005F1A4C"/>
    <w:rsid w:val="005F1F76"/>
    <w:rsid w:val="005F2C70"/>
    <w:rsid w:val="005F32B6"/>
    <w:rsid w:val="005F4162"/>
    <w:rsid w:val="005F44C7"/>
    <w:rsid w:val="005F632F"/>
    <w:rsid w:val="00600946"/>
    <w:rsid w:val="006044AC"/>
    <w:rsid w:val="00604551"/>
    <w:rsid w:val="00605688"/>
    <w:rsid w:val="006070AF"/>
    <w:rsid w:val="00607816"/>
    <w:rsid w:val="00607E6C"/>
    <w:rsid w:val="006101B1"/>
    <w:rsid w:val="00611AD3"/>
    <w:rsid w:val="00612209"/>
    <w:rsid w:val="00614423"/>
    <w:rsid w:val="00614E44"/>
    <w:rsid w:val="006155B0"/>
    <w:rsid w:val="006205F4"/>
    <w:rsid w:val="00620717"/>
    <w:rsid w:val="00622830"/>
    <w:rsid w:val="006256DB"/>
    <w:rsid w:val="00630AEF"/>
    <w:rsid w:val="00630BB3"/>
    <w:rsid w:val="006325F8"/>
    <w:rsid w:val="00633AE4"/>
    <w:rsid w:val="006348B1"/>
    <w:rsid w:val="00634C9A"/>
    <w:rsid w:val="00635FC7"/>
    <w:rsid w:val="00636040"/>
    <w:rsid w:val="00642529"/>
    <w:rsid w:val="0064301E"/>
    <w:rsid w:val="00643322"/>
    <w:rsid w:val="00643C0A"/>
    <w:rsid w:val="006440E4"/>
    <w:rsid w:val="00645301"/>
    <w:rsid w:val="00645F78"/>
    <w:rsid w:val="0064753B"/>
    <w:rsid w:val="00650D36"/>
    <w:rsid w:val="00650F17"/>
    <w:rsid w:val="006511E7"/>
    <w:rsid w:val="0065182B"/>
    <w:rsid w:val="00660339"/>
    <w:rsid w:val="00660F57"/>
    <w:rsid w:val="00661830"/>
    <w:rsid w:val="0066343B"/>
    <w:rsid w:val="00663BDD"/>
    <w:rsid w:val="00664777"/>
    <w:rsid w:val="00664ED7"/>
    <w:rsid w:val="0066615D"/>
    <w:rsid w:val="00666366"/>
    <w:rsid w:val="0066748A"/>
    <w:rsid w:val="0067155A"/>
    <w:rsid w:val="00671D25"/>
    <w:rsid w:val="00672345"/>
    <w:rsid w:val="00673381"/>
    <w:rsid w:val="006740AB"/>
    <w:rsid w:val="00674446"/>
    <w:rsid w:val="006748A4"/>
    <w:rsid w:val="006757D8"/>
    <w:rsid w:val="00680EF7"/>
    <w:rsid w:val="00683E73"/>
    <w:rsid w:val="0068590F"/>
    <w:rsid w:val="00686CF0"/>
    <w:rsid w:val="00687CAC"/>
    <w:rsid w:val="00691D82"/>
    <w:rsid w:val="006931FE"/>
    <w:rsid w:val="006947FC"/>
    <w:rsid w:val="006950FD"/>
    <w:rsid w:val="00695AD3"/>
    <w:rsid w:val="00696ACE"/>
    <w:rsid w:val="006A01D3"/>
    <w:rsid w:val="006A04FE"/>
    <w:rsid w:val="006A0C2C"/>
    <w:rsid w:val="006A0C51"/>
    <w:rsid w:val="006A1E7E"/>
    <w:rsid w:val="006A2BCD"/>
    <w:rsid w:val="006A3141"/>
    <w:rsid w:val="006A5E34"/>
    <w:rsid w:val="006A75B7"/>
    <w:rsid w:val="006B0ABA"/>
    <w:rsid w:val="006B2422"/>
    <w:rsid w:val="006B2B9A"/>
    <w:rsid w:val="006B2E2F"/>
    <w:rsid w:val="006B471C"/>
    <w:rsid w:val="006B4C59"/>
    <w:rsid w:val="006B533E"/>
    <w:rsid w:val="006C04D7"/>
    <w:rsid w:val="006C1937"/>
    <w:rsid w:val="006C397F"/>
    <w:rsid w:val="006C6427"/>
    <w:rsid w:val="006C76DB"/>
    <w:rsid w:val="006D1F0B"/>
    <w:rsid w:val="006D42C6"/>
    <w:rsid w:val="006E0081"/>
    <w:rsid w:val="006E0706"/>
    <w:rsid w:val="006E3700"/>
    <w:rsid w:val="006E6C66"/>
    <w:rsid w:val="006F020C"/>
    <w:rsid w:val="006F3DF7"/>
    <w:rsid w:val="006F7849"/>
    <w:rsid w:val="006F7CBD"/>
    <w:rsid w:val="0070094B"/>
    <w:rsid w:val="007040F2"/>
    <w:rsid w:val="00705B7C"/>
    <w:rsid w:val="00705E24"/>
    <w:rsid w:val="00707EEC"/>
    <w:rsid w:val="007115FE"/>
    <w:rsid w:val="007127B7"/>
    <w:rsid w:val="00713977"/>
    <w:rsid w:val="00714DBE"/>
    <w:rsid w:val="007220F2"/>
    <w:rsid w:val="007231D9"/>
    <w:rsid w:val="007244D2"/>
    <w:rsid w:val="00725B08"/>
    <w:rsid w:val="007355BA"/>
    <w:rsid w:val="0074019B"/>
    <w:rsid w:val="007403C2"/>
    <w:rsid w:val="007410FA"/>
    <w:rsid w:val="007416B6"/>
    <w:rsid w:val="007426C0"/>
    <w:rsid w:val="00746F48"/>
    <w:rsid w:val="0074730D"/>
    <w:rsid w:val="0075129E"/>
    <w:rsid w:val="00751951"/>
    <w:rsid w:val="00751EE9"/>
    <w:rsid w:val="007522D6"/>
    <w:rsid w:val="007525C3"/>
    <w:rsid w:val="007537B3"/>
    <w:rsid w:val="00753DC2"/>
    <w:rsid w:val="0075404D"/>
    <w:rsid w:val="0075503D"/>
    <w:rsid w:val="0076078E"/>
    <w:rsid w:val="00760D5E"/>
    <w:rsid w:val="0076182A"/>
    <w:rsid w:val="00763BC1"/>
    <w:rsid w:val="0076499D"/>
    <w:rsid w:val="007656DB"/>
    <w:rsid w:val="007676D8"/>
    <w:rsid w:val="00767A7D"/>
    <w:rsid w:val="00767B7E"/>
    <w:rsid w:val="00767BE6"/>
    <w:rsid w:val="00775A39"/>
    <w:rsid w:val="00776900"/>
    <w:rsid w:val="007770C3"/>
    <w:rsid w:val="00780AAA"/>
    <w:rsid w:val="00781060"/>
    <w:rsid w:val="0078143E"/>
    <w:rsid w:val="0078201F"/>
    <w:rsid w:val="007820E1"/>
    <w:rsid w:val="00784D24"/>
    <w:rsid w:val="00784D4C"/>
    <w:rsid w:val="00784E42"/>
    <w:rsid w:val="00785FBA"/>
    <w:rsid w:val="00786E4A"/>
    <w:rsid w:val="007875EB"/>
    <w:rsid w:val="00787E51"/>
    <w:rsid w:val="00792C26"/>
    <w:rsid w:val="0079426B"/>
    <w:rsid w:val="00794D8C"/>
    <w:rsid w:val="00794F74"/>
    <w:rsid w:val="0079655C"/>
    <w:rsid w:val="007A0619"/>
    <w:rsid w:val="007A762F"/>
    <w:rsid w:val="007B0CA2"/>
    <w:rsid w:val="007B5C15"/>
    <w:rsid w:val="007B6032"/>
    <w:rsid w:val="007B6B9B"/>
    <w:rsid w:val="007C014E"/>
    <w:rsid w:val="007C0C20"/>
    <w:rsid w:val="007C0E0A"/>
    <w:rsid w:val="007C2008"/>
    <w:rsid w:val="007C26C9"/>
    <w:rsid w:val="007C57E7"/>
    <w:rsid w:val="007C6362"/>
    <w:rsid w:val="007C70B5"/>
    <w:rsid w:val="007C72D0"/>
    <w:rsid w:val="007D028D"/>
    <w:rsid w:val="007D0AE2"/>
    <w:rsid w:val="007D0C80"/>
    <w:rsid w:val="007D312A"/>
    <w:rsid w:val="007D3F19"/>
    <w:rsid w:val="007D40BF"/>
    <w:rsid w:val="007D598F"/>
    <w:rsid w:val="007D7F29"/>
    <w:rsid w:val="007E0391"/>
    <w:rsid w:val="007E2118"/>
    <w:rsid w:val="007E23B0"/>
    <w:rsid w:val="007E30F0"/>
    <w:rsid w:val="007E4E9E"/>
    <w:rsid w:val="007E4F63"/>
    <w:rsid w:val="007E5C1C"/>
    <w:rsid w:val="007E6821"/>
    <w:rsid w:val="007E6A33"/>
    <w:rsid w:val="007E6D1B"/>
    <w:rsid w:val="007F0CD6"/>
    <w:rsid w:val="007F0EAA"/>
    <w:rsid w:val="007F1991"/>
    <w:rsid w:val="007F1E4C"/>
    <w:rsid w:val="007F2C2F"/>
    <w:rsid w:val="007F2D6D"/>
    <w:rsid w:val="007F55FC"/>
    <w:rsid w:val="007F5665"/>
    <w:rsid w:val="007F57B1"/>
    <w:rsid w:val="007F5B1E"/>
    <w:rsid w:val="007F703A"/>
    <w:rsid w:val="007F772D"/>
    <w:rsid w:val="007F78DE"/>
    <w:rsid w:val="00800112"/>
    <w:rsid w:val="0080112E"/>
    <w:rsid w:val="008014B3"/>
    <w:rsid w:val="008031B0"/>
    <w:rsid w:val="008068DA"/>
    <w:rsid w:val="00806B6F"/>
    <w:rsid w:val="00807797"/>
    <w:rsid w:val="0081195D"/>
    <w:rsid w:val="00811C29"/>
    <w:rsid w:val="00812255"/>
    <w:rsid w:val="00813AEF"/>
    <w:rsid w:val="00815AF8"/>
    <w:rsid w:val="008169F8"/>
    <w:rsid w:val="00820AF4"/>
    <w:rsid w:val="008212F9"/>
    <w:rsid w:val="008244FA"/>
    <w:rsid w:val="008248EC"/>
    <w:rsid w:val="00824C90"/>
    <w:rsid w:val="00824CEE"/>
    <w:rsid w:val="008253BB"/>
    <w:rsid w:val="008273C2"/>
    <w:rsid w:val="00830A33"/>
    <w:rsid w:val="00830F24"/>
    <w:rsid w:val="0083234B"/>
    <w:rsid w:val="00833D7A"/>
    <w:rsid w:val="008347A0"/>
    <w:rsid w:val="00835B31"/>
    <w:rsid w:val="00836025"/>
    <w:rsid w:val="0083706E"/>
    <w:rsid w:val="00840550"/>
    <w:rsid w:val="008423A5"/>
    <w:rsid w:val="00843431"/>
    <w:rsid w:val="00845501"/>
    <w:rsid w:val="008503A5"/>
    <w:rsid w:val="00850625"/>
    <w:rsid w:val="008511F3"/>
    <w:rsid w:val="00851894"/>
    <w:rsid w:val="0085265B"/>
    <w:rsid w:val="00852C5C"/>
    <w:rsid w:val="00853718"/>
    <w:rsid w:val="00855221"/>
    <w:rsid w:val="00855AF5"/>
    <w:rsid w:val="00855E16"/>
    <w:rsid w:val="00857B79"/>
    <w:rsid w:val="00860645"/>
    <w:rsid w:val="00860C44"/>
    <w:rsid w:val="0086131A"/>
    <w:rsid w:val="00862A9D"/>
    <w:rsid w:val="00863483"/>
    <w:rsid w:val="00863CF0"/>
    <w:rsid w:val="00863D72"/>
    <w:rsid w:val="00865F20"/>
    <w:rsid w:val="00867695"/>
    <w:rsid w:val="00870000"/>
    <w:rsid w:val="00870C33"/>
    <w:rsid w:val="00871F71"/>
    <w:rsid w:val="008722FB"/>
    <w:rsid w:val="00872F95"/>
    <w:rsid w:val="00873D8F"/>
    <w:rsid w:val="0087464B"/>
    <w:rsid w:val="00875814"/>
    <w:rsid w:val="00877427"/>
    <w:rsid w:val="0088122F"/>
    <w:rsid w:val="00885AF4"/>
    <w:rsid w:val="00886435"/>
    <w:rsid w:val="008875FA"/>
    <w:rsid w:val="00887A58"/>
    <w:rsid w:val="008918AA"/>
    <w:rsid w:val="008918C9"/>
    <w:rsid w:val="008920D1"/>
    <w:rsid w:val="008939CD"/>
    <w:rsid w:val="00893E7C"/>
    <w:rsid w:val="00895862"/>
    <w:rsid w:val="00896814"/>
    <w:rsid w:val="00897199"/>
    <w:rsid w:val="008A04BB"/>
    <w:rsid w:val="008A6293"/>
    <w:rsid w:val="008A6BC0"/>
    <w:rsid w:val="008A7CE3"/>
    <w:rsid w:val="008B045D"/>
    <w:rsid w:val="008B2B26"/>
    <w:rsid w:val="008B5614"/>
    <w:rsid w:val="008B6287"/>
    <w:rsid w:val="008B69A5"/>
    <w:rsid w:val="008B768C"/>
    <w:rsid w:val="008B7992"/>
    <w:rsid w:val="008C1D33"/>
    <w:rsid w:val="008C33D9"/>
    <w:rsid w:val="008C4DB1"/>
    <w:rsid w:val="008C4EAF"/>
    <w:rsid w:val="008C5176"/>
    <w:rsid w:val="008C7FD0"/>
    <w:rsid w:val="008D06D5"/>
    <w:rsid w:val="008D08E5"/>
    <w:rsid w:val="008D2C92"/>
    <w:rsid w:val="008D2DE2"/>
    <w:rsid w:val="008D55A6"/>
    <w:rsid w:val="008E0EF3"/>
    <w:rsid w:val="008E1DC6"/>
    <w:rsid w:val="008E1DE7"/>
    <w:rsid w:val="008E2847"/>
    <w:rsid w:val="008E380B"/>
    <w:rsid w:val="008E707C"/>
    <w:rsid w:val="008E7651"/>
    <w:rsid w:val="008F24AB"/>
    <w:rsid w:val="00900B08"/>
    <w:rsid w:val="00901E1C"/>
    <w:rsid w:val="00902155"/>
    <w:rsid w:val="00902BCF"/>
    <w:rsid w:val="00902FA3"/>
    <w:rsid w:val="009109D0"/>
    <w:rsid w:val="00910FAA"/>
    <w:rsid w:val="00912DEB"/>
    <w:rsid w:val="00913706"/>
    <w:rsid w:val="00913A29"/>
    <w:rsid w:val="00915BE4"/>
    <w:rsid w:val="009205F5"/>
    <w:rsid w:val="009215C3"/>
    <w:rsid w:val="00923564"/>
    <w:rsid w:val="0092392E"/>
    <w:rsid w:val="00923F58"/>
    <w:rsid w:val="00924FB0"/>
    <w:rsid w:val="00930109"/>
    <w:rsid w:val="00930E8F"/>
    <w:rsid w:val="009315F9"/>
    <w:rsid w:val="009337F3"/>
    <w:rsid w:val="009339C3"/>
    <w:rsid w:val="00934AB8"/>
    <w:rsid w:val="00935D57"/>
    <w:rsid w:val="00936283"/>
    <w:rsid w:val="00940B88"/>
    <w:rsid w:val="00940F73"/>
    <w:rsid w:val="0094526A"/>
    <w:rsid w:val="00945399"/>
    <w:rsid w:val="00945492"/>
    <w:rsid w:val="00945EEC"/>
    <w:rsid w:val="009461EE"/>
    <w:rsid w:val="00946945"/>
    <w:rsid w:val="00947929"/>
    <w:rsid w:val="00947BF1"/>
    <w:rsid w:val="009500E2"/>
    <w:rsid w:val="00951248"/>
    <w:rsid w:val="0095152F"/>
    <w:rsid w:val="009534A8"/>
    <w:rsid w:val="009540C0"/>
    <w:rsid w:val="00954C49"/>
    <w:rsid w:val="00955EAD"/>
    <w:rsid w:val="0095708C"/>
    <w:rsid w:val="00957098"/>
    <w:rsid w:val="00960F20"/>
    <w:rsid w:val="009620B2"/>
    <w:rsid w:val="00962131"/>
    <w:rsid w:val="00962556"/>
    <w:rsid w:val="00964305"/>
    <w:rsid w:val="0096477D"/>
    <w:rsid w:val="00964EBA"/>
    <w:rsid w:val="0097099F"/>
    <w:rsid w:val="009710DA"/>
    <w:rsid w:val="00971997"/>
    <w:rsid w:val="00971FFC"/>
    <w:rsid w:val="00972A49"/>
    <w:rsid w:val="00973726"/>
    <w:rsid w:val="00974188"/>
    <w:rsid w:val="0098033F"/>
    <w:rsid w:val="00985645"/>
    <w:rsid w:val="0098595E"/>
    <w:rsid w:val="00985C49"/>
    <w:rsid w:val="0098660A"/>
    <w:rsid w:val="009869AA"/>
    <w:rsid w:val="009931C3"/>
    <w:rsid w:val="00995CE3"/>
    <w:rsid w:val="009B2C43"/>
    <w:rsid w:val="009B4EAE"/>
    <w:rsid w:val="009B6C92"/>
    <w:rsid w:val="009B7573"/>
    <w:rsid w:val="009C0EF0"/>
    <w:rsid w:val="009C1B2D"/>
    <w:rsid w:val="009C22F4"/>
    <w:rsid w:val="009C2AE3"/>
    <w:rsid w:val="009C2E98"/>
    <w:rsid w:val="009C5896"/>
    <w:rsid w:val="009C6399"/>
    <w:rsid w:val="009D3447"/>
    <w:rsid w:val="009D3AA6"/>
    <w:rsid w:val="009D4711"/>
    <w:rsid w:val="009D5EF4"/>
    <w:rsid w:val="009E0018"/>
    <w:rsid w:val="009E2320"/>
    <w:rsid w:val="009E2C7B"/>
    <w:rsid w:val="009E576A"/>
    <w:rsid w:val="009E7FBF"/>
    <w:rsid w:val="009F1185"/>
    <w:rsid w:val="009F178D"/>
    <w:rsid w:val="009F18CD"/>
    <w:rsid w:val="009F2021"/>
    <w:rsid w:val="009F2A13"/>
    <w:rsid w:val="009F4A42"/>
    <w:rsid w:val="009F4D78"/>
    <w:rsid w:val="009F6A87"/>
    <w:rsid w:val="009F6B63"/>
    <w:rsid w:val="009F6F4A"/>
    <w:rsid w:val="00A02DD4"/>
    <w:rsid w:val="00A04EB0"/>
    <w:rsid w:val="00A05E7E"/>
    <w:rsid w:val="00A06741"/>
    <w:rsid w:val="00A06EF8"/>
    <w:rsid w:val="00A07DE7"/>
    <w:rsid w:val="00A07E24"/>
    <w:rsid w:val="00A1247B"/>
    <w:rsid w:val="00A13443"/>
    <w:rsid w:val="00A13CC1"/>
    <w:rsid w:val="00A15286"/>
    <w:rsid w:val="00A1571F"/>
    <w:rsid w:val="00A1637E"/>
    <w:rsid w:val="00A16684"/>
    <w:rsid w:val="00A16847"/>
    <w:rsid w:val="00A1745F"/>
    <w:rsid w:val="00A2301F"/>
    <w:rsid w:val="00A237D8"/>
    <w:rsid w:val="00A25634"/>
    <w:rsid w:val="00A268C4"/>
    <w:rsid w:val="00A27771"/>
    <w:rsid w:val="00A300FE"/>
    <w:rsid w:val="00A307CD"/>
    <w:rsid w:val="00A3233A"/>
    <w:rsid w:val="00A35068"/>
    <w:rsid w:val="00A3556D"/>
    <w:rsid w:val="00A35870"/>
    <w:rsid w:val="00A35FE0"/>
    <w:rsid w:val="00A40A00"/>
    <w:rsid w:val="00A4142F"/>
    <w:rsid w:val="00A41D4A"/>
    <w:rsid w:val="00A43522"/>
    <w:rsid w:val="00A4622C"/>
    <w:rsid w:val="00A462AA"/>
    <w:rsid w:val="00A46A63"/>
    <w:rsid w:val="00A47A0F"/>
    <w:rsid w:val="00A50F96"/>
    <w:rsid w:val="00A514F8"/>
    <w:rsid w:val="00A52260"/>
    <w:rsid w:val="00A53D20"/>
    <w:rsid w:val="00A54687"/>
    <w:rsid w:val="00A54CE0"/>
    <w:rsid w:val="00A55073"/>
    <w:rsid w:val="00A55447"/>
    <w:rsid w:val="00A55ED8"/>
    <w:rsid w:val="00A56DF2"/>
    <w:rsid w:val="00A56E1B"/>
    <w:rsid w:val="00A57F63"/>
    <w:rsid w:val="00A61738"/>
    <w:rsid w:val="00A62ECF"/>
    <w:rsid w:val="00A63814"/>
    <w:rsid w:val="00A64138"/>
    <w:rsid w:val="00A64421"/>
    <w:rsid w:val="00A659FC"/>
    <w:rsid w:val="00A65DE6"/>
    <w:rsid w:val="00A66D73"/>
    <w:rsid w:val="00A67AB5"/>
    <w:rsid w:val="00A70317"/>
    <w:rsid w:val="00A72FA8"/>
    <w:rsid w:val="00A76B3A"/>
    <w:rsid w:val="00A77CB7"/>
    <w:rsid w:val="00A804D8"/>
    <w:rsid w:val="00A85003"/>
    <w:rsid w:val="00A85A0C"/>
    <w:rsid w:val="00A91460"/>
    <w:rsid w:val="00A91760"/>
    <w:rsid w:val="00A93902"/>
    <w:rsid w:val="00A93B00"/>
    <w:rsid w:val="00A93C21"/>
    <w:rsid w:val="00A94004"/>
    <w:rsid w:val="00A95D33"/>
    <w:rsid w:val="00A96D42"/>
    <w:rsid w:val="00AA1212"/>
    <w:rsid w:val="00AA14EC"/>
    <w:rsid w:val="00AA2E83"/>
    <w:rsid w:val="00AA6693"/>
    <w:rsid w:val="00AA6D23"/>
    <w:rsid w:val="00AA7B07"/>
    <w:rsid w:val="00AB1A65"/>
    <w:rsid w:val="00AB26EC"/>
    <w:rsid w:val="00AB2A36"/>
    <w:rsid w:val="00AB5E60"/>
    <w:rsid w:val="00AB5E86"/>
    <w:rsid w:val="00AB6DD7"/>
    <w:rsid w:val="00AC20D9"/>
    <w:rsid w:val="00AC3237"/>
    <w:rsid w:val="00AC3A9E"/>
    <w:rsid w:val="00AC3C6A"/>
    <w:rsid w:val="00AC40DA"/>
    <w:rsid w:val="00AC6A20"/>
    <w:rsid w:val="00AD013F"/>
    <w:rsid w:val="00AD1561"/>
    <w:rsid w:val="00AD1E04"/>
    <w:rsid w:val="00AD4E89"/>
    <w:rsid w:val="00AD5090"/>
    <w:rsid w:val="00AD55F4"/>
    <w:rsid w:val="00AD5620"/>
    <w:rsid w:val="00AD654C"/>
    <w:rsid w:val="00AD712A"/>
    <w:rsid w:val="00AD7C1B"/>
    <w:rsid w:val="00AE16BA"/>
    <w:rsid w:val="00AE1B18"/>
    <w:rsid w:val="00AE1EBE"/>
    <w:rsid w:val="00AE3F47"/>
    <w:rsid w:val="00AE5217"/>
    <w:rsid w:val="00AE57E5"/>
    <w:rsid w:val="00AE5ACD"/>
    <w:rsid w:val="00AE7003"/>
    <w:rsid w:val="00AE78D4"/>
    <w:rsid w:val="00AF334F"/>
    <w:rsid w:val="00AF567D"/>
    <w:rsid w:val="00B03C9D"/>
    <w:rsid w:val="00B03D45"/>
    <w:rsid w:val="00B03DEF"/>
    <w:rsid w:val="00B04041"/>
    <w:rsid w:val="00B046DB"/>
    <w:rsid w:val="00B059FA"/>
    <w:rsid w:val="00B060AE"/>
    <w:rsid w:val="00B06286"/>
    <w:rsid w:val="00B06EEB"/>
    <w:rsid w:val="00B07376"/>
    <w:rsid w:val="00B10406"/>
    <w:rsid w:val="00B10517"/>
    <w:rsid w:val="00B1323D"/>
    <w:rsid w:val="00B1364D"/>
    <w:rsid w:val="00B13D51"/>
    <w:rsid w:val="00B13F34"/>
    <w:rsid w:val="00B14E76"/>
    <w:rsid w:val="00B15718"/>
    <w:rsid w:val="00B15757"/>
    <w:rsid w:val="00B161B8"/>
    <w:rsid w:val="00B2048C"/>
    <w:rsid w:val="00B22224"/>
    <w:rsid w:val="00B22E19"/>
    <w:rsid w:val="00B268D9"/>
    <w:rsid w:val="00B30B06"/>
    <w:rsid w:val="00B310B9"/>
    <w:rsid w:val="00B3183E"/>
    <w:rsid w:val="00B330FA"/>
    <w:rsid w:val="00B35211"/>
    <w:rsid w:val="00B35F3F"/>
    <w:rsid w:val="00B36CBB"/>
    <w:rsid w:val="00B370EB"/>
    <w:rsid w:val="00B40532"/>
    <w:rsid w:val="00B425E0"/>
    <w:rsid w:val="00B440AA"/>
    <w:rsid w:val="00B44B70"/>
    <w:rsid w:val="00B47B8F"/>
    <w:rsid w:val="00B50563"/>
    <w:rsid w:val="00B507B7"/>
    <w:rsid w:val="00B51BBE"/>
    <w:rsid w:val="00B53703"/>
    <w:rsid w:val="00B53C56"/>
    <w:rsid w:val="00B53E4F"/>
    <w:rsid w:val="00B54341"/>
    <w:rsid w:val="00B545A6"/>
    <w:rsid w:val="00B5556B"/>
    <w:rsid w:val="00B60A7E"/>
    <w:rsid w:val="00B6427E"/>
    <w:rsid w:val="00B67CE3"/>
    <w:rsid w:val="00B706F1"/>
    <w:rsid w:val="00B725E6"/>
    <w:rsid w:val="00B736DE"/>
    <w:rsid w:val="00B74FE7"/>
    <w:rsid w:val="00B753E0"/>
    <w:rsid w:val="00B7569F"/>
    <w:rsid w:val="00B75C09"/>
    <w:rsid w:val="00B76674"/>
    <w:rsid w:val="00B77EA6"/>
    <w:rsid w:val="00B80439"/>
    <w:rsid w:val="00B80BAB"/>
    <w:rsid w:val="00B81598"/>
    <w:rsid w:val="00B82F7D"/>
    <w:rsid w:val="00B839DA"/>
    <w:rsid w:val="00B83EE2"/>
    <w:rsid w:val="00B841F1"/>
    <w:rsid w:val="00B8480B"/>
    <w:rsid w:val="00B91D3E"/>
    <w:rsid w:val="00B92400"/>
    <w:rsid w:val="00B93AA8"/>
    <w:rsid w:val="00B944D6"/>
    <w:rsid w:val="00B96CD2"/>
    <w:rsid w:val="00BA054C"/>
    <w:rsid w:val="00BA0777"/>
    <w:rsid w:val="00BA0AED"/>
    <w:rsid w:val="00BA22CD"/>
    <w:rsid w:val="00BA3028"/>
    <w:rsid w:val="00BA3356"/>
    <w:rsid w:val="00BA49E7"/>
    <w:rsid w:val="00BA5298"/>
    <w:rsid w:val="00BB1990"/>
    <w:rsid w:val="00BB2D7E"/>
    <w:rsid w:val="00BB4C52"/>
    <w:rsid w:val="00BB4DF0"/>
    <w:rsid w:val="00BC0AE4"/>
    <w:rsid w:val="00BC1202"/>
    <w:rsid w:val="00BC1A97"/>
    <w:rsid w:val="00BC2731"/>
    <w:rsid w:val="00BC289F"/>
    <w:rsid w:val="00BC5361"/>
    <w:rsid w:val="00BC5460"/>
    <w:rsid w:val="00BC6B50"/>
    <w:rsid w:val="00BD0E25"/>
    <w:rsid w:val="00BD2458"/>
    <w:rsid w:val="00BD5121"/>
    <w:rsid w:val="00BD6D67"/>
    <w:rsid w:val="00BD6E57"/>
    <w:rsid w:val="00BE01DE"/>
    <w:rsid w:val="00BE218A"/>
    <w:rsid w:val="00BE39F0"/>
    <w:rsid w:val="00BE5FB5"/>
    <w:rsid w:val="00BE7259"/>
    <w:rsid w:val="00BF060C"/>
    <w:rsid w:val="00BF2962"/>
    <w:rsid w:val="00BF2E85"/>
    <w:rsid w:val="00BF5BD6"/>
    <w:rsid w:val="00BF6316"/>
    <w:rsid w:val="00BF718F"/>
    <w:rsid w:val="00C01DBE"/>
    <w:rsid w:val="00C03E31"/>
    <w:rsid w:val="00C05BAF"/>
    <w:rsid w:val="00C05CAD"/>
    <w:rsid w:val="00C05F29"/>
    <w:rsid w:val="00C06A2B"/>
    <w:rsid w:val="00C11626"/>
    <w:rsid w:val="00C137AD"/>
    <w:rsid w:val="00C13B26"/>
    <w:rsid w:val="00C1480D"/>
    <w:rsid w:val="00C14B91"/>
    <w:rsid w:val="00C1658B"/>
    <w:rsid w:val="00C23BFD"/>
    <w:rsid w:val="00C24603"/>
    <w:rsid w:val="00C259D0"/>
    <w:rsid w:val="00C30983"/>
    <w:rsid w:val="00C30D73"/>
    <w:rsid w:val="00C313B9"/>
    <w:rsid w:val="00C31B41"/>
    <w:rsid w:val="00C33276"/>
    <w:rsid w:val="00C33E72"/>
    <w:rsid w:val="00C3423D"/>
    <w:rsid w:val="00C342CE"/>
    <w:rsid w:val="00C34C84"/>
    <w:rsid w:val="00C34EED"/>
    <w:rsid w:val="00C354B2"/>
    <w:rsid w:val="00C35554"/>
    <w:rsid w:val="00C36831"/>
    <w:rsid w:val="00C4133E"/>
    <w:rsid w:val="00C41611"/>
    <w:rsid w:val="00C41EB1"/>
    <w:rsid w:val="00C426CE"/>
    <w:rsid w:val="00C42709"/>
    <w:rsid w:val="00C516E5"/>
    <w:rsid w:val="00C5216D"/>
    <w:rsid w:val="00C533CC"/>
    <w:rsid w:val="00C54531"/>
    <w:rsid w:val="00C5751C"/>
    <w:rsid w:val="00C61BFC"/>
    <w:rsid w:val="00C62B85"/>
    <w:rsid w:val="00C634C6"/>
    <w:rsid w:val="00C63DE6"/>
    <w:rsid w:val="00C65438"/>
    <w:rsid w:val="00C65FA1"/>
    <w:rsid w:val="00C663B4"/>
    <w:rsid w:val="00C66789"/>
    <w:rsid w:val="00C677E0"/>
    <w:rsid w:val="00C71C3C"/>
    <w:rsid w:val="00C73C9E"/>
    <w:rsid w:val="00C77033"/>
    <w:rsid w:val="00C77575"/>
    <w:rsid w:val="00C77955"/>
    <w:rsid w:val="00C77D11"/>
    <w:rsid w:val="00C80BE1"/>
    <w:rsid w:val="00C80E5E"/>
    <w:rsid w:val="00C87773"/>
    <w:rsid w:val="00C91BEF"/>
    <w:rsid w:val="00C91CBB"/>
    <w:rsid w:val="00C94460"/>
    <w:rsid w:val="00C94755"/>
    <w:rsid w:val="00C9494C"/>
    <w:rsid w:val="00C976D8"/>
    <w:rsid w:val="00C9779E"/>
    <w:rsid w:val="00CA1D7E"/>
    <w:rsid w:val="00CA4889"/>
    <w:rsid w:val="00CA6417"/>
    <w:rsid w:val="00CA7A47"/>
    <w:rsid w:val="00CA7CBE"/>
    <w:rsid w:val="00CB2258"/>
    <w:rsid w:val="00CB37D6"/>
    <w:rsid w:val="00CB5AA7"/>
    <w:rsid w:val="00CC09B6"/>
    <w:rsid w:val="00CC2ECC"/>
    <w:rsid w:val="00CC42AE"/>
    <w:rsid w:val="00CC5828"/>
    <w:rsid w:val="00CC666F"/>
    <w:rsid w:val="00CD0159"/>
    <w:rsid w:val="00CD1E3F"/>
    <w:rsid w:val="00CD2CD4"/>
    <w:rsid w:val="00CD2F8E"/>
    <w:rsid w:val="00CD33CA"/>
    <w:rsid w:val="00CD41F7"/>
    <w:rsid w:val="00CD7039"/>
    <w:rsid w:val="00CE07D1"/>
    <w:rsid w:val="00CE10F5"/>
    <w:rsid w:val="00CE245D"/>
    <w:rsid w:val="00CE298B"/>
    <w:rsid w:val="00CE41E9"/>
    <w:rsid w:val="00CE4476"/>
    <w:rsid w:val="00CE44F6"/>
    <w:rsid w:val="00CE49DA"/>
    <w:rsid w:val="00CE6166"/>
    <w:rsid w:val="00CE7B61"/>
    <w:rsid w:val="00CF0C95"/>
    <w:rsid w:val="00CF303D"/>
    <w:rsid w:val="00CF32A8"/>
    <w:rsid w:val="00CF47D0"/>
    <w:rsid w:val="00CF537A"/>
    <w:rsid w:val="00CF5A38"/>
    <w:rsid w:val="00D00095"/>
    <w:rsid w:val="00D007A3"/>
    <w:rsid w:val="00D00CD9"/>
    <w:rsid w:val="00D01872"/>
    <w:rsid w:val="00D01D1C"/>
    <w:rsid w:val="00D03F76"/>
    <w:rsid w:val="00D07457"/>
    <w:rsid w:val="00D120DF"/>
    <w:rsid w:val="00D12260"/>
    <w:rsid w:val="00D14981"/>
    <w:rsid w:val="00D17582"/>
    <w:rsid w:val="00D20620"/>
    <w:rsid w:val="00D21AB8"/>
    <w:rsid w:val="00D21B96"/>
    <w:rsid w:val="00D21FCA"/>
    <w:rsid w:val="00D23CC1"/>
    <w:rsid w:val="00D253CD"/>
    <w:rsid w:val="00D26091"/>
    <w:rsid w:val="00D26765"/>
    <w:rsid w:val="00D30031"/>
    <w:rsid w:val="00D34E7C"/>
    <w:rsid w:val="00D35489"/>
    <w:rsid w:val="00D41FB4"/>
    <w:rsid w:val="00D42D3C"/>
    <w:rsid w:val="00D43BB3"/>
    <w:rsid w:val="00D4531F"/>
    <w:rsid w:val="00D5056E"/>
    <w:rsid w:val="00D51276"/>
    <w:rsid w:val="00D577F9"/>
    <w:rsid w:val="00D6086D"/>
    <w:rsid w:val="00D60B63"/>
    <w:rsid w:val="00D6672E"/>
    <w:rsid w:val="00D66F3E"/>
    <w:rsid w:val="00D67949"/>
    <w:rsid w:val="00D70080"/>
    <w:rsid w:val="00D7035F"/>
    <w:rsid w:val="00D70D9E"/>
    <w:rsid w:val="00D7255A"/>
    <w:rsid w:val="00D729A5"/>
    <w:rsid w:val="00D7311E"/>
    <w:rsid w:val="00D74434"/>
    <w:rsid w:val="00D74948"/>
    <w:rsid w:val="00D75E52"/>
    <w:rsid w:val="00D769DB"/>
    <w:rsid w:val="00D8058B"/>
    <w:rsid w:val="00D811F1"/>
    <w:rsid w:val="00D81CF0"/>
    <w:rsid w:val="00D86259"/>
    <w:rsid w:val="00D87885"/>
    <w:rsid w:val="00D9128F"/>
    <w:rsid w:val="00D938FB"/>
    <w:rsid w:val="00D95A81"/>
    <w:rsid w:val="00DA2414"/>
    <w:rsid w:val="00DA2E7B"/>
    <w:rsid w:val="00DA376F"/>
    <w:rsid w:val="00DA4CF4"/>
    <w:rsid w:val="00DA517E"/>
    <w:rsid w:val="00DA64CE"/>
    <w:rsid w:val="00DA65AC"/>
    <w:rsid w:val="00DA73F4"/>
    <w:rsid w:val="00DB1913"/>
    <w:rsid w:val="00DB23A2"/>
    <w:rsid w:val="00DB31AE"/>
    <w:rsid w:val="00DB469B"/>
    <w:rsid w:val="00DB6217"/>
    <w:rsid w:val="00DB6D81"/>
    <w:rsid w:val="00DB7682"/>
    <w:rsid w:val="00DB774B"/>
    <w:rsid w:val="00DB7B27"/>
    <w:rsid w:val="00DB7ED3"/>
    <w:rsid w:val="00DC1D19"/>
    <w:rsid w:val="00DC29F0"/>
    <w:rsid w:val="00DC410D"/>
    <w:rsid w:val="00DC482F"/>
    <w:rsid w:val="00DC4E3B"/>
    <w:rsid w:val="00DC53AB"/>
    <w:rsid w:val="00DC68CA"/>
    <w:rsid w:val="00DC7CBA"/>
    <w:rsid w:val="00DD0F4D"/>
    <w:rsid w:val="00DD109B"/>
    <w:rsid w:val="00DD2D64"/>
    <w:rsid w:val="00DD73B7"/>
    <w:rsid w:val="00DE28E8"/>
    <w:rsid w:val="00DE57ED"/>
    <w:rsid w:val="00DE6D3D"/>
    <w:rsid w:val="00DF0369"/>
    <w:rsid w:val="00DF256A"/>
    <w:rsid w:val="00DF28BC"/>
    <w:rsid w:val="00DF2BBE"/>
    <w:rsid w:val="00DF34B9"/>
    <w:rsid w:val="00DF36DA"/>
    <w:rsid w:val="00DF4EE4"/>
    <w:rsid w:val="00DF69F2"/>
    <w:rsid w:val="00E00C0C"/>
    <w:rsid w:val="00E01053"/>
    <w:rsid w:val="00E032C4"/>
    <w:rsid w:val="00E03AB5"/>
    <w:rsid w:val="00E04FF6"/>
    <w:rsid w:val="00E07ACF"/>
    <w:rsid w:val="00E07C49"/>
    <w:rsid w:val="00E1142E"/>
    <w:rsid w:val="00E11EA9"/>
    <w:rsid w:val="00E13C23"/>
    <w:rsid w:val="00E17451"/>
    <w:rsid w:val="00E176E0"/>
    <w:rsid w:val="00E20F23"/>
    <w:rsid w:val="00E21189"/>
    <w:rsid w:val="00E22344"/>
    <w:rsid w:val="00E22D73"/>
    <w:rsid w:val="00E24A28"/>
    <w:rsid w:val="00E2598A"/>
    <w:rsid w:val="00E26D43"/>
    <w:rsid w:val="00E2719A"/>
    <w:rsid w:val="00E331A1"/>
    <w:rsid w:val="00E33202"/>
    <w:rsid w:val="00E336A9"/>
    <w:rsid w:val="00E339F9"/>
    <w:rsid w:val="00E34D61"/>
    <w:rsid w:val="00E352AD"/>
    <w:rsid w:val="00E35DF9"/>
    <w:rsid w:val="00E36162"/>
    <w:rsid w:val="00E4020E"/>
    <w:rsid w:val="00E41572"/>
    <w:rsid w:val="00E42E24"/>
    <w:rsid w:val="00E4326C"/>
    <w:rsid w:val="00E43716"/>
    <w:rsid w:val="00E43E83"/>
    <w:rsid w:val="00E4418C"/>
    <w:rsid w:val="00E442E7"/>
    <w:rsid w:val="00E47FEC"/>
    <w:rsid w:val="00E50624"/>
    <w:rsid w:val="00E50EC1"/>
    <w:rsid w:val="00E559C8"/>
    <w:rsid w:val="00E559F4"/>
    <w:rsid w:val="00E568DF"/>
    <w:rsid w:val="00E6091E"/>
    <w:rsid w:val="00E63E1C"/>
    <w:rsid w:val="00E64269"/>
    <w:rsid w:val="00E648BF"/>
    <w:rsid w:val="00E67B9B"/>
    <w:rsid w:val="00E70395"/>
    <w:rsid w:val="00E71182"/>
    <w:rsid w:val="00E7180C"/>
    <w:rsid w:val="00E71EE8"/>
    <w:rsid w:val="00E759C7"/>
    <w:rsid w:val="00E778AF"/>
    <w:rsid w:val="00E82267"/>
    <w:rsid w:val="00E82D19"/>
    <w:rsid w:val="00E8382C"/>
    <w:rsid w:val="00E84714"/>
    <w:rsid w:val="00E879E6"/>
    <w:rsid w:val="00E9375F"/>
    <w:rsid w:val="00E938AA"/>
    <w:rsid w:val="00E95984"/>
    <w:rsid w:val="00E96D03"/>
    <w:rsid w:val="00EA010F"/>
    <w:rsid w:val="00EA039B"/>
    <w:rsid w:val="00EA2455"/>
    <w:rsid w:val="00EA262D"/>
    <w:rsid w:val="00EA4AA3"/>
    <w:rsid w:val="00EA4BCA"/>
    <w:rsid w:val="00EA545A"/>
    <w:rsid w:val="00EA5E4F"/>
    <w:rsid w:val="00EB2461"/>
    <w:rsid w:val="00EC1C2C"/>
    <w:rsid w:val="00EC25B6"/>
    <w:rsid w:val="00EC38BD"/>
    <w:rsid w:val="00EC3F04"/>
    <w:rsid w:val="00ED1B63"/>
    <w:rsid w:val="00ED29E6"/>
    <w:rsid w:val="00ED29EA"/>
    <w:rsid w:val="00ED360C"/>
    <w:rsid w:val="00ED3C1F"/>
    <w:rsid w:val="00ED4085"/>
    <w:rsid w:val="00ED420E"/>
    <w:rsid w:val="00ED6AD8"/>
    <w:rsid w:val="00ED71DF"/>
    <w:rsid w:val="00EE0963"/>
    <w:rsid w:val="00EE1FC9"/>
    <w:rsid w:val="00EE24E3"/>
    <w:rsid w:val="00EE2F57"/>
    <w:rsid w:val="00EE6332"/>
    <w:rsid w:val="00EF132A"/>
    <w:rsid w:val="00EF4C34"/>
    <w:rsid w:val="00EF5291"/>
    <w:rsid w:val="00EF64E8"/>
    <w:rsid w:val="00EF659B"/>
    <w:rsid w:val="00EF77C6"/>
    <w:rsid w:val="00EF7BDE"/>
    <w:rsid w:val="00EF7CA7"/>
    <w:rsid w:val="00F022B4"/>
    <w:rsid w:val="00F0292C"/>
    <w:rsid w:val="00F05438"/>
    <w:rsid w:val="00F0746A"/>
    <w:rsid w:val="00F110A1"/>
    <w:rsid w:val="00F113D8"/>
    <w:rsid w:val="00F118C3"/>
    <w:rsid w:val="00F1361C"/>
    <w:rsid w:val="00F14902"/>
    <w:rsid w:val="00F160C7"/>
    <w:rsid w:val="00F16FDE"/>
    <w:rsid w:val="00F20320"/>
    <w:rsid w:val="00F20532"/>
    <w:rsid w:val="00F21001"/>
    <w:rsid w:val="00F228F9"/>
    <w:rsid w:val="00F248A8"/>
    <w:rsid w:val="00F24E3F"/>
    <w:rsid w:val="00F26D60"/>
    <w:rsid w:val="00F30138"/>
    <w:rsid w:val="00F301B6"/>
    <w:rsid w:val="00F31EA1"/>
    <w:rsid w:val="00F3294D"/>
    <w:rsid w:val="00F354A9"/>
    <w:rsid w:val="00F36D8F"/>
    <w:rsid w:val="00F3744E"/>
    <w:rsid w:val="00F40698"/>
    <w:rsid w:val="00F406E9"/>
    <w:rsid w:val="00F417B1"/>
    <w:rsid w:val="00F460AB"/>
    <w:rsid w:val="00F50AC5"/>
    <w:rsid w:val="00F53E68"/>
    <w:rsid w:val="00F5454E"/>
    <w:rsid w:val="00F559FA"/>
    <w:rsid w:val="00F57903"/>
    <w:rsid w:val="00F602DF"/>
    <w:rsid w:val="00F6390A"/>
    <w:rsid w:val="00F6529E"/>
    <w:rsid w:val="00F6641D"/>
    <w:rsid w:val="00F75CC0"/>
    <w:rsid w:val="00F75CCC"/>
    <w:rsid w:val="00F75F9D"/>
    <w:rsid w:val="00F81FD9"/>
    <w:rsid w:val="00F82490"/>
    <w:rsid w:val="00F8281D"/>
    <w:rsid w:val="00F835D4"/>
    <w:rsid w:val="00F841AA"/>
    <w:rsid w:val="00F845B5"/>
    <w:rsid w:val="00F86932"/>
    <w:rsid w:val="00F875DB"/>
    <w:rsid w:val="00F87E73"/>
    <w:rsid w:val="00F905A4"/>
    <w:rsid w:val="00F92C70"/>
    <w:rsid w:val="00F93633"/>
    <w:rsid w:val="00F93DF5"/>
    <w:rsid w:val="00FA0947"/>
    <w:rsid w:val="00FA23E8"/>
    <w:rsid w:val="00FA2F5B"/>
    <w:rsid w:val="00FA4421"/>
    <w:rsid w:val="00FA4B00"/>
    <w:rsid w:val="00FA525F"/>
    <w:rsid w:val="00FA77AD"/>
    <w:rsid w:val="00FB0BBA"/>
    <w:rsid w:val="00FB1FF4"/>
    <w:rsid w:val="00FB55E6"/>
    <w:rsid w:val="00FC124C"/>
    <w:rsid w:val="00FC1E02"/>
    <w:rsid w:val="00FC3048"/>
    <w:rsid w:val="00FC4660"/>
    <w:rsid w:val="00FC46BC"/>
    <w:rsid w:val="00FC7DEF"/>
    <w:rsid w:val="00FD020D"/>
    <w:rsid w:val="00FD3016"/>
    <w:rsid w:val="00FD3828"/>
    <w:rsid w:val="00FD3CC1"/>
    <w:rsid w:val="00FD5BFE"/>
    <w:rsid w:val="00FE17BC"/>
    <w:rsid w:val="00FE2AD1"/>
    <w:rsid w:val="00FE4DB0"/>
    <w:rsid w:val="00FE5493"/>
    <w:rsid w:val="00FE625C"/>
    <w:rsid w:val="00FF1E02"/>
    <w:rsid w:val="00FF30B4"/>
    <w:rsid w:val="00FF66E8"/>
    <w:rsid w:val="012F3CEB"/>
    <w:rsid w:val="01B354EA"/>
    <w:rsid w:val="01CF32DE"/>
    <w:rsid w:val="01D74DB7"/>
    <w:rsid w:val="01D86637"/>
    <w:rsid w:val="01F04616"/>
    <w:rsid w:val="037A757D"/>
    <w:rsid w:val="03F359AA"/>
    <w:rsid w:val="043A3897"/>
    <w:rsid w:val="045647CC"/>
    <w:rsid w:val="0463543B"/>
    <w:rsid w:val="048D6B52"/>
    <w:rsid w:val="04A56E6E"/>
    <w:rsid w:val="04D45254"/>
    <w:rsid w:val="04D550AF"/>
    <w:rsid w:val="051A6F96"/>
    <w:rsid w:val="05C25E8C"/>
    <w:rsid w:val="06951176"/>
    <w:rsid w:val="06C90C44"/>
    <w:rsid w:val="07001BE1"/>
    <w:rsid w:val="07267DE7"/>
    <w:rsid w:val="08485B98"/>
    <w:rsid w:val="088F55D5"/>
    <w:rsid w:val="089C4B49"/>
    <w:rsid w:val="09081517"/>
    <w:rsid w:val="091B747D"/>
    <w:rsid w:val="092E626A"/>
    <w:rsid w:val="09A572B6"/>
    <w:rsid w:val="0A19737C"/>
    <w:rsid w:val="0B7218AA"/>
    <w:rsid w:val="0B99373B"/>
    <w:rsid w:val="0BA37CB5"/>
    <w:rsid w:val="0D0429D6"/>
    <w:rsid w:val="0D093B48"/>
    <w:rsid w:val="0D322E51"/>
    <w:rsid w:val="0D6C338E"/>
    <w:rsid w:val="0DB37F58"/>
    <w:rsid w:val="0DB742A8"/>
    <w:rsid w:val="0E6D2010"/>
    <w:rsid w:val="0EC00B7E"/>
    <w:rsid w:val="0F5E6610"/>
    <w:rsid w:val="0FB52B86"/>
    <w:rsid w:val="0FB80F7E"/>
    <w:rsid w:val="0FDB629D"/>
    <w:rsid w:val="0FFD0B0D"/>
    <w:rsid w:val="103747CF"/>
    <w:rsid w:val="103F4D68"/>
    <w:rsid w:val="10C055FF"/>
    <w:rsid w:val="116A6D7C"/>
    <w:rsid w:val="11761AF6"/>
    <w:rsid w:val="11851C0B"/>
    <w:rsid w:val="11D56DF6"/>
    <w:rsid w:val="11ED6591"/>
    <w:rsid w:val="11F85D8C"/>
    <w:rsid w:val="122E5DFF"/>
    <w:rsid w:val="13367661"/>
    <w:rsid w:val="136F089E"/>
    <w:rsid w:val="13D81ACD"/>
    <w:rsid w:val="13F56BD4"/>
    <w:rsid w:val="14D728AA"/>
    <w:rsid w:val="1526760E"/>
    <w:rsid w:val="15D867AD"/>
    <w:rsid w:val="15F1786F"/>
    <w:rsid w:val="16421E79"/>
    <w:rsid w:val="1665477F"/>
    <w:rsid w:val="16BB723D"/>
    <w:rsid w:val="17283764"/>
    <w:rsid w:val="17BC7656"/>
    <w:rsid w:val="17EA348C"/>
    <w:rsid w:val="1840212F"/>
    <w:rsid w:val="184656CF"/>
    <w:rsid w:val="193C261A"/>
    <w:rsid w:val="19934117"/>
    <w:rsid w:val="19943114"/>
    <w:rsid w:val="19A76BC3"/>
    <w:rsid w:val="19DE22C0"/>
    <w:rsid w:val="1AA82C77"/>
    <w:rsid w:val="1AB026BC"/>
    <w:rsid w:val="1ABB32B6"/>
    <w:rsid w:val="1B787B60"/>
    <w:rsid w:val="1BF70747"/>
    <w:rsid w:val="1C06153F"/>
    <w:rsid w:val="1C986C96"/>
    <w:rsid w:val="1D7371C3"/>
    <w:rsid w:val="1DDC2BB3"/>
    <w:rsid w:val="1E34479D"/>
    <w:rsid w:val="1E5B441F"/>
    <w:rsid w:val="1E923E8E"/>
    <w:rsid w:val="1EF81F78"/>
    <w:rsid w:val="1F620905"/>
    <w:rsid w:val="1FD12B34"/>
    <w:rsid w:val="201A6AB0"/>
    <w:rsid w:val="203B66A0"/>
    <w:rsid w:val="206D278F"/>
    <w:rsid w:val="20A21E92"/>
    <w:rsid w:val="211A679A"/>
    <w:rsid w:val="21253DA0"/>
    <w:rsid w:val="21A94BCD"/>
    <w:rsid w:val="22857975"/>
    <w:rsid w:val="23700C36"/>
    <w:rsid w:val="23844B7E"/>
    <w:rsid w:val="23902475"/>
    <w:rsid w:val="23FA0B3C"/>
    <w:rsid w:val="240371BF"/>
    <w:rsid w:val="2435534E"/>
    <w:rsid w:val="244017F7"/>
    <w:rsid w:val="24534F10"/>
    <w:rsid w:val="24DF6C66"/>
    <w:rsid w:val="253D03DB"/>
    <w:rsid w:val="253F66D1"/>
    <w:rsid w:val="25A20B86"/>
    <w:rsid w:val="25B1070F"/>
    <w:rsid w:val="25BC6564"/>
    <w:rsid w:val="25DD571A"/>
    <w:rsid w:val="265C1D1F"/>
    <w:rsid w:val="26915FCA"/>
    <w:rsid w:val="26BB36DB"/>
    <w:rsid w:val="271C5A93"/>
    <w:rsid w:val="276F1834"/>
    <w:rsid w:val="27B459F9"/>
    <w:rsid w:val="27C51E91"/>
    <w:rsid w:val="280173B2"/>
    <w:rsid w:val="28513369"/>
    <w:rsid w:val="28BF6D42"/>
    <w:rsid w:val="28C822A0"/>
    <w:rsid w:val="28FE016A"/>
    <w:rsid w:val="292E058E"/>
    <w:rsid w:val="29FD04D3"/>
    <w:rsid w:val="2C1E1BB4"/>
    <w:rsid w:val="2CAE1BBE"/>
    <w:rsid w:val="2CCF04B2"/>
    <w:rsid w:val="2DF079DB"/>
    <w:rsid w:val="2E4C04E0"/>
    <w:rsid w:val="2E67588F"/>
    <w:rsid w:val="2F803D16"/>
    <w:rsid w:val="2FF22B1D"/>
    <w:rsid w:val="30CB71E3"/>
    <w:rsid w:val="30E36C85"/>
    <w:rsid w:val="311B6FA8"/>
    <w:rsid w:val="31784D6B"/>
    <w:rsid w:val="31810DA9"/>
    <w:rsid w:val="31903F88"/>
    <w:rsid w:val="319F7F4E"/>
    <w:rsid w:val="31B72CAD"/>
    <w:rsid w:val="32004B5E"/>
    <w:rsid w:val="323A1C2F"/>
    <w:rsid w:val="329448A6"/>
    <w:rsid w:val="32D8384A"/>
    <w:rsid w:val="32F45598"/>
    <w:rsid w:val="33204932"/>
    <w:rsid w:val="33447C07"/>
    <w:rsid w:val="33F67560"/>
    <w:rsid w:val="345D075E"/>
    <w:rsid w:val="35244754"/>
    <w:rsid w:val="361C390A"/>
    <w:rsid w:val="36213401"/>
    <w:rsid w:val="364D41F6"/>
    <w:rsid w:val="36FD0156"/>
    <w:rsid w:val="38207F4E"/>
    <w:rsid w:val="38F8371D"/>
    <w:rsid w:val="39226F5F"/>
    <w:rsid w:val="39902098"/>
    <w:rsid w:val="39FD5F33"/>
    <w:rsid w:val="3A3A0F35"/>
    <w:rsid w:val="3A4E1148"/>
    <w:rsid w:val="3AF15A98"/>
    <w:rsid w:val="3C8D2F9D"/>
    <w:rsid w:val="3CB054DF"/>
    <w:rsid w:val="3CE0510E"/>
    <w:rsid w:val="3D0E3B71"/>
    <w:rsid w:val="3D1927CA"/>
    <w:rsid w:val="3D1E4B3E"/>
    <w:rsid w:val="3D6F2272"/>
    <w:rsid w:val="3D8344ED"/>
    <w:rsid w:val="3E03620E"/>
    <w:rsid w:val="3E343C22"/>
    <w:rsid w:val="3F512FA9"/>
    <w:rsid w:val="3F7C601F"/>
    <w:rsid w:val="3FAC4683"/>
    <w:rsid w:val="3FEA5DFB"/>
    <w:rsid w:val="40035B02"/>
    <w:rsid w:val="401C35B7"/>
    <w:rsid w:val="40C02D8A"/>
    <w:rsid w:val="40EA7211"/>
    <w:rsid w:val="4119235A"/>
    <w:rsid w:val="41677310"/>
    <w:rsid w:val="422C2C46"/>
    <w:rsid w:val="4251506E"/>
    <w:rsid w:val="42B75819"/>
    <w:rsid w:val="43684120"/>
    <w:rsid w:val="444F07DA"/>
    <w:rsid w:val="44601E28"/>
    <w:rsid w:val="472E4611"/>
    <w:rsid w:val="475E72DC"/>
    <w:rsid w:val="47F514AF"/>
    <w:rsid w:val="4839282C"/>
    <w:rsid w:val="48FD75BD"/>
    <w:rsid w:val="49243056"/>
    <w:rsid w:val="494C4A06"/>
    <w:rsid w:val="4A113668"/>
    <w:rsid w:val="4A277A41"/>
    <w:rsid w:val="4A745623"/>
    <w:rsid w:val="4AB93DCF"/>
    <w:rsid w:val="4ADF6FC1"/>
    <w:rsid w:val="4B187071"/>
    <w:rsid w:val="4B2B2DCB"/>
    <w:rsid w:val="4B6A5BC2"/>
    <w:rsid w:val="4B6D2BD3"/>
    <w:rsid w:val="4C7555EC"/>
    <w:rsid w:val="4D135D42"/>
    <w:rsid w:val="4D846266"/>
    <w:rsid w:val="4D8D78A2"/>
    <w:rsid w:val="4DF123A8"/>
    <w:rsid w:val="4E290981"/>
    <w:rsid w:val="4E832A53"/>
    <w:rsid w:val="4E9E44C2"/>
    <w:rsid w:val="4EBC1A30"/>
    <w:rsid w:val="4F395B30"/>
    <w:rsid w:val="4F3B530F"/>
    <w:rsid w:val="4F6F7A34"/>
    <w:rsid w:val="4FD74194"/>
    <w:rsid w:val="4FDA49F5"/>
    <w:rsid w:val="50AE413E"/>
    <w:rsid w:val="51DF7A7D"/>
    <w:rsid w:val="51E1640E"/>
    <w:rsid w:val="51EE42CA"/>
    <w:rsid w:val="52195E38"/>
    <w:rsid w:val="52302EF2"/>
    <w:rsid w:val="526E48F5"/>
    <w:rsid w:val="527F3531"/>
    <w:rsid w:val="52ED6284"/>
    <w:rsid w:val="5322283B"/>
    <w:rsid w:val="532B0C13"/>
    <w:rsid w:val="533D4F08"/>
    <w:rsid w:val="53BA6F17"/>
    <w:rsid w:val="53BE2B80"/>
    <w:rsid w:val="54136CE6"/>
    <w:rsid w:val="541505F1"/>
    <w:rsid w:val="542D2749"/>
    <w:rsid w:val="54992FD0"/>
    <w:rsid w:val="55413CA6"/>
    <w:rsid w:val="55872E29"/>
    <w:rsid w:val="55923320"/>
    <w:rsid w:val="56D0674C"/>
    <w:rsid w:val="56DA342C"/>
    <w:rsid w:val="57D23F06"/>
    <w:rsid w:val="58BA52C3"/>
    <w:rsid w:val="58BC5D23"/>
    <w:rsid w:val="59177DCC"/>
    <w:rsid w:val="59E040FC"/>
    <w:rsid w:val="59E11CD3"/>
    <w:rsid w:val="5A857BDE"/>
    <w:rsid w:val="5B2A4567"/>
    <w:rsid w:val="5BAD6B57"/>
    <w:rsid w:val="5BE202EA"/>
    <w:rsid w:val="5CAD7C22"/>
    <w:rsid w:val="5CE95B0C"/>
    <w:rsid w:val="5CFA7F1D"/>
    <w:rsid w:val="5D577E65"/>
    <w:rsid w:val="5D6F6B2F"/>
    <w:rsid w:val="5E2506F8"/>
    <w:rsid w:val="5E5E7F75"/>
    <w:rsid w:val="5EA316D6"/>
    <w:rsid w:val="5EAF17BB"/>
    <w:rsid w:val="5ECE1AC8"/>
    <w:rsid w:val="5EF556B7"/>
    <w:rsid w:val="5F3A07D2"/>
    <w:rsid w:val="5F593A88"/>
    <w:rsid w:val="5FE356D0"/>
    <w:rsid w:val="5FF901AE"/>
    <w:rsid w:val="5FFA0B31"/>
    <w:rsid w:val="60651EAC"/>
    <w:rsid w:val="60BB3927"/>
    <w:rsid w:val="6200749A"/>
    <w:rsid w:val="62035F2D"/>
    <w:rsid w:val="620F0B35"/>
    <w:rsid w:val="6240022D"/>
    <w:rsid w:val="626A5FAC"/>
    <w:rsid w:val="628C6E38"/>
    <w:rsid w:val="62A42EE2"/>
    <w:rsid w:val="62B114E5"/>
    <w:rsid w:val="62BE686B"/>
    <w:rsid w:val="62F14F12"/>
    <w:rsid w:val="630D013F"/>
    <w:rsid w:val="63347FC4"/>
    <w:rsid w:val="63604CB9"/>
    <w:rsid w:val="64A36D0B"/>
    <w:rsid w:val="64C656C1"/>
    <w:rsid w:val="64F77166"/>
    <w:rsid w:val="65165F77"/>
    <w:rsid w:val="65201386"/>
    <w:rsid w:val="657F4183"/>
    <w:rsid w:val="658466A7"/>
    <w:rsid w:val="6596487B"/>
    <w:rsid w:val="65BC38AE"/>
    <w:rsid w:val="65DF63C9"/>
    <w:rsid w:val="65E950BC"/>
    <w:rsid w:val="662A7F2C"/>
    <w:rsid w:val="66627873"/>
    <w:rsid w:val="66D65FFA"/>
    <w:rsid w:val="67C24194"/>
    <w:rsid w:val="67EB36EB"/>
    <w:rsid w:val="68DA2DB6"/>
    <w:rsid w:val="68DE74FF"/>
    <w:rsid w:val="693F42CF"/>
    <w:rsid w:val="69725134"/>
    <w:rsid w:val="6B4666B6"/>
    <w:rsid w:val="6BB306BC"/>
    <w:rsid w:val="6CC85DA9"/>
    <w:rsid w:val="6D2A5F93"/>
    <w:rsid w:val="6D8F2D6B"/>
    <w:rsid w:val="6DB91990"/>
    <w:rsid w:val="6DC31436"/>
    <w:rsid w:val="6E34121C"/>
    <w:rsid w:val="6E6F4E2B"/>
    <w:rsid w:val="6ECB49CF"/>
    <w:rsid w:val="6ECB5A2B"/>
    <w:rsid w:val="6F4D197C"/>
    <w:rsid w:val="6F806E0F"/>
    <w:rsid w:val="70202A42"/>
    <w:rsid w:val="70DC0CFB"/>
    <w:rsid w:val="70ED3F4C"/>
    <w:rsid w:val="72227D09"/>
    <w:rsid w:val="72577023"/>
    <w:rsid w:val="72E476B5"/>
    <w:rsid w:val="72F22338"/>
    <w:rsid w:val="72F84D2E"/>
    <w:rsid w:val="7328056C"/>
    <w:rsid w:val="73327580"/>
    <w:rsid w:val="733572FD"/>
    <w:rsid w:val="73BE3A62"/>
    <w:rsid w:val="746C7E4B"/>
    <w:rsid w:val="74865D6E"/>
    <w:rsid w:val="750E6C6B"/>
    <w:rsid w:val="755E374E"/>
    <w:rsid w:val="75884CEA"/>
    <w:rsid w:val="75B310E7"/>
    <w:rsid w:val="75B318F4"/>
    <w:rsid w:val="75F61299"/>
    <w:rsid w:val="761A4623"/>
    <w:rsid w:val="76377F56"/>
    <w:rsid w:val="764B35A7"/>
    <w:rsid w:val="769E6A57"/>
    <w:rsid w:val="77A023DA"/>
    <w:rsid w:val="77B238DE"/>
    <w:rsid w:val="78A4106B"/>
    <w:rsid w:val="79975481"/>
    <w:rsid w:val="79B4511D"/>
    <w:rsid w:val="79F60BE5"/>
    <w:rsid w:val="7A1B4027"/>
    <w:rsid w:val="7A965738"/>
    <w:rsid w:val="7ABC1C9C"/>
    <w:rsid w:val="7B022DCE"/>
    <w:rsid w:val="7B272834"/>
    <w:rsid w:val="7B8F71DF"/>
    <w:rsid w:val="7C1568F9"/>
    <w:rsid w:val="7C5F5C68"/>
    <w:rsid w:val="7CB2612E"/>
    <w:rsid w:val="7CC25607"/>
    <w:rsid w:val="7D4E6234"/>
    <w:rsid w:val="7DE859ED"/>
    <w:rsid w:val="7E4C610E"/>
    <w:rsid w:val="7ECA59B1"/>
    <w:rsid w:val="7F09108F"/>
    <w:rsid w:val="7F2152AD"/>
    <w:rsid w:val="7FD50AB1"/>
    <w:rsid w:val="7FDC49A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iPriority="0" w:semiHidden="0"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qFormat="1" w:unhideWhenUsed="0" w:uiPriority="0" w:semiHidden="0"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_GB2312" w:cs="Times New Roman"/>
      <w:kern w:val="2"/>
      <w:sz w:val="32"/>
      <w:szCs w:val="24"/>
      <w:lang w:val="en-US" w:eastAsia="zh-CN" w:bidi="ar-SA"/>
    </w:rPr>
  </w:style>
  <w:style w:type="paragraph" w:styleId="5">
    <w:name w:val="heading 1"/>
    <w:basedOn w:val="1"/>
    <w:next w:val="1"/>
    <w:link w:val="43"/>
    <w:qFormat/>
    <w:uiPriority w:val="9"/>
    <w:pPr>
      <w:keepNext/>
      <w:keepLines/>
      <w:spacing w:before="340" w:after="330" w:line="578" w:lineRule="auto"/>
      <w:outlineLvl w:val="0"/>
    </w:pPr>
    <w:rPr>
      <w:b/>
      <w:bCs/>
      <w:kern w:val="44"/>
      <w:sz w:val="44"/>
      <w:szCs w:val="44"/>
    </w:rPr>
  </w:style>
  <w:style w:type="paragraph" w:styleId="6">
    <w:name w:val="heading 2"/>
    <w:basedOn w:val="1"/>
    <w:next w:val="1"/>
    <w:link w:val="3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7">
    <w:name w:val="heading 3"/>
    <w:basedOn w:val="1"/>
    <w:next w:val="1"/>
    <w:link w:val="42"/>
    <w:unhideWhenUsed/>
    <w:qFormat/>
    <w:uiPriority w:val="9"/>
    <w:pPr>
      <w:keepNext/>
      <w:keepLines/>
      <w:spacing w:before="260" w:after="260" w:line="416" w:lineRule="auto"/>
      <w:outlineLvl w:val="2"/>
    </w:pPr>
    <w:rPr>
      <w:b/>
      <w:bCs/>
      <w:sz w:val="32"/>
      <w:szCs w:val="32"/>
    </w:rPr>
  </w:style>
  <w:style w:type="character" w:default="1" w:styleId="24">
    <w:name w:val="Default Paragraph Font"/>
    <w:link w:val="25"/>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footnote text"/>
    <w:basedOn w:val="1"/>
    <w:next w:val="3"/>
    <w:unhideWhenUsed/>
    <w:qFormat/>
    <w:uiPriority w:val="0"/>
    <w:pPr>
      <w:snapToGrid w:val="0"/>
      <w:spacing w:beforeLines="0" w:afterLines="0"/>
      <w:jc w:val="left"/>
    </w:pPr>
    <w:rPr>
      <w:rFonts w:hint="default"/>
      <w:color w:val="auto"/>
      <w:sz w:val="18"/>
      <w:szCs w:val="18"/>
    </w:rPr>
  </w:style>
  <w:style w:type="paragraph" w:styleId="3">
    <w:name w:val="Body Text First Indent 2"/>
    <w:basedOn w:val="4"/>
    <w:unhideWhenUsed/>
    <w:qFormat/>
    <w:uiPriority w:val="99"/>
    <w:pPr>
      <w:ind w:firstLine="420" w:firstLineChars="200"/>
    </w:pPr>
  </w:style>
  <w:style w:type="paragraph" w:styleId="4">
    <w:name w:val="Body Text Indent"/>
    <w:basedOn w:val="1"/>
    <w:next w:val="3"/>
    <w:link w:val="46"/>
    <w:qFormat/>
    <w:uiPriority w:val="0"/>
    <w:pPr>
      <w:spacing w:after="120"/>
      <w:ind w:leftChars="200"/>
    </w:pPr>
    <w:rPr>
      <w:rFonts w:ascii="仿宋_GB2312"/>
      <w:szCs w:val="32"/>
    </w:rPr>
  </w:style>
  <w:style w:type="paragraph" w:styleId="8">
    <w:name w:val="Normal Indent"/>
    <w:basedOn w:val="1"/>
    <w:link w:val="48"/>
    <w:qFormat/>
    <w:uiPriority w:val="0"/>
    <w:pPr>
      <w:spacing w:before="156" w:beforeLines="50" w:line="360" w:lineRule="auto"/>
      <w:ind w:firstLine="480" w:firstLineChars="200"/>
    </w:pPr>
    <w:rPr>
      <w:rFonts w:eastAsia="仿宋"/>
      <w:sz w:val="24"/>
      <w:szCs w:val="23"/>
      <w:lang w:eastAsia="ar-SA"/>
    </w:rPr>
  </w:style>
  <w:style w:type="paragraph" w:styleId="9">
    <w:name w:val="caption"/>
    <w:basedOn w:val="1"/>
    <w:next w:val="1"/>
    <w:qFormat/>
    <w:uiPriority w:val="0"/>
    <w:pPr>
      <w:suppressLineNumbers/>
      <w:suppressAutoHyphens/>
      <w:spacing w:before="120" w:after="120"/>
    </w:pPr>
    <w:rPr>
      <w:i/>
      <w:iCs/>
      <w:sz w:val="24"/>
      <w:szCs w:val="24"/>
    </w:rPr>
  </w:style>
  <w:style w:type="paragraph" w:styleId="10">
    <w:name w:val="Document Map"/>
    <w:basedOn w:val="1"/>
    <w:link w:val="26"/>
    <w:qFormat/>
    <w:uiPriority w:val="0"/>
    <w:rPr>
      <w:rFonts w:ascii="宋体" w:eastAsia="宋体"/>
      <w:sz w:val="18"/>
      <w:szCs w:val="18"/>
    </w:rPr>
  </w:style>
  <w:style w:type="paragraph" w:styleId="11">
    <w:name w:val="annotation text"/>
    <w:basedOn w:val="1"/>
    <w:semiHidden/>
    <w:unhideWhenUsed/>
    <w:qFormat/>
    <w:uiPriority w:val="99"/>
    <w:pPr>
      <w:jc w:val="left"/>
    </w:pPr>
  </w:style>
  <w:style w:type="paragraph" w:styleId="12">
    <w:name w:val="Body Text"/>
    <w:basedOn w:val="1"/>
    <w:link w:val="36"/>
    <w:qFormat/>
    <w:uiPriority w:val="0"/>
    <w:pPr>
      <w:spacing w:after="120"/>
    </w:pPr>
  </w:style>
  <w:style w:type="paragraph" w:styleId="13">
    <w:name w:val="toc 3"/>
    <w:basedOn w:val="1"/>
    <w:next w:val="1"/>
    <w:unhideWhenUsed/>
    <w:qFormat/>
    <w:uiPriority w:val="39"/>
    <w:pPr>
      <w:tabs>
        <w:tab w:val="right" w:leader="dot" w:pos="8296"/>
      </w:tabs>
      <w:ind w:left="840" w:leftChars="400"/>
    </w:pPr>
  </w:style>
  <w:style w:type="paragraph" w:styleId="14">
    <w:name w:val="Balloon Text"/>
    <w:basedOn w:val="1"/>
    <w:link w:val="41"/>
    <w:semiHidden/>
    <w:qFormat/>
    <w:uiPriority w:val="0"/>
    <w:rPr>
      <w:sz w:val="18"/>
      <w:szCs w:val="18"/>
    </w:rPr>
  </w:style>
  <w:style w:type="paragraph" w:styleId="15">
    <w:name w:val="footer"/>
    <w:basedOn w:val="1"/>
    <w:link w:val="34"/>
    <w:qFormat/>
    <w:uiPriority w:val="99"/>
    <w:pPr>
      <w:tabs>
        <w:tab w:val="center" w:pos="4153"/>
        <w:tab w:val="right" w:pos="8306"/>
      </w:tabs>
      <w:snapToGrid w:val="0"/>
      <w:jc w:val="left"/>
    </w:pPr>
    <w:rPr>
      <w:rFonts w:eastAsia="宋体"/>
      <w:sz w:val="18"/>
      <w:szCs w:val="18"/>
    </w:rPr>
  </w:style>
  <w:style w:type="paragraph" w:styleId="16">
    <w:name w:val="header"/>
    <w:basedOn w:val="1"/>
    <w:link w:val="32"/>
    <w:qFormat/>
    <w:uiPriority w:val="0"/>
    <w:pPr>
      <w:pBdr>
        <w:bottom w:val="single" w:color="auto" w:sz="6" w:space="1"/>
      </w:pBdr>
      <w:tabs>
        <w:tab w:val="center" w:pos="4153"/>
        <w:tab w:val="right" w:pos="8306"/>
      </w:tabs>
      <w:snapToGrid w:val="0"/>
      <w:jc w:val="center"/>
    </w:pPr>
    <w:rPr>
      <w:rFonts w:eastAsia="宋体"/>
      <w:sz w:val="18"/>
      <w:szCs w:val="18"/>
    </w:rPr>
  </w:style>
  <w:style w:type="paragraph" w:styleId="17">
    <w:name w:val="toc 1"/>
    <w:basedOn w:val="1"/>
    <w:next w:val="1"/>
    <w:qFormat/>
    <w:uiPriority w:val="0"/>
    <w:pPr>
      <w:tabs>
        <w:tab w:val="right" w:leader="dot" w:pos="8296"/>
      </w:tabs>
    </w:pPr>
  </w:style>
  <w:style w:type="paragraph" w:styleId="18">
    <w:name w:val="table of figures"/>
    <w:basedOn w:val="1"/>
    <w:next w:val="1"/>
    <w:qFormat/>
    <w:uiPriority w:val="0"/>
    <w:pPr>
      <w:ind w:left="200" w:leftChars="200" w:hanging="200" w:hangingChars="200"/>
    </w:pPr>
  </w:style>
  <w:style w:type="paragraph" w:styleId="19">
    <w:name w:val="toc 2"/>
    <w:basedOn w:val="1"/>
    <w:next w:val="1"/>
    <w:autoRedefine/>
    <w:unhideWhenUsed/>
    <w:qFormat/>
    <w:uiPriority w:val="39"/>
    <w:pPr>
      <w:tabs>
        <w:tab w:val="right" w:leader="dot" w:pos="8296"/>
      </w:tabs>
      <w:ind w:left="420" w:leftChars="200"/>
    </w:pPr>
  </w:style>
  <w:style w:type="paragraph" w:styleId="20">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21">
    <w:name w:val="Body Text First Indent"/>
    <w:basedOn w:val="12"/>
    <w:qFormat/>
    <w:uiPriority w:val="0"/>
    <w:pPr>
      <w:ind w:firstLine="880" w:firstLineChars="200"/>
    </w:pPr>
    <w:rPr>
      <w:rFonts w:eastAsia="仿宋_GB2312"/>
    </w:r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5">
    <w:name w:val="四号正文"/>
    <w:basedOn w:val="1"/>
    <w:link w:val="24"/>
    <w:qFormat/>
    <w:uiPriority w:val="0"/>
    <w:pPr>
      <w:spacing w:line="360" w:lineRule="auto"/>
    </w:pPr>
    <w:rPr>
      <w:rFonts w:ascii="??" w:hAnsi="??" w:eastAsia="宋体" w:cs="宋体"/>
      <w:color w:val="000000"/>
      <w:kern w:val="0"/>
      <w:sz w:val="28"/>
      <w:szCs w:val="21"/>
    </w:rPr>
  </w:style>
  <w:style w:type="character" w:styleId="26">
    <w:name w:val="Strong"/>
    <w:basedOn w:val="24"/>
    <w:link w:val="10"/>
    <w:qFormat/>
    <w:uiPriority w:val="99"/>
    <w:rPr>
      <w:b/>
    </w:rPr>
  </w:style>
  <w:style w:type="character" w:styleId="27">
    <w:name w:val="page number"/>
    <w:basedOn w:val="24"/>
    <w:qFormat/>
    <w:uiPriority w:val="0"/>
  </w:style>
  <w:style w:type="character" w:styleId="28">
    <w:name w:val="Hyperlink"/>
    <w:basedOn w:val="24"/>
    <w:unhideWhenUsed/>
    <w:qFormat/>
    <w:uiPriority w:val="99"/>
    <w:rPr>
      <w:color w:val="0000FF" w:themeColor="hyperlink"/>
      <w:u w:val="single"/>
      <w14:textFill>
        <w14:solidFill>
          <w14:schemeClr w14:val="hlink"/>
        </w14:solidFill>
      </w14:textFill>
    </w:rPr>
  </w:style>
  <w:style w:type="character" w:styleId="29">
    <w:name w:val="annotation reference"/>
    <w:basedOn w:val="24"/>
    <w:link w:val="15"/>
    <w:semiHidden/>
    <w:unhideWhenUsed/>
    <w:qFormat/>
    <w:uiPriority w:val="99"/>
    <w:rPr>
      <w:sz w:val="21"/>
      <w:szCs w:val="21"/>
    </w:rPr>
  </w:style>
  <w:style w:type="paragraph" w:customStyle="1" w:styleId="30">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character" w:customStyle="1" w:styleId="31">
    <w:name w:val="Header Char"/>
    <w:basedOn w:val="24"/>
    <w:semiHidden/>
    <w:qFormat/>
    <w:uiPriority w:val="99"/>
    <w:rPr>
      <w:rFonts w:ascii="Times New Roman" w:hAnsi="Times New Roman"/>
      <w:sz w:val="18"/>
      <w:szCs w:val="18"/>
    </w:rPr>
  </w:style>
  <w:style w:type="character" w:customStyle="1" w:styleId="32">
    <w:name w:val="页眉 字符"/>
    <w:link w:val="16"/>
    <w:semiHidden/>
    <w:qFormat/>
    <w:locked/>
    <w:uiPriority w:val="99"/>
    <w:rPr>
      <w:sz w:val="18"/>
    </w:rPr>
  </w:style>
  <w:style w:type="character" w:customStyle="1" w:styleId="33">
    <w:name w:val="Footer Char"/>
    <w:basedOn w:val="24"/>
    <w:autoRedefine/>
    <w:semiHidden/>
    <w:qFormat/>
    <w:uiPriority w:val="99"/>
    <w:rPr>
      <w:rFonts w:ascii="Times New Roman" w:hAnsi="Times New Roman"/>
      <w:sz w:val="18"/>
      <w:szCs w:val="18"/>
    </w:rPr>
  </w:style>
  <w:style w:type="character" w:customStyle="1" w:styleId="34">
    <w:name w:val="页脚 字符"/>
    <w:link w:val="15"/>
    <w:autoRedefine/>
    <w:qFormat/>
    <w:locked/>
    <w:uiPriority w:val="99"/>
    <w:rPr>
      <w:sz w:val="18"/>
    </w:rPr>
  </w:style>
  <w:style w:type="character" w:customStyle="1" w:styleId="35">
    <w:name w:val="Body Text Char"/>
    <w:basedOn w:val="24"/>
    <w:semiHidden/>
    <w:qFormat/>
    <w:uiPriority w:val="99"/>
    <w:rPr>
      <w:rFonts w:ascii="Times New Roman" w:hAnsi="Times New Roman"/>
      <w:szCs w:val="24"/>
    </w:rPr>
  </w:style>
  <w:style w:type="character" w:customStyle="1" w:styleId="36">
    <w:name w:val="正文文本 字符"/>
    <w:link w:val="12"/>
    <w:qFormat/>
    <w:locked/>
    <w:uiPriority w:val="99"/>
    <w:rPr>
      <w:rFonts w:ascii="仿宋_GB2312" w:hAnsi="Times New Roman" w:eastAsia="仿宋_GB2312"/>
      <w:sz w:val="24"/>
    </w:rPr>
  </w:style>
  <w:style w:type="paragraph" w:styleId="37">
    <w:name w:val="List Paragraph"/>
    <w:basedOn w:val="1"/>
    <w:autoRedefine/>
    <w:qFormat/>
    <w:uiPriority w:val="34"/>
    <w:pPr>
      <w:ind w:firstLine="420" w:firstLineChars="200"/>
    </w:pPr>
  </w:style>
  <w:style w:type="character" w:customStyle="1" w:styleId="38">
    <w:name w:val="标题 1 字符"/>
    <w:basedOn w:val="24"/>
    <w:link w:val="5"/>
    <w:qFormat/>
    <w:uiPriority w:val="9"/>
    <w:rPr>
      <w:rFonts w:ascii="Times New Roman" w:hAnsi="Times New Roman"/>
      <w:b/>
      <w:bCs/>
      <w:kern w:val="44"/>
      <w:sz w:val="44"/>
      <w:szCs w:val="44"/>
    </w:rPr>
  </w:style>
  <w:style w:type="character" w:customStyle="1" w:styleId="39">
    <w:name w:val="标题 2 字符"/>
    <w:basedOn w:val="24"/>
    <w:link w:val="6"/>
    <w:qFormat/>
    <w:uiPriority w:val="9"/>
    <w:rPr>
      <w:rFonts w:asciiTheme="majorHAnsi" w:hAnsiTheme="majorHAnsi" w:eastAsiaTheme="majorEastAsia" w:cstheme="majorBidi"/>
      <w:b/>
      <w:bCs/>
      <w:kern w:val="2"/>
      <w:sz w:val="32"/>
      <w:szCs w:val="32"/>
    </w:rPr>
  </w:style>
  <w:style w:type="paragraph" w:customStyle="1" w:styleId="40">
    <w:name w:val="TOC 标题1"/>
    <w:basedOn w:val="5"/>
    <w:next w:val="1"/>
    <w:autoRedefine/>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41">
    <w:name w:val="批注框文本 字符"/>
    <w:basedOn w:val="24"/>
    <w:link w:val="14"/>
    <w:autoRedefine/>
    <w:semiHidden/>
    <w:qFormat/>
    <w:uiPriority w:val="99"/>
    <w:rPr>
      <w:rFonts w:ascii="Times New Roman" w:hAnsi="Times New Roman"/>
      <w:kern w:val="2"/>
      <w:sz w:val="18"/>
      <w:szCs w:val="18"/>
    </w:rPr>
  </w:style>
  <w:style w:type="character" w:customStyle="1" w:styleId="42">
    <w:name w:val="标题 3 字符"/>
    <w:basedOn w:val="24"/>
    <w:link w:val="7"/>
    <w:autoRedefine/>
    <w:qFormat/>
    <w:uiPriority w:val="9"/>
    <w:rPr>
      <w:rFonts w:ascii="Times New Roman" w:hAnsi="Times New Roman"/>
      <w:b/>
      <w:bCs/>
      <w:kern w:val="2"/>
      <w:sz w:val="32"/>
      <w:szCs w:val="32"/>
    </w:rPr>
  </w:style>
  <w:style w:type="character" w:customStyle="1" w:styleId="43">
    <w:name w:val="标题 1 Char"/>
    <w:basedOn w:val="24"/>
    <w:link w:val="5"/>
    <w:qFormat/>
    <w:uiPriority w:val="9"/>
    <w:rPr>
      <w:b/>
      <w:bCs/>
      <w:kern w:val="44"/>
      <w:sz w:val="44"/>
      <w:szCs w:val="44"/>
    </w:rPr>
  </w:style>
  <w:style w:type="paragraph" w:customStyle="1" w:styleId="44">
    <w:name w:val="标题 5（有编号）（绿盟科技）"/>
    <w:next w:val="1"/>
    <w:qFormat/>
    <w:uiPriority w:val="99"/>
    <w:pPr>
      <w:keepNext/>
      <w:keepLines/>
      <w:widowControl w:val="0"/>
      <w:spacing w:before="280" w:after="156" w:line="377" w:lineRule="auto"/>
      <w:outlineLvl w:val="4"/>
    </w:pPr>
    <w:rPr>
      <w:rFonts w:ascii="Arial" w:hAnsi="Arial" w:eastAsia="黑体" w:cs="Times New Roman"/>
      <w:b/>
      <w:kern w:val="2"/>
      <w:sz w:val="24"/>
      <w:szCs w:val="28"/>
      <w:lang w:val="en-US" w:eastAsia="zh-CN" w:bidi="ar-SA"/>
    </w:rPr>
  </w:style>
  <w:style w:type="character" w:customStyle="1" w:styleId="45">
    <w:name w:val="四号正文 Char"/>
    <w:basedOn w:val="24"/>
    <w:qFormat/>
    <w:uiPriority w:val="0"/>
    <w:rPr>
      <w:rFonts w:ascii="??" w:hAnsi="??" w:eastAsia="宋体" w:cs="宋体"/>
      <w:color w:val="000000"/>
      <w:sz w:val="28"/>
      <w:szCs w:val="21"/>
      <w:lang w:val="en-US" w:eastAsia="zh-CN" w:bidi="ar-SA"/>
    </w:rPr>
  </w:style>
  <w:style w:type="character" w:customStyle="1" w:styleId="46">
    <w:name w:val="文档结构图 Char"/>
    <w:basedOn w:val="24"/>
    <w:link w:val="4"/>
    <w:qFormat/>
    <w:uiPriority w:val="0"/>
    <w:rPr>
      <w:rFonts w:ascii="宋体"/>
      <w:kern w:val="2"/>
      <w:sz w:val="18"/>
      <w:szCs w:val="18"/>
    </w:rPr>
  </w:style>
  <w:style w:type="paragraph" w:customStyle="1" w:styleId="47">
    <w:name w:val="a"/>
    <w:basedOn w:val="1"/>
    <w:qFormat/>
    <w:uiPriority w:val="0"/>
    <w:pPr>
      <w:widowControl/>
      <w:spacing w:before="100" w:beforeAutospacing="1" w:after="100" w:afterAutospacing="1"/>
      <w:jc w:val="left"/>
    </w:pPr>
    <w:rPr>
      <w:rFonts w:ascii="宋体" w:hAnsi="宋体" w:eastAsia="宋体" w:cs="宋体"/>
      <w:kern w:val="0"/>
      <w:sz w:val="24"/>
    </w:rPr>
  </w:style>
  <w:style w:type="character" w:customStyle="1" w:styleId="48">
    <w:name w:val="页脚 Char"/>
    <w:basedOn w:val="24"/>
    <w:link w:val="8"/>
    <w:qFormat/>
    <w:uiPriority w:val="99"/>
    <w:rPr>
      <w:kern w:val="2"/>
      <w:sz w:val="18"/>
      <w:szCs w:val="18"/>
    </w:rPr>
  </w:style>
  <w:style w:type="character" w:customStyle="1" w:styleId="49">
    <w:name w:val="font31"/>
    <w:basedOn w:val="24"/>
    <w:qFormat/>
    <w:uiPriority w:val="0"/>
    <w:rPr>
      <w:rFonts w:hint="eastAsia" w:ascii="宋体" w:hAnsi="宋体" w:eastAsia="宋体" w:cs="宋体"/>
      <w:color w:val="000000"/>
      <w:sz w:val="24"/>
      <w:szCs w:val="24"/>
      <w:u w:val="none"/>
    </w:rPr>
  </w:style>
  <w:style w:type="character" w:customStyle="1" w:styleId="50">
    <w:name w:val="font51"/>
    <w:basedOn w:val="24"/>
    <w:qFormat/>
    <w:uiPriority w:val="0"/>
    <w:rPr>
      <w:rFonts w:hint="default" w:ascii="Wingdings 2" w:hAnsi="Wingdings 2" w:eastAsia="Wingdings 2" w:cs="Wingdings 2"/>
      <w:color w:val="000000"/>
      <w:sz w:val="18"/>
      <w:szCs w:val="18"/>
      <w:u w:val="none"/>
    </w:rPr>
  </w:style>
  <w:style w:type="character" w:customStyle="1" w:styleId="51">
    <w:name w:val="font01"/>
    <w:basedOn w:val="24"/>
    <w:qFormat/>
    <w:uiPriority w:val="0"/>
    <w:rPr>
      <w:rFonts w:ascii="宋体" w:hAnsi="宋体" w:eastAsia="宋体" w:cs="宋体"/>
      <w:color w:val="000000"/>
      <w:sz w:val="18"/>
      <w:szCs w:val="18"/>
      <w:u w:val="none"/>
    </w:rPr>
  </w:style>
  <w:style w:type="character" w:customStyle="1" w:styleId="52">
    <w:name w:val="font41"/>
    <w:basedOn w:val="24"/>
    <w:qFormat/>
    <w:uiPriority w:val="0"/>
    <w:rPr>
      <w:rFonts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E4FC5A5-8DE4-4565-B639-6D345C1D7E6D}">
  <ds:schemaRefs/>
</ds:datastoreItem>
</file>

<file path=docProps/app.xml><?xml version="1.0" encoding="utf-8"?>
<Properties xmlns="http://schemas.openxmlformats.org/officeDocument/2006/extended-properties" xmlns:vt="http://schemas.openxmlformats.org/officeDocument/2006/docPropsVTypes">
  <Template>Normal.dotm</Template>
  <Company>四川省财政厅</Company>
  <Pages>40</Pages>
  <Words>6549</Words>
  <Characters>7071</Characters>
  <Lines>48</Lines>
  <Paragraphs>13</Paragraphs>
  <TotalTime>50</TotalTime>
  <ScaleCrop>false</ScaleCrop>
  <LinksUpToDate>false</LinksUpToDate>
  <CharactersWithSpaces>7134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2023-08-18T07:28:00Z</dcterms:created>
  <dc:creator>pjf</dc:creator>
  <cp:lastModifiedBy>钟耀辉</cp:lastModifiedBy>
  <cp:lastPrinted>2025-10-15T09:02:00Z</cp:lastPrinted>
  <dcterms:modified xsi:type="dcterms:W3CDTF">2025-10-16T09:48:13Z</dcterms:modified>
  <dc:title>四川省决算编制说明</dc:title>
  <cp:revision>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449696F0ED8A4EDEA3D2B0DDFD0BF6E8_13</vt:lpwstr>
  </property>
  <property fmtid="{D5CDD505-2E9C-101B-9397-08002B2CF9AE}" pid="4" name="KSOTemplateDocerSaveRecord">
    <vt:lpwstr>eyJoZGlkIjoiYzRhZTZlN2M0NGU3NmUyYTMyYThlOWNjODAxMTc4NjgiLCJ1c2VySWQiOiIxNzEzMjE3MzA5In0=</vt:lpwstr>
  </property>
</Properties>
</file>