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123"/>
        <w:gridCol w:w="1065"/>
        <w:gridCol w:w="1207"/>
        <w:gridCol w:w="666"/>
        <w:gridCol w:w="1179"/>
        <w:gridCol w:w="778"/>
        <w:gridCol w:w="772"/>
        <w:gridCol w:w="1225"/>
      </w:tblGrid>
      <w:tr w14:paraId="51F65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exact"/>
          <w:jc w:val="center"/>
        </w:trPr>
        <w:tc>
          <w:tcPr>
            <w:tcW w:w="9107" w:type="dxa"/>
            <w:gridSpan w:val="9"/>
            <w:shd w:val="clear" w:color="auto" w:fill="auto"/>
            <w:vAlign w:val="center"/>
          </w:tcPr>
          <w:p w14:paraId="0A46E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部门整体支出绩效目标完成情况自评表</w:t>
            </w:r>
          </w:p>
        </w:tc>
      </w:tr>
      <w:tr w14:paraId="70884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9107" w:type="dxa"/>
            <w:gridSpan w:val="9"/>
            <w:shd w:val="clear" w:color="auto" w:fill="auto"/>
            <w:vAlign w:val="center"/>
          </w:tcPr>
          <w:p w14:paraId="3C26F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年度）</w:t>
            </w:r>
          </w:p>
        </w:tc>
      </w:tr>
      <w:tr w14:paraId="24BA1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9107" w:type="dxa"/>
            <w:gridSpan w:val="9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79C07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单位：万元</w:t>
            </w:r>
          </w:p>
        </w:tc>
      </w:tr>
      <w:tr w14:paraId="239B4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3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6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58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6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渠县公共资源交易服务中心</w:t>
            </w:r>
          </w:p>
        </w:tc>
      </w:tr>
      <w:tr w14:paraId="60065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E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年度部门整体支出预算</w:t>
            </w: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0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9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39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F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</w:tr>
      <w:tr w14:paraId="59A0C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F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C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416.01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A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416.01</w:t>
            </w:r>
          </w:p>
        </w:tc>
        <w:tc>
          <w:tcPr>
            <w:tcW w:w="39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D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A74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D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年度总体</w:t>
            </w:r>
          </w:p>
          <w:p w14:paraId="50B58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目标</w:t>
            </w:r>
          </w:p>
        </w:tc>
        <w:tc>
          <w:tcPr>
            <w:tcW w:w="80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B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公共资源交易服务中心将认真贯彻落实省、市、县公共资源交易工作部署，持续深化放管服改革，优化营商环境，为渠县政府采购、国土矿权、国有产权、中介超市、小额工程、农村产权等公共资源交易工作做好服务，促进渠县公共资源交易事业健康发展，积极服务好渠县县域经济发展，为渠县建设“一地一都一强县”贡献交易力量。</w:t>
            </w:r>
          </w:p>
        </w:tc>
      </w:tr>
      <w:tr w14:paraId="20716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A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年度主要</w:t>
            </w:r>
          </w:p>
          <w:p w14:paraId="14B0A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任务</w:t>
            </w: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E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58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3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主要内容</w:t>
            </w:r>
          </w:p>
        </w:tc>
      </w:tr>
      <w:tr w14:paraId="462B7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C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B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重点任务一完成全流程电子化交易工作</w:t>
            </w:r>
          </w:p>
        </w:tc>
        <w:tc>
          <w:tcPr>
            <w:tcW w:w="58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E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推行政府采购、国土矿权、国有产权等公共资源交易全流程电子化，为全县公共资源交易工作提供财力保障，做好政府采购、土地拍卖、工程比选、国资拍卖等工作</w:t>
            </w:r>
            <w:r>
              <w:rPr>
                <w:rFonts w:hint="eastAsia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15C09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B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6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  <w:t>重点任务二完成政府采购、中介超市、小额工程、国土矿权、国有产权、农村产权等各项公共资源交易工作</w:t>
            </w:r>
          </w:p>
        </w:tc>
        <w:tc>
          <w:tcPr>
            <w:tcW w:w="58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9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  <w:t>按照县委、县政府工作部署，顺利完成各项公共资源交易工作。完成政府采购、中介超市、小额工程、国土矿权、国有产权等各类公共资源交易宗数至少120宗，各项公共资源交易按时办结率达到100%，国土矿权溢价率至少达到5%，持续提升公共资源交易营商环境。保证农村产权交易平台运转，宣传指导农村产权入场交易，宣传相关政策及法律法规，提高入场交易率，促进交易合法化和规范化；保证中介超市服务平台运转，征集中介机构入驻，推动中介服务事项入驻，为中介服务事项选取做好服务。</w:t>
            </w:r>
          </w:p>
        </w:tc>
      </w:tr>
      <w:tr w14:paraId="796D7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B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D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  <w:t>重点任务三做好公共资源交易服务人员后勤</w:t>
            </w:r>
            <w:r>
              <w:rPr>
                <w:rFonts w:hint="eastAsia" w:eastAsia="宋体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用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  <w:t>餐保障工作</w:t>
            </w:r>
          </w:p>
        </w:tc>
        <w:tc>
          <w:tcPr>
            <w:tcW w:w="58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9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  <w:t>按照中心人数、用餐标准，每人每日15元，保障中心工作人员的后勤工作。</w:t>
            </w:r>
          </w:p>
        </w:tc>
      </w:tr>
      <w:tr w14:paraId="130FA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8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年度绩效</w:t>
            </w:r>
          </w:p>
          <w:p w14:paraId="099D6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E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E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E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1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  <w:p w14:paraId="162FB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B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绩效指标值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D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绩效度量单位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40DA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A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实际完成</w:t>
            </w:r>
          </w:p>
          <w:p w14:paraId="6BDB6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 w14:paraId="3BD05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7" w:hRule="atLeast"/>
          <w:jc w:val="center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1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E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E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9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完成政府采购、国土矿权、国有产权等各类公共资源交易宗数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F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D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A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宗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6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6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</w:tr>
      <w:tr w14:paraId="2A936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8" w:hRule="atLeast"/>
          <w:jc w:val="center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2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3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6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0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公共资源交易服务质量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6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定性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E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优良差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8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0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7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029E4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1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2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E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D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各项公共资源交易按时办结率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F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＝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2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1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B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6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4E992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3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C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B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1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国土矿权溢价率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A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5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0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3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9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18.72%</w:t>
            </w:r>
          </w:p>
        </w:tc>
      </w:tr>
      <w:tr w14:paraId="360F4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2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A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5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政府采购节资率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2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A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9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2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3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7.46%</w:t>
            </w:r>
          </w:p>
        </w:tc>
      </w:tr>
      <w:tr w14:paraId="73217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B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C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7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9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持续提升公共资源交易营商环境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3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定性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3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高低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3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C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A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</w:p>
        </w:tc>
      </w:tr>
      <w:tr w14:paraId="5471A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27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2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A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A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9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A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9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97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1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</w:tr>
      <w:tr w14:paraId="786C0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5D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B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D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A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上级部门满意度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B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4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7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19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A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</w:tr>
      <w:tr w14:paraId="22DC7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F8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2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E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A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7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A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2415781.18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2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86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3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2415781.18</w:t>
            </w:r>
          </w:p>
        </w:tc>
      </w:tr>
      <w:tr w14:paraId="7B917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F2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6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9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2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9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E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1627836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A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CF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F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1627836</w:t>
            </w:r>
          </w:p>
        </w:tc>
      </w:tr>
    </w:tbl>
    <w:p w14:paraId="643466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86C3C"/>
    <w:rsid w:val="53FF5A9E"/>
    <w:rsid w:val="66F92F11"/>
    <w:rsid w:val="BD3F8E19"/>
    <w:rsid w:val="F8B2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2025-06-19T19:23:00Z</dcterms:created>
  <dc:creator>HP</dc:creator>
  <cp:lastModifiedBy>QX-ZFB-0033</cp:lastModifiedBy>
  <dcterms:modified xsi:type="dcterms:W3CDTF">2025-11-03T16:26:00Z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9837EB95A99DD6B24D600869283A5076_42</vt:lpwstr>
  </property>
</Properties>
</file>