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7226E">
      <w:pPr>
        <w:keepNext w:val="0"/>
        <w:keepLines w:val="0"/>
        <w:pageBreakBefore w:val="0"/>
        <w:widowControl w:val="0"/>
        <w:kinsoku/>
        <w:wordWrap/>
        <w:overflowPunct/>
        <w:topLinePunct w:val="0"/>
        <w:autoSpaceDE/>
        <w:autoSpaceDN/>
        <w:bidi w:val="0"/>
        <w:adjustRightInd/>
        <w:snapToGrid/>
        <w:spacing w:beforeLines="-2147483648" w:afterLines="-2147483648" w:line="578"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渠县青龙镇人民政府</w:t>
      </w:r>
    </w:p>
    <w:p w14:paraId="44528970">
      <w:pPr>
        <w:keepNext w:val="0"/>
        <w:keepLines w:val="0"/>
        <w:pageBreakBefore w:val="0"/>
        <w:widowControl w:val="0"/>
        <w:kinsoku/>
        <w:wordWrap/>
        <w:overflowPunct/>
        <w:topLinePunct w:val="0"/>
        <w:autoSpaceDE/>
        <w:autoSpaceDN/>
        <w:bidi w:val="0"/>
        <w:adjustRightInd/>
        <w:snapToGrid/>
        <w:spacing w:beforeLines="-2147483648" w:afterLines="-2147483648" w:line="578" w:lineRule="exact"/>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关于2024年度部门预算绩效自评的报告</w:t>
      </w:r>
    </w:p>
    <w:p w14:paraId="65B33125">
      <w:pPr>
        <w:spacing w:beforeLines="0" w:afterLines="0" w:line="578" w:lineRule="exact"/>
        <w:rPr>
          <w:rFonts w:hint="eastAsia" w:ascii="Times New Roman" w:hAnsi="Times New Roman" w:eastAsia="方正仿宋_GBK" w:cs="Times New Roman"/>
          <w:sz w:val="32"/>
          <w:szCs w:val="32"/>
          <w:lang w:eastAsia="zh-CN"/>
        </w:rPr>
      </w:pPr>
    </w:p>
    <w:p w14:paraId="1F5210E5">
      <w:pPr>
        <w:keepNext w:val="0"/>
        <w:keepLines w:val="0"/>
        <w:pageBreakBefore w:val="0"/>
        <w:widowControl/>
        <w:kinsoku/>
        <w:wordWrap/>
        <w:overflowPunct/>
        <w:topLinePunct w:val="0"/>
        <w:bidi w:val="0"/>
        <w:spacing w:line="578" w:lineRule="exact"/>
        <w:ind w:left="0" w:leftChars="0" w:right="0" w:firstLine="0" w:firstLineChars="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渠县财政局：</w:t>
      </w:r>
    </w:p>
    <w:p w14:paraId="7C8C662C">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按照渠县财政局《</w:t>
      </w:r>
      <w:r>
        <w:rPr>
          <w:rFonts w:hint="default" w:ascii="Times New Roman" w:hAnsi="Times New Roman" w:eastAsia="方正仿宋_GBK" w:cs="Times New Roman"/>
          <w:color w:val="000000"/>
          <w:kern w:val="0"/>
          <w:sz w:val="32"/>
          <w:szCs w:val="32"/>
          <w:lang w:val="en-US" w:eastAsia="zh-CN"/>
        </w:rPr>
        <w:t>关于开展202</w:t>
      </w:r>
      <w:r>
        <w:rPr>
          <w:rFonts w:hint="eastAsia"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val="en-US" w:eastAsia="zh-CN"/>
        </w:rPr>
        <w:t>年县级部门绩效自评工作的通知</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渠财绩〔202</w:t>
      </w:r>
      <w:r>
        <w:rPr>
          <w:rFonts w:hint="eastAsia"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val="en-US" w:eastAsia="zh-CN"/>
        </w:rPr>
        <w:t>〕</w:t>
      </w:r>
      <w:r>
        <w:rPr>
          <w:rFonts w:hint="eastAsia"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val="en-US" w:eastAsia="zh-CN"/>
        </w:rPr>
        <w:t>号</w:t>
      </w:r>
      <w:r>
        <w:rPr>
          <w:rFonts w:hint="eastAsia" w:ascii="Times New Roman" w:hAnsi="Times New Roman" w:eastAsia="方正仿宋_GBK" w:cs="Times New Roman"/>
          <w:color w:val="000000"/>
          <w:kern w:val="0"/>
          <w:sz w:val="32"/>
          <w:szCs w:val="32"/>
          <w:lang w:val="en-US" w:eastAsia="zh-CN"/>
        </w:rPr>
        <w:t>）要求，我单位积极开展部门绩效自评工作。通过综合分析形成绩效评价自评报告，现报告如下。</w:t>
      </w:r>
    </w:p>
    <w:p w14:paraId="21E96869">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zh-CN" w:eastAsia="zh-CN"/>
        </w:rPr>
        <w:t>一、部门基本情况</w:t>
      </w:r>
    </w:p>
    <w:p w14:paraId="51E00236">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zh-CN" w:eastAsia="zh-CN"/>
        </w:rPr>
      </w:pPr>
      <w:r>
        <w:rPr>
          <w:rFonts w:hint="eastAsia" w:ascii="方正楷体_GBK" w:hAnsi="方正楷体_GBK" w:eastAsia="方正楷体_GBK" w:cs="方正楷体_GBK"/>
          <w:color w:val="000000"/>
          <w:kern w:val="0"/>
          <w:sz w:val="32"/>
          <w:szCs w:val="32"/>
          <w:lang w:val="zh-CN" w:eastAsia="zh-CN"/>
        </w:rPr>
        <w:t>（一）机构组成。</w:t>
      </w:r>
    </w:p>
    <w:p w14:paraId="5F5203B7">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渠县青龙镇人民政府为独立核算的行政单位，是一级预算单位。根据编委核定，我镇内设机构10个：设置党政综合办事机构7个，具体为：办公室（内部审计办公室）、党建办公室、综合执法办公室、经济发展办公室（乡村振兴办公室、生态环境办公室）、社会事务办公室、应急管理和社会治理办公室（社会治安综合治理中心）、财政所。公益一类事业单位3个，具体为：便民服务中心（退役军人服务站）、农业综合服务中心（畜牧兽医站）、村镇建设综合服务中心（村镇环境卫生治理中心）。7个行政村及1个社区。</w:t>
      </w:r>
    </w:p>
    <w:p w14:paraId="36BCA8A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zh-CN" w:eastAsia="zh-CN"/>
        </w:rPr>
      </w:pPr>
      <w:r>
        <w:rPr>
          <w:rFonts w:hint="eastAsia" w:ascii="方正楷体_GBK" w:hAnsi="方正楷体_GBK" w:eastAsia="方正楷体_GBK" w:cs="方正楷体_GBK"/>
          <w:color w:val="000000"/>
          <w:kern w:val="0"/>
          <w:sz w:val="32"/>
          <w:szCs w:val="32"/>
          <w:lang w:val="zh-CN" w:eastAsia="zh-CN"/>
        </w:rPr>
        <w:t>（</w:t>
      </w:r>
      <w:r>
        <w:rPr>
          <w:rFonts w:hint="eastAsia" w:ascii="方正楷体_GBK" w:hAnsi="方正楷体_GBK" w:eastAsia="方正楷体_GBK" w:cs="方正楷体_GBK"/>
          <w:color w:val="000000"/>
          <w:kern w:val="0"/>
          <w:sz w:val="32"/>
          <w:szCs w:val="32"/>
          <w:lang w:val="en-US" w:eastAsia="zh-CN"/>
        </w:rPr>
        <w:t>二</w:t>
      </w:r>
      <w:r>
        <w:rPr>
          <w:rFonts w:hint="eastAsia" w:ascii="方正楷体_GBK" w:hAnsi="方正楷体_GBK" w:eastAsia="方正楷体_GBK" w:cs="方正楷体_GBK"/>
          <w:color w:val="000000"/>
          <w:kern w:val="0"/>
          <w:sz w:val="32"/>
          <w:szCs w:val="32"/>
          <w:lang w:val="zh-CN" w:eastAsia="zh-CN"/>
        </w:rPr>
        <w:t>）</w:t>
      </w:r>
      <w:r>
        <w:rPr>
          <w:rFonts w:hint="default" w:ascii="方正楷体_GBK" w:hAnsi="方正楷体_GBK" w:eastAsia="方正楷体_GBK" w:cs="方正楷体_GBK"/>
          <w:color w:val="000000"/>
          <w:kern w:val="0"/>
          <w:sz w:val="32"/>
          <w:szCs w:val="32"/>
          <w:lang w:val="zh-CN" w:eastAsia="zh-CN"/>
        </w:rPr>
        <w:t>机构职能</w:t>
      </w:r>
      <w:r>
        <w:rPr>
          <w:rFonts w:hint="eastAsia" w:ascii="方正楷体_GBK" w:hAnsi="方正楷体_GBK" w:eastAsia="方正楷体_GBK" w:cs="方正楷体_GBK"/>
          <w:color w:val="000000"/>
          <w:kern w:val="0"/>
          <w:sz w:val="32"/>
          <w:szCs w:val="32"/>
          <w:lang w:val="zh-CN" w:eastAsia="zh-CN"/>
        </w:rPr>
        <w:t>。</w:t>
      </w:r>
    </w:p>
    <w:p w14:paraId="50C3093E">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1.落实政策。宣传、落实好党的路线、方针、政策和国家的法律、法规，稳定农村基本经济制度，坚持依法行政，推进政务公开，加强对村民委员会的指导，提高、培育村民委员会自治能力。</w:t>
      </w:r>
    </w:p>
    <w:p w14:paraId="37DA10EF">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2.促进发展。科学制定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14:paraId="058C5E08">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3.维护稳定。坚持“立党为公，执政为民”，紧紧围绕实现和维护群众利益开展工作，突出解决人民群众最关心、最直接、最现实的利益问题。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w:t>
      </w:r>
    </w:p>
    <w:p w14:paraId="32DD26DC">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4.加强管理。加强民政、教育、科技、文化、卫生、计划生育、安全生产、劳动保障和乡村规划等社会管理，加强社会主义精神文明建设，做好防灾减灾工作，加强环境保护，改善农村人居环境，提高农村人口素质和农民生活质量。</w:t>
      </w:r>
    </w:p>
    <w:p w14:paraId="74D14D1D">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5.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14:paraId="64B74496">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zh-CN" w:eastAsia="zh-CN"/>
        </w:rPr>
      </w:pPr>
      <w:r>
        <w:rPr>
          <w:rFonts w:hint="eastAsia" w:ascii="方正楷体_GBK" w:hAnsi="方正楷体_GBK" w:eastAsia="方正楷体_GBK" w:cs="方正楷体_GBK"/>
          <w:color w:val="000000"/>
          <w:kern w:val="0"/>
          <w:sz w:val="32"/>
          <w:szCs w:val="32"/>
          <w:lang w:val="zh-CN" w:eastAsia="zh-CN"/>
        </w:rPr>
        <w:t>（</w:t>
      </w:r>
      <w:r>
        <w:rPr>
          <w:rFonts w:hint="eastAsia" w:ascii="方正楷体_GBK" w:hAnsi="方正楷体_GBK" w:eastAsia="方正楷体_GBK" w:cs="方正楷体_GBK"/>
          <w:color w:val="000000"/>
          <w:kern w:val="0"/>
          <w:sz w:val="32"/>
          <w:szCs w:val="32"/>
          <w:lang w:val="en-US" w:eastAsia="zh-CN"/>
        </w:rPr>
        <w:t>三</w:t>
      </w:r>
      <w:r>
        <w:rPr>
          <w:rFonts w:hint="eastAsia" w:ascii="方正楷体_GBK" w:hAnsi="方正楷体_GBK" w:eastAsia="方正楷体_GBK" w:cs="方正楷体_GBK"/>
          <w:color w:val="000000"/>
          <w:kern w:val="0"/>
          <w:sz w:val="32"/>
          <w:szCs w:val="32"/>
          <w:lang w:val="zh-CN" w:eastAsia="zh-CN"/>
        </w:rPr>
        <w:t>）</w:t>
      </w:r>
      <w:r>
        <w:rPr>
          <w:rFonts w:hint="default" w:ascii="方正楷体_GBK" w:hAnsi="方正楷体_GBK" w:eastAsia="方正楷体_GBK" w:cs="方正楷体_GBK"/>
          <w:color w:val="000000"/>
          <w:kern w:val="0"/>
          <w:sz w:val="32"/>
          <w:szCs w:val="32"/>
          <w:lang w:val="zh-CN" w:eastAsia="zh-CN"/>
        </w:rPr>
        <w:t>人员概况</w:t>
      </w:r>
      <w:r>
        <w:rPr>
          <w:rFonts w:hint="eastAsia" w:ascii="方正楷体_GBK" w:hAnsi="方正楷体_GBK" w:eastAsia="方正楷体_GBK" w:cs="方正楷体_GBK"/>
          <w:color w:val="000000"/>
          <w:kern w:val="0"/>
          <w:sz w:val="32"/>
          <w:szCs w:val="32"/>
          <w:lang w:val="zh-CN" w:eastAsia="zh-CN"/>
        </w:rPr>
        <w:t>。</w:t>
      </w:r>
    </w:p>
    <w:p w14:paraId="2AB0F467">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截至202</w:t>
      </w: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en-US" w:eastAsia="zh-CN"/>
        </w:rPr>
        <w:t>年末，</w:t>
      </w:r>
      <w:r>
        <w:rPr>
          <w:rFonts w:hint="eastAsia" w:ascii="Times New Roman" w:hAnsi="Times New Roman" w:eastAsia="方正仿宋_GBK" w:cs="Times New Roman"/>
          <w:color w:val="000000"/>
          <w:kern w:val="0"/>
          <w:sz w:val="32"/>
          <w:szCs w:val="32"/>
          <w:lang w:val="en-US" w:eastAsia="zh-CN"/>
        </w:rPr>
        <w:t>渠县青龙镇人民政府核定编制人数47人，其中行政编制24人，事业编制20人，工勤编制3名。实际财政供养人员88人，其中在职54人，遗属6人，退休28人（已转由社保局发放退休金）。</w:t>
      </w:r>
    </w:p>
    <w:p w14:paraId="409A589D">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二、部门资金收支情况</w:t>
      </w:r>
    </w:p>
    <w:p w14:paraId="3D90C19A">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ascii="方正楷体_GBK" w:hAnsi="方正楷体_GBK" w:eastAsia="方正楷体_GBK" w:cs="方正楷体_GBK"/>
          <w:color w:val="000000"/>
          <w:kern w:val="0"/>
          <w:sz w:val="32"/>
          <w:szCs w:val="32"/>
          <w:highlight w:val="none"/>
          <w:lang w:val="zh-CN" w:eastAsia="zh-CN"/>
        </w:rPr>
        <w:t>（一）收入情况。</w:t>
      </w:r>
    </w:p>
    <w:p w14:paraId="3A23398C">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000000"/>
          <w:kern w:val="0"/>
          <w:sz w:val="32"/>
          <w:szCs w:val="32"/>
          <w:highlight w:val="none"/>
          <w:lang w:val="en-US" w:eastAsia="zh-CN"/>
        </w:rPr>
        <w:t>1.青龙镇2024年部门年初预算收入为1357万元。其中：一般公共预算财政拨款收入1294.7万元，占95.41%；政府性基金预算财政拨款收入62万元，占4.57%；国有资本经营预算财政拨款收入0.3万元，占0.02%。年中预算调整增加收入378.12万元，调整后财</w:t>
      </w:r>
      <w:r>
        <w:rPr>
          <w:rFonts w:hint="eastAsia" w:ascii="Times New Roman" w:hAnsi="Times New Roman" w:eastAsia="方正仿宋_GBK" w:cs="Times New Roman"/>
          <w:color w:val="auto"/>
          <w:kern w:val="0"/>
          <w:sz w:val="32"/>
          <w:szCs w:val="32"/>
          <w:highlight w:val="none"/>
          <w:lang w:val="en-US" w:eastAsia="zh-CN"/>
        </w:rPr>
        <w:t>政拨款收入为1735.12万元。</w:t>
      </w:r>
    </w:p>
    <w:p w14:paraId="652FF74A">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zh-CN" w:eastAsia="zh-CN"/>
        </w:rPr>
      </w:pPr>
      <w:r>
        <w:rPr>
          <w:rFonts w:hint="eastAsia" w:ascii="Times New Roman" w:hAnsi="Times New Roman" w:eastAsia="方正仿宋_GBK" w:cs="Times New Roman"/>
          <w:color w:val="auto"/>
          <w:kern w:val="0"/>
          <w:sz w:val="32"/>
          <w:szCs w:val="32"/>
          <w:highlight w:val="none"/>
          <w:lang w:val="en-US" w:eastAsia="zh-CN"/>
        </w:rPr>
        <w:t>2.青龙镇2024年部门决算报表收入1735.12万元。其中：一般公共预算财政拨款收入1392.38万元，占80.25%；政府性基金预算财政拨款收入342.44万元，占19.73%；国有资本经营预算财政拨款收入0.3万元，占0.02%；预算收入执行率达100%。</w:t>
      </w:r>
    </w:p>
    <w:p w14:paraId="796748F3">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zh-CN" w:eastAsia="zh-CN"/>
        </w:rPr>
      </w:pPr>
      <w:r>
        <w:rPr>
          <w:rFonts w:hint="eastAsia" w:ascii="方正楷体_GBK" w:hAnsi="方正楷体_GBK" w:eastAsia="方正楷体_GBK" w:cs="方正楷体_GBK"/>
          <w:color w:val="auto"/>
          <w:kern w:val="0"/>
          <w:sz w:val="32"/>
          <w:szCs w:val="32"/>
          <w:highlight w:val="none"/>
          <w:lang w:val="zh-CN" w:eastAsia="zh-CN"/>
        </w:rPr>
        <w:t>（</w:t>
      </w:r>
      <w:r>
        <w:rPr>
          <w:rFonts w:hint="eastAsia" w:ascii="方正楷体_GBK" w:hAnsi="方正楷体_GBK" w:eastAsia="方正楷体_GBK" w:cs="方正楷体_GBK"/>
          <w:color w:val="auto"/>
          <w:kern w:val="0"/>
          <w:sz w:val="32"/>
          <w:szCs w:val="32"/>
          <w:highlight w:val="none"/>
          <w:lang w:val="en-US" w:eastAsia="zh-CN"/>
        </w:rPr>
        <w:t>二</w:t>
      </w:r>
      <w:r>
        <w:rPr>
          <w:rFonts w:hint="eastAsia" w:ascii="方正楷体_GBK" w:hAnsi="方正楷体_GBK" w:eastAsia="方正楷体_GBK" w:cs="方正楷体_GBK"/>
          <w:color w:val="auto"/>
          <w:kern w:val="0"/>
          <w:sz w:val="32"/>
          <w:szCs w:val="32"/>
          <w:highlight w:val="none"/>
          <w:lang w:val="zh-CN" w:eastAsia="zh-CN"/>
        </w:rPr>
        <w:t>）支出情况</w:t>
      </w:r>
      <w:r>
        <w:rPr>
          <w:rFonts w:hint="default" w:ascii="方正楷体_GBK" w:hAnsi="方正楷体_GBK" w:eastAsia="方正楷体_GBK" w:cs="方正楷体_GBK"/>
          <w:color w:val="auto"/>
          <w:kern w:val="0"/>
          <w:sz w:val="32"/>
          <w:szCs w:val="32"/>
          <w:highlight w:val="none"/>
          <w:lang w:val="zh-CN" w:eastAsia="zh-CN"/>
        </w:rPr>
        <w:t>。</w:t>
      </w:r>
    </w:p>
    <w:p w14:paraId="42E8053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1.青龙镇2024年年初预算支出1357万元。其中：基本支出1099.38万元，占81.02%；项目支出257.62万元，占18.98%；</w:t>
      </w:r>
    </w:p>
    <w:p w14:paraId="61C01629">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zh-CN" w:eastAsia="zh-CN"/>
        </w:rPr>
      </w:pPr>
      <w:r>
        <w:rPr>
          <w:rFonts w:hint="eastAsia" w:ascii="Times New Roman" w:hAnsi="Times New Roman" w:eastAsia="方正仿宋_GBK" w:cs="Times New Roman"/>
          <w:color w:val="auto"/>
          <w:kern w:val="0"/>
          <w:sz w:val="32"/>
          <w:szCs w:val="32"/>
          <w:highlight w:val="none"/>
          <w:lang w:val="en-US" w:eastAsia="zh-CN"/>
        </w:rPr>
        <w:t>2.决算报表支出1735.12万元。其中：基本支出1165.31万元，占67.16%；项目支出569.81万元，占32.84%；上缴上级支出0万元，占0%；经营支出0万元，占0%；对附属单位补助支出0万元，占0%；预算整体支出进度100%。</w:t>
      </w:r>
    </w:p>
    <w:p w14:paraId="5D7FD137">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zh-CN" w:eastAsia="zh-CN"/>
        </w:rPr>
        <w:t>（三）</w:t>
      </w:r>
      <w:r>
        <w:rPr>
          <w:rFonts w:hint="default" w:ascii="方正楷体_GBK" w:hAnsi="方正楷体_GBK" w:eastAsia="方正楷体_GBK" w:cs="方正楷体_GBK"/>
          <w:color w:val="auto"/>
          <w:kern w:val="0"/>
          <w:sz w:val="32"/>
          <w:szCs w:val="32"/>
          <w:highlight w:val="none"/>
          <w:lang w:val="en-US" w:eastAsia="zh-CN"/>
        </w:rPr>
        <w:t>结余分配和结转结余情况</w:t>
      </w:r>
      <w:r>
        <w:rPr>
          <w:rFonts w:hint="eastAsia" w:ascii="方正楷体_GBK" w:hAnsi="方正楷体_GBK" w:eastAsia="方正楷体_GBK" w:cs="方正楷体_GBK"/>
          <w:color w:val="auto"/>
          <w:kern w:val="0"/>
          <w:sz w:val="32"/>
          <w:szCs w:val="32"/>
          <w:highlight w:val="none"/>
          <w:lang w:val="en-US" w:eastAsia="zh-CN"/>
        </w:rPr>
        <w:t>。</w:t>
      </w:r>
    </w:p>
    <w:p w14:paraId="32356F0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2024年，实际收入金额为1735.12万元，实际支出金额为1735.12万元，年末结转结余0万元。</w:t>
      </w:r>
    </w:p>
    <w:p w14:paraId="24AACC9C">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三、部门预算绩效分析</w:t>
      </w:r>
    </w:p>
    <w:p w14:paraId="558C689F">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方正楷体_GBK" w:hAnsi="方正楷体_GBK" w:eastAsia="方正楷体_GBK" w:cs="方正楷体_GBK"/>
          <w:color w:val="000000"/>
          <w:kern w:val="0"/>
          <w:sz w:val="32"/>
          <w:szCs w:val="32"/>
          <w:lang w:val="zh-CN" w:eastAsia="zh-CN"/>
        </w:rPr>
      </w:pPr>
      <w:r>
        <w:rPr>
          <w:rFonts w:hint="default" w:ascii="方正楷体_GBK" w:hAnsi="方正楷体_GBK" w:eastAsia="方正楷体_GBK" w:cs="方正楷体_GBK"/>
          <w:color w:val="000000"/>
          <w:kern w:val="0"/>
          <w:sz w:val="32"/>
          <w:szCs w:val="32"/>
          <w:lang w:val="zh-CN" w:eastAsia="zh-CN"/>
        </w:rPr>
        <w:t>（一）</w:t>
      </w:r>
      <w:r>
        <w:rPr>
          <w:rFonts w:hint="eastAsia" w:ascii="方正楷体_GBK" w:hAnsi="方正楷体_GBK" w:eastAsia="方正楷体_GBK" w:cs="方正楷体_GBK"/>
          <w:color w:val="000000"/>
          <w:kern w:val="0"/>
          <w:sz w:val="32"/>
          <w:szCs w:val="32"/>
          <w:lang w:val="zh-CN" w:eastAsia="zh-CN"/>
        </w:rPr>
        <w:t>部门预算</w:t>
      </w:r>
      <w:r>
        <w:rPr>
          <w:rFonts w:hint="default" w:ascii="方正楷体_GBK" w:hAnsi="方正楷体_GBK" w:eastAsia="方正楷体_GBK" w:cs="方正楷体_GBK"/>
          <w:color w:val="000000"/>
          <w:kern w:val="0"/>
          <w:sz w:val="32"/>
          <w:szCs w:val="32"/>
          <w:lang w:val="zh-CN" w:eastAsia="zh-CN"/>
        </w:rPr>
        <w:t>总体绩效分析。</w:t>
      </w:r>
    </w:p>
    <w:p w14:paraId="4488155E">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部门预算绩效自评满分100分，自评得分</w:t>
      </w:r>
      <w:r>
        <w:rPr>
          <w:rFonts w:hint="eastAsia" w:ascii="Times New Roman" w:hAnsi="Times New Roman" w:eastAsia="方正仿宋_GBK" w:cs="Times New Roman"/>
          <w:color w:val="auto"/>
          <w:kern w:val="0"/>
          <w:sz w:val="32"/>
          <w:szCs w:val="32"/>
          <w:highlight w:val="none"/>
          <w:lang w:val="en-US" w:eastAsia="zh-CN"/>
        </w:rPr>
        <w:t>97</w:t>
      </w:r>
      <w:r>
        <w:rPr>
          <w:rFonts w:hint="default" w:ascii="Times New Roman" w:hAnsi="Times New Roman" w:eastAsia="方正仿宋_GBK" w:cs="Times New Roman"/>
          <w:color w:val="auto"/>
          <w:kern w:val="0"/>
          <w:sz w:val="32"/>
          <w:szCs w:val="32"/>
          <w:highlight w:val="none"/>
          <w:lang w:val="en-US" w:eastAsia="zh-CN"/>
        </w:rPr>
        <w:t>分。</w:t>
      </w:r>
    </w:p>
    <w:p w14:paraId="7558A47A">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1.</w:t>
      </w:r>
      <w:r>
        <w:rPr>
          <w:rFonts w:hint="eastAsia" w:ascii="Times New Roman" w:hAnsi="Times New Roman" w:eastAsia="方正仿宋_GBK" w:cs="Times New Roman"/>
          <w:color w:val="000000"/>
          <w:kern w:val="0"/>
          <w:sz w:val="32"/>
          <w:szCs w:val="32"/>
          <w:lang w:val="zh-CN" w:eastAsia="zh-CN"/>
        </w:rPr>
        <w:t>履职效能。</w:t>
      </w:r>
      <w:r>
        <w:rPr>
          <w:rFonts w:hint="default" w:ascii="Times New Roman" w:hAnsi="Times New Roman" w:eastAsia="方正仿宋_GBK" w:cs="Times New Roman"/>
          <w:color w:val="000000"/>
          <w:kern w:val="0"/>
          <w:sz w:val="32"/>
          <w:szCs w:val="32"/>
          <w:lang w:val="zh-CN" w:eastAsia="zh-CN"/>
        </w:rPr>
        <w:t>（15分）</w:t>
      </w:r>
    </w:p>
    <w:p w14:paraId="4A8E0D3E">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（1）预算编审履职效果（5分）</w:t>
      </w:r>
    </w:p>
    <w:p w14:paraId="479A1AAE">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一是单位预算编制完整，收入来源编报齐全，编报数据准确。二是项目绩效目标编制完整合理；明确量化，覆盖率达到年度要求。</w:t>
      </w:r>
    </w:p>
    <w:p w14:paraId="2AFA40B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预算编审履职效果</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满分5分，自评得分5分。</w:t>
      </w:r>
    </w:p>
    <w:p w14:paraId="0C7A008A">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（2）预算执行履职效果（5分）</w:t>
      </w:r>
    </w:p>
    <w:p w14:paraId="71CCCD52">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一是2024年年初预算资金</w:t>
      </w:r>
      <w:r>
        <w:rPr>
          <w:rFonts w:hint="eastAsia" w:ascii="Times New Roman" w:hAnsi="Times New Roman" w:eastAsia="方正仿宋_GBK" w:cs="Times New Roman"/>
          <w:color w:val="auto"/>
          <w:kern w:val="0"/>
          <w:sz w:val="32"/>
          <w:szCs w:val="32"/>
          <w:highlight w:val="none"/>
          <w:lang w:val="en-US" w:eastAsia="zh-CN"/>
        </w:rPr>
        <w:t>1357万元</w:t>
      </w:r>
      <w:r>
        <w:rPr>
          <w:rFonts w:hint="default" w:ascii="Times New Roman" w:hAnsi="Times New Roman" w:eastAsia="方正仿宋_GBK" w:cs="Times New Roman"/>
          <w:color w:val="auto"/>
          <w:kern w:val="0"/>
          <w:sz w:val="32"/>
          <w:szCs w:val="32"/>
          <w:highlight w:val="none"/>
          <w:lang w:val="en-US" w:eastAsia="zh-CN"/>
        </w:rPr>
        <w:t>，预算完成率100%，二是2024年实际执行金额</w:t>
      </w:r>
      <w:r>
        <w:rPr>
          <w:rFonts w:hint="eastAsia" w:ascii="Times New Roman" w:hAnsi="Times New Roman" w:eastAsia="方正仿宋_GBK" w:cs="Times New Roman"/>
          <w:color w:val="auto"/>
          <w:kern w:val="0"/>
          <w:sz w:val="32"/>
          <w:szCs w:val="32"/>
          <w:highlight w:val="none"/>
          <w:lang w:val="en-US" w:eastAsia="zh-CN"/>
        </w:rPr>
        <w:t>1735.12万元</w:t>
      </w:r>
      <w:r>
        <w:rPr>
          <w:rFonts w:hint="default" w:ascii="Times New Roman" w:hAnsi="Times New Roman" w:eastAsia="方正仿宋_GBK" w:cs="Times New Roman"/>
          <w:color w:val="auto"/>
          <w:kern w:val="0"/>
          <w:sz w:val="32"/>
          <w:szCs w:val="32"/>
          <w:highlight w:val="none"/>
          <w:lang w:val="en-US" w:eastAsia="zh-CN"/>
        </w:rPr>
        <w:t>，执行调整预算完成率100%，因年中工作任务增加，按规定程序追加预算并执行</w:t>
      </w:r>
      <w:r>
        <w:rPr>
          <w:rFonts w:hint="default" w:ascii="Times New Roman" w:hAnsi="Times New Roman" w:eastAsia="方正仿宋_GBK" w:cs="Times New Roman"/>
          <w:color w:val="auto"/>
          <w:kern w:val="0"/>
          <w:sz w:val="32"/>
          <w:szCs w:val="32"/>
          <w:highlight w:val="none"/>
          <w:lang w:val="en-US" w:eastAsia="zh-CN"/>
        </w:rPr>
        <w:t>。三是三公经费支出控制在预算内。</w:t>
      </w:r>
    </w:p>
    <w:p w14:paraId="094300C2">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预算执行履职效果</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满分5分，自评得分5分。</w:t>
      </w:r>
    </w:p>
    <w:p w14:paraId="17035CA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（3）预决算信息公开履职效果（5分）</w:t>
      </w:r>
    </w:p>
    <w:p w14:paraId="3B796E5A">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一是我镇已按规定内容和时限公开预决算信息；二是我镇提供的基础数据信息和会计信息资料真实、完整、准确。</w:t>
      </w:r>
    </w:p>
    <w:p w14:paraId="131196B5">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预决算信息公开履职效果</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满分5分，自评得分5分。</w:t>
      </w:r>
    </w:p>
    <w:p w14:paraId="5A68E14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lang w:val="zh-CN" w:eastAsia="zh-CN"/>
        </w:rPr>
        <w:t>预算管理</w:t>
      </w:r>
      <w:r>
        <w:rPr>
          <w:rFonts w:hint="eastAsia"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zh-CN" w:eastAsia="zh-CN"/>
        </w:rPr>
        <w:t>（25分）</w:t>
      </w:r>
    </w:p>
    <w:p w14:paraId="0712B0E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lang w:val="en-US" w:eastAsia="zh-CN"/>
        </w:rPr>
        <w:t>预算编制质量</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8分）</w:t>
      </w:r>
    </w:p>
    <w:p w14:paraId="7E758CE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调整预算编制口径，确保基本支出足额预算编制。严格落实过紧日子要求，推进预算安排与绩效目标深度融合，综合衡量政策和项目预算资金使用结果，大力削减低效无效资金。单位预算的编制采用零基预算方法。在预算编制时，根据上年度的预算执行情况和本年度经济发展情况，综合考虑各方面因素，编制本部门预算。</w:t>
      </w:r>
    </w:p>
    <w:p w14:paraId="1B2CC069">
      <w:pPr>
        <w:numPr>
          <w:ilvl w:val="0"/>
          <w:numId w:val="0"/>
        </w:numPr>
        <w:adjustRightInd w:val="0"/>
        <w:spacing w:line="578" w:lineRule="exact"/>
        <w:ind w:firstLine="640" w:firstLineChars="200"/>
        <w:contextualSpacing/>
        <w:outlineLvl w:val="9"/>
        <w:rPr>
          <w:rFonts w:hint="default" w:ascii="Times New Roman" w:hAnsi="Times New Roman" w:eastAsia="宋体" w:cs="Times New Roman"/>
          <w:color w:val="auto"/>
          <w:sz w:val="18"/>
          <w:szCs w:val="24"/>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lang w:val="en-US" w:eastAsia="zh-CN"/>
        </w:rPr>
        <w:t>预算编制质量</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满分8分，自评得分8分。</w:t>
      </w:r>
    </w:p>
    <w:p w14:paraId="5AC1AEA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（2）单位收入统筹</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4分）</w:t>
      </w:r>
    </w:p>
    <w:p w14:paraId="15B0B1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2024年本单位无自有收入情况。</w:t>
      </w:r>
    </w:p>
    <w:p w14:paraId="65D8C8A8">
      <w:pPr>
        <w:numPr>
          <w:ilvl w:val="0"/>
          <w:numId w:val="0"/>
        </w:numPr>
        <w:adjustRightInd w:val="0"/>
        <w:spacing w:line="578" w:lineRule="exact"/>
        <w:ind w:firstLine="640" w:firstLineChars="200"/>
        <w:contextualSpacing/>
        <w:outlineLvl w:val="9"/>
        <w:rPr>
          <w:rFonts w:hint="default" w:ascii="Times New Roman" w:hAnsi="Times New Roman" w:eastAsia="宋体" w:cs="Times New Roman"/>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单位收入统筹</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满分4分，自评得分4分。</w:t>
      </w:r>
    </w:p>
    <w:p w14:paraId="0C315C9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（3）支出执行进度</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6分）</w:t>
      </w:r>
    </w:p>
    <w:p w14:paraId="5ADD9B5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宋体" w:cs="Times New Roman"/>
          <w:kern w:val="2"/>
          <w:sz w:val="18"/>
          <w:szCs w:val="24"/>
          <w:shd w:val="clear"/>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预算执行执行率100%</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支出执行进度</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满分6分，自评得分6分。</w:t>
      </w:r>
    </w:p>
    <w:p w14:paraId="6181B50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val="zh-CN"/>
        </w:rPr>
        <w:t>预算年终结余（</w:t>
      </w:r>
      <w:r>
        <w:rPr>
          <w:rFonts w:hint="default" w:ascii="Times New Roman" w:hAnsi="Times New Roman" w:eastAsia="方正仿宋_GBK" w:cs="Times New Roman"/>
          <w:color w:val="000000"/>
          <w:kern w:val="0"/>
          <w:sz w:val="32"/>
          <w:szCs w:val="32"/>
          <w:highlight w:val="none"/>
          <w:shd w:val="clear" w:color="auto" w:fill="FFFFFF"/>
          <w:lang w:val="en-US" w:eastAsia="zh-CN"/>
        </w:rPr>
        <w:t>2分）</w:t>
      </w:r>
    </w:p>
    <w:p w14:paraId="6FD39A95">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auto"/>
          <w:kern w:val="0"/>
          <w:sz w:val="32"/>
          <w:szCs w:val="32"/>
          <w:highlight w:val="none"/>
          <w:lang w:val="zh-CN" w:eastAsia="zh-CN"/>
        </w:rPr>
        <w:t>渠县</w:t>
      </w:r>
      <w:r>
        <w:rPr>
          <w:rFonts w:hint="eastAsia" w:ascii="Times New Roman" w:hAnsi="Times New Roman" w:eastAsia="方正仿宋_GBK" w:cs="Times New Roman"/>
          <w:color w:val="auto"/>
          <w:kern w:val="0"/>
          <w:sz w:val="32"/>
          <w:szCs w:val="32"/>
          <w:highlight w:val="none"/>
          <w:lang w:val="en-US" w:eastAsia="zh-CN"/>
        </w:rPr>
        <w:t>青龙</w:t>
      </w:r>
      <w:r>
        <w:rPr>
          <w:rFonts w:hint="eastAsia" w:ascii="Times New Roman" w:hAnsi="Times New Roman" w:eastAsia="方正仿宋_GBK" w:cs="Times New Roman"/>
          <w:color w:val="auto"/>
          <w:kern w:val="0"/>
          <w:sz w:val="32"/>
          <w:szCs w:val="32"/>
          <w:highlight w:val="none"/>
          <w:lang w:val="zh-CN" w:eastAsia="zh-CN"/>
        </w:rPr>
        <w:t>镇人民政府202</w:t>
      </w:r>
      <w:r>
        <w:rPr>
          <w:rFonts w:hint="eastAsia" w:ascii="Times New Roman" w:hAnsi="Times New Roman"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kern w:val="0"/>
          <w:sz w:val="32"/>
          <w:szCs w:val="32"/>
          <w:highlight w:val="none"/>
          <w:lang w:val="zh-CN" w:eastAsia="zh-CN"/>
        </w:rPr>
        <w:t>年预算收入合计</w:t>
      </w:r>
      <w:r>
        <w:rPr>
          <w:rFonts w:hint="eastAsia" w:ascii="Times New Roman" w:hAnsi="Times New Roman" w:eastAsia="方正仿宋_GBK" w:cs="Times New Roman"/>
          <w:color w:val="auto"/>
          <w:kern w:val="0"/>
          <w:sz w:val="32"/>
          <w:szCs w:val="32"/>
          <w:highlight w:val="none"/>
          <w:lang w:val="en-US" w:eastAsia="zh-CN"/>
        </w:rPr>
        <w:t>1735.12</w:t>
      </w:r>
      <w:r>
        <w:rPr>
          <w:rFonts w:hint="eastAsia" w:ascii="Times New Roman" w:hAnsi="Times New Roman" w:eastAsia="方正仿宋_GBK" w:cs="Times New Roman"/>
          <w:color w:val="auto"/>
          <w:kern w:val="0"/>
          <w:sz w:val="32"/>
          <w:szCs w:val="32"/>
          <w:highlight w:val="none"/>
          <w:lang w:val="zh-CN" w:eastAsia="zh-CN"/>
        </w:rPr>
        <w:t>万元，支出合计</w:t>
      </w:r>
      <w:r>
        <w:rPr>
          <w:rFonts w:hint="eastAsia" w:ascii="Times New Roman" w:hAnsi="Times New Roman" w:eastAsia="方正仿宋_GBK" w:cs="Times New Roman"/>
          <w:color w:val="auto"/>
          <w:kern w:val="0"/>
          <w:sz w:val="32"/>
          <w:szCs w:val="32"/>
          <w:highlight w:val="none"/>
          <w:lang w:val="en-US" w:eastAsia="zh-CN"/>
        </w:rPr>
        <w:t>1735.12</w:t>
      </w:r>
      <w:r>
        <w:rPr>
          <w:rFonts w:hint="eastAsia" w:ascii="Times New Roman" w:hAnsi="Times New Roman" w:eastAsia="方正仿宋_GBK" w:cs="Times New Roman"/>
          <w:color w:val="auto"/>
          <w:kern w:val="0"/>
          <w:sz w:val="32"/>
          <w:szCs w:val="32"/>
          <w:highlight w:val="none"/>
          <w:lang w:val="zh-CN" w:eastAsia="zh-CN"/>
        </w:rPr>
        <w:t>万元，无预算结余。</w:t>
      </w:r>
    </w:p>
    <w:p w14:paraId="14A32975">
      <w:pPr>
        <w:numPr>
          <w:ilvl w:val="0"/>
          <w:numId w:val="0"/>
        </w:numPr>
        <w:adjustRightInd w:val="0"/>
        <w:spacing w:line="578" w:lineRule="exact"/>
        <w:ind w:firstLine="640" w:firstLineChars="200"/>
        <w:contextualSpacing/>
        <w:outlineLvl w:val="9"/>
        <w:rPr>
          <w:rFonts w:hint="default" w:ascii="Times New Roman" w:hAnsi="Times New Roman" w:eastAsia="宋体" w:cs="Times New Roman"/>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预算年终结余</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满分2分，自评得分2分。</w:t>
      </w:r>
    </w:p>
    <w:p w14:paraId="4CF2D7D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（5）</w:t>
      </w:r>
      <w:r>
        <w:rPr>
          <w:rFonts w:hint="default" w:ascii="Times New Roman" w:hAnsi="Times New Roman" w:eastAsia="方正仿宋_GBK" w:cs="Times New Roman"/>
          <w:color w:val="000000"/>
          <w:kern w:val="0"/>
          <w:sz w:val="32"/>
          <w:szCs w:val="32"/>
          <w:highlight w:val="none"/>
          <w:shd w:val="clear" w:color="auto" w:fill="FFFFFF"/>
          <w:lang w:val="zh-CN"/>
        </w:rPr>
        <w:t>严控一般性支出（</w:t>
      </w:r>
      <w:r>
        <w:rPr>
          <w:rFonts w:hint="default" w:ascii="Times New Roman" w:hAnsi="Times New Roman" w:eastAsia="方正仿宋_GBK" w:cs="Times New Roman"/>
          <w:color w:val="000000"/>
          <w:kern w:val="0"/>
          <w:sz w:val="32"/>
          <w:szCs w:val="32"/>
          <w:highlight w:val="none"/>
          <w:shd w:val="clear" w:color="auto" w:fill="FFFFFF"/>
          <w:lang w:val="en-US" w:eastAsia="zh-CN"/>
        </w:rPr>
        <w:t>5分）</w:t>
      </w:r>
    </w:p>
    <w:p w14:paraId="24C8B23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三公</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经费、会议、培训、差旅、办公费、办公设备购置、信息网络及软件购置更新等一般性支出均控制在预算范围内，并较上年有所压减，严格执行了严控一般性支出的要求</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严控一般性支出</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满分5分，自评得分5分。</w:t>
      </w:r>
    </w:p>
    <w:p w14:paraId="777CB0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eastAsia"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val="zh-CN" w:eastAsia="zh-CN"/>
        </w:rPr>
        <w:t>财务管理</w:t>
      </w:r>
      <w:r>
        <w:rPr>
          <w:rFonts w:hint="eastAsia"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10分）</w:t>
      </w:r>
    </w:p>
    <w:p w14:paraId="2CEB290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管理制度健全性（4分）</w:t>
      </w:r>
    </w:p>
    <w:p w14:paraId="04014F1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已制定预算资金管理办法、内控财务管理制度、会计核算制度、政府采购制度、国有资产管理办法、绩效评估内部控制制度等相关制度，规章制度合法、合规、完整，均得到有效执行。</w:t>
      </w:r>
    </w:p>
    <w:p w14:paraId="6CF5432E">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宋体" w:cs="Times New Roman"/>
          <w:b w:val="0"/>
          <w:bCs w:val="0"/>
          <w:color w:val="000000"/>
          <w:kern w:val="2"/>
          <w:sz w:val="18"/>
          <w:szCs w:val="24"/>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管理制度健全性</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满分4分，自评得分4分。</w:t>
      </w:r>
    </w:p>
    <w:p w14:paraId="298053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财务岗位设置（2分）</w:t>
      </w:r>
    </w:p>
    <w:p w14:paraId="07645C7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按照相关财务管理制度要求，明确责任分工，建立内部制衡机制。根据工作需要，按照不相容岗位不能一人兼任的原则，设置了财务、业务、核查等，在其内部再进行岗位细分，并建立岗位责任制度，形成责任明确、相互制约的内部制衡机制。</w:t>
      </w:r>
    </w:p>
    <w:p w14:paraId="600BF88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财务岗位设置</w:t>
      </w:r>
      <w:r>
        <w:rPr>
          <w:rFonts w:hint="eastAsia" w:ascii="Times New Roman" w:hAnsi="Times New Roman" w:eastAsia="方正仿宋_GBK" w:cs="Times New Roman"/>
          <w:b w:val="0"/>
          <w:bCs w:val="0"/>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满分2分，自评得分2分。</w:t>
      </w:r>
    </w:p>
    <w:p w14:paraId="26ADA9A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（3）资金使用合规性（4分）</w:t>
      </w:r>
    </w:p>
    <w:p w14:paraId="5D429F4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严格按照《会计法》、《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w:t>
      </w:r>
      <w:r>
        <w:rPr>
          <w:rFonts w:hint="eastAsia" w:ascii="Times New Roman" w:hAnsi="Times New Roman" w:eastAsia="方正仿宋_GBK" w:cs="Times New Roman"/>
          <w:b w:val="0"/>
          <w:bCs w:val="0"/>
          <w:color w:val="000000"/>
          <w:kern w:val="0"/>
          <w:sz w:val="32"/>
          <w:szCs w:val="32"/>
          <w:highlight w:val="none"/>
          <w:shd w:val="clear" w:color="auto" w:fill="FFFFFF"/>
          <w:lang w:val="en-US" w:eastAsia="zh-CN"/>
        </w:rPr>
        <w:t>拨付</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有完整的审批程序和手续，项目的重大开支均经过评估论证，符合部门预算批复的用途，不存在截留、挤占、挪用、虚列支出等情况。</w:t>
      </w:r>
    </w:p>
    <w:p w14:paraId="72361A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pPr>
      <w:r>
        <w:rPr>
          <w:rFonts w:hint="eastAsia" w:ascii="Times New Roman" w:hAnsi="Times New Roman" w:eastAsia="方正仿宋_GBK" w:cs="Times New Roman"/>
          <w:b w:val="0"/>
          <w:bCs w:val="0"/>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资金使用合规性</w:t>
      </w:r>
      <w:r>
        <w:rPr>
          <w:rFonts w:hint="eastAsia" w:ascii="Times New Roman" w:hAnsi="Times New Roman" w:eastAsia="方正仿宋_GBK" w:cs="Times New Roman"/>
          <w:b w:val="0"/>
          <w:bCs w:val="0"/>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满分4分，自评得分4分。</w:t>
      </w:r>
    </w:p>
    <w:p w14:paraId="0317252F">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zh-CN" w:eastAsia="zh-CN"/>
        </w:rPr>
        <w:t>资产管理</w:t>
      </w:r>
      <w:r>
        <w:rPr>
          <w:rFonts w:hint="eastAsia"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9分）</w:t>
      </w:r>
    </w:p>
    <w:p w14:paraId="78E45590">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资产保存完整、配置合理、处置规范，资产账务管理合规，账实相符</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资产有偿使用及处置收入及时足额上缴。</w:t>
      </w:r>
    </w:p>
    <w:p w14:paraId="3173F73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lang w:val="zh-CN" w:eastAsia="zh-CN"/>
        </w:rPr>
        <w:t>人均资产变化率（</w:t>
      </w:r>
      <w:r>
        <w:rPr>
          <w:rFonts w:hint="default" w:ascii="Times New Roman" w:hAnsi="Times New Roman" w:eastAsia="方正仿宋_GBK" w:cs="Times New Roman"/>
          <w:color w:val="000000"/>
          <w:kern w:val="0"/>
          <w:sz w:val="32"/>
          <w:szCs w:val="32"/>
          <w:lang w:val="en-US" w:eastAsia="zh-CN"/>
        </w:rPr>
        <w:t>3分）</w:t>
      </w:r>
    </w:p>
    <w:p w14:paraId="7AB4FE3A">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zh-CN" w:eastAsia="zh-CN"/>
        </w:rPr>
        <w:t>人均资产变化率</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满分3分，自评得分3分。</w:t>
      </w:r>
    </w:p>
    <w:p w14:paraId="3E68815D">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zh-CN" w:eastAsia="zh-CN"/>
        </w:rPr>
      </w:pP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lang w:val="zh-CN" w:eastAsia="zh-CN"/>
        </w:rPr>
        <w:t>固定资产利用率（</w:t>
      </w:r>
      <w:r>
        <w:rPr>
          <w:rFonts w:hint="default" w:ascii="Times New Roman" w:hAnsi="Times New Roman" w:eastAsia="方正仿宋_GBK" w:cs="Times New Roman"/>
          <w:color w:val="000000"/>
          <w:kern w:val="0"/>
          <w:sz w:val="32"/>
          <w:szCs w:val="32"/>
          <w:lang w:val="en-US" w:eastAsia="zh-CN"/>
        </w:rPr>
        <w:t>3分）</w:t>
      </w:r>
    </w:p>
    <w:p w14:paraId="76FFF1D0">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zh-CN" w:eastAsia="zh-CN"/>
        </w:rPr>
        <w:t>固定资产利用率</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满分3分，自评得分3分。</w:t>
      </w:r>
    </w:p>
    <w:p w14:paraId="6D80E80D">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val="zh-CN" w:eastAsia="zh-CN"/>
        </w:rPr>
        <w:t>资产盘活率（</w:t>
      </w:r>
      <w:r>
        <w:rPr>
          <w:rFonts w:hint="default" w:ascii="Times New Roman" w:hAnsi="Times New Roman" w:eastAsia="方正仿宋_GBK" w:cs="Times New Roman"/>
          <w:color w:val="000000"/>
          <w:kern w:val="0"/>
          <w:sz w:val="32"/>
          <w:szCs w:val="32"/>
          <w:lang w:val="en-US" w:eastAsia="zh-CN"/>
        </w:rPr>
        <w:t>3分）</w:t>
      </w:r>
    </w:p>
    <w:p w14:paraId="48C448F7">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截止2024年12月底，本单位无闲置资产。</w:t>
      </w:r>
      <w:r>
        <w:rPr>
          <w:rFonts w:hint="default" w:ascii="Times New Roman" w:hAnsi="Times New Roman" w:eastAsia="方正仿宋_GBK" w:cs="Times New Roman"/>
          <w:color w:val="000000"/>
          <w:kern w:val="0"/>
          <w:sz w:val="32"/>
          <w:szCs w:val="32"/>
          <w:lang w:val="zh-CN" w:eastAsia="zh-CN"/>
        </w:rPr>
        <w:t>盘活率</w:t>
      </w:r>
      <w:r>
        <w:rPr>
          <w:rFonts w:hint="default" w:ascii="Times New Roman" w:hAnsi="Times New Roman" w:eastAsia="方正仿宋_GBK" w:cs="Times New Roman"/>
          <w:color w:val="000000"/>
          <w:kern w:val="0"/>
          <w:sz w:val="32"/>
          <w:szCs w:val="32"/>
          <w:lang w:val="en-US" w:eastAsia="zh-CN"/>
        </w:rPr>
        <w:t>100%。</w:t>
      </w:r>
    </w:p>
    <w:p w14:paraId="5402E88E">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zh-CN" w:eastAsia="zh-CN"/>
        </w:rPr>
        <w:t>资产盘活率</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满分3分，自评得分3分。</w:t>
      </w:r>
    </w:p>
    <w:p w14:paraId="5BFCED7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val="zh-CN" w:eastAsia="zh-CN"/>
        </w:rPr>
        <w:t>采购管理</w:t>
      </w:r>
      <w:r>
        <w:rPr>
          <w:rFonts w:hint="eastAsia"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6分）</w:t>
      </w:r>
    </w:p>
    <w:p w14:paraId="35AA16A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lang w:val="zh-CN" w:eastAsia="zh-CN"/>
        </w:rPr>
      </w:pP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lang w:val="zh-CN" w:eastAsia="zh-CN"/>
        </w:rPr>
        <w:t>支持中小企业发展（</w:t>
      </w:r>
      <w:r>
        <w:rPr>
          <w:rFonts w:hint="default" w:ascii="Times New Roman" w:hAnsi="Times New Roman" w:eastAsia="方正仿宋_GBK" w:cs="Times New Roman"/>
          <w:color w:val="000000"/>
          <w:kern w:val="0"/>
          <w:sz w:val="32"/>
          <w:szCs w:val="32"/>
          <w:lang w:val="en-US" w:eastAsia="zh-CN"/>
        </w:rPr>
        <w:t>3分）</w:t>
      </w:r>
    </w:p>
    <w:p w14:paraId="35CA415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lang w:val="zh-CN" w:eastAsia="zh-CN"/>
        </w:rPr>
      </w:pPr>
      <w:r>
        <w:rPr>
          <w:rFonts w:hint="default" w:ascii="Times New Roman" w:hAnsi="Times New Roman" w:eastAsia="方正仿宋_GBK" w:cs="Times New Roman"/>
          <w:color w:val="000000"/>
          <w:kern w:val="0"/>
          <w:sz w:val="32"/>
          <w:szCs w:val="32"/>
          <w:lang w:val="zh-CN" w:eastAsia="zh-CN"/>
        </w:rPr>
        <w:t>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zh-CN" w:eastAsia="zh-CN"/>
        </w:rPr>
        <w:t>年严格执行政府采购支持中小企业发展管理办法。</w:t>
      </w:r>
    </w:p>
    <w:p w14:paraId="55E5BCF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zh-CN" w:eastAsia="zh-CN"/>
        </w:rPr>
        <w:t>支持中小企业发展</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满分3分，自评得分3分。</w:t>
      </w:r>
    </w:p>
    <w:p w14:paraId="34D8DFD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lang w:val="zh-CN" w:eastAsia="zh-CN"/>
        </w:rPr>
      </w:pP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lang w:val="zh-CN" w:eastAsia="zh-CN"/>
        </w:rPr>
        <w:t>采购执行率（</w:t>
      </w:r>
      <w:r>
        <w:rPr>
          <w:rFonts w:hint="default" w:ascii="Times New Roman" w:hAnsi="Times New Roman" w:eastAsia="方正仿宋_GBK" w:cs="Times New Roman"/>
          <w:color w:val="000000"/>
          <w:kern w:val="0"/>
          <w:sz w:val="32"/>
          <w:szCs w:val="32"/>
          <w:lang w:val="en-US" w:eastAsia="zh-CN"/>
        </w:rPr>
        <w:t>3分）</w:t>
      </w:r>
    </w:p>
    <w:p w14:paraId="1BD388B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lang w:val="zh-CN" w:eastAsia="zh-CN"/>
        </w:rPr>
      </w:pPr>
      <w:r>
        <w:rPr>
          <w:rFonts w:hint="default" w:ascii="Times New Roman" w:hAnsi="Times New Roman" w:eastAsia="方正仿宋_GBK" w:cs="Times New Roman"/>
          <w:color w:val="000000"/>
          <w:kern w:val="0"/>
          <w:sz w:val="32"/>
          <w:szCs w:val="32"/>
          <w:lang w:val="zh-CN" w:eastAsia="zh-CN"/>
        </w:rPr>
        <w:t>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zh-CN" w:eastAsia="zh-CN"/>
        </w:rPr>
        <w:t>年政府无采购预算。</w:t>
      </w:r>
    </w:p>
    <w:p w14:paraId="0978750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zh-CN" w:eastAsia="zh-CN"/>
        </w:rPr>
        <w:t>采购执行率</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满分3分</w:t>
      </w:r>
      <w:r>
        <w:rPr>
          <w:rFonts w:hint="default" w:ascii="Times New Roman" w:hAnsi="Times New Roman" w:eastAsia="方正仿宋_GBK" w:cs="Times New Roman"/>
          <w:color w:val="000000"/>
          <w:kern w:val="0"/>
          <w:sz w:val="32"/>
          <w:szCs w:val="32"/>
          <w:lang w:val="zh-CN" w:eastAsia="zh-CN"/>
        </w:rPr>
        <w:t>，此项不参与评分</w:t>
      </w:r>
      <w:r>
        <w:rPr>
          <w:rFonts w:hint="default" w:ascii="Times New Roman" w:hAnsi="Times New Roman" w:eastAsia="方正仿宋_GBK" w:cs="Times New Roman"/>
          <w:color w:val="000000"/>
          <w:kern w:val="0"/>
          <w:sz w:val="32"/>
          <w:szCs w:val="32"/>
          <w:lang w:val="en-US" w:eastAsia="zh-CN"/>
        </w:rPr>
        <w:t>。</w:t>
      </w:r>
    </w:p>
    <w:p w14:paraId="42AA77AF">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方正楷体_GBK" w:hAnsi="方正楷体_GBK" w:eastAsia="方正楷体_GBK" w:cs="方正楷体_GBK"/>
          <w:color w:val="auto"/>
          <w:kern w:val="0"/>
          <w:sz w:val="32"/>
          <w:szCs w:val="32"/>
          <w:highlight w:val="none"/>
          <w:lang w:val="en-US" w:eastAsia="zh-CN"/>
        </w:rPr>
      </w:pPr>
      <w:r>
        <w:rPr>
          <w:rFonts w:hint="default" w:ascii="方正楷体_GBK" w:hAnsi="方正楷体_GBK" w:eastAsia="方正楷体_GBK" w:cs="方正楷体_GBK"/>
          <w:color w:val="auto"/>
          <w:kern w:val="0"/>
          <w:sz w:val="32"/>
          <w:szCs w:val="32"/>
          <w:highlight w:val="none"/>
          <w:lang w:val="zh-CN" w:eastAsia="zh-CN"/>
        </w:rPr>
        <w:t>（二）部门预算项目绩效分析。</w:t>
      </w:r>
    </w:p>
    <w:p w14:paraId="093A78A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zh-CN" w:eastAsia="zh-CN"/>
        </w:rPr>
      </w:pPr>
      <w:r>
        <w:rPr>
          <w:rFonts w:hint="default" w:ascii="Times New Roman" w:hAnsi="Times New Roman" w:eastAsia="方正仿宋_GBK" w:cs="Times New Roman"/>
          <w:color w:val="auto"/>
          <w:kern w:val="0"/>
          <w:sz w:val="32"/>
          <w:szCs w:val="32"/>
          <w:highlight w:val="none"/>
          <w:lang w:val="en-US" w:eastAsia="zh-CN"/>
        </w:rPr>
        <w:t>常年项目绩效分析。</w:t>
      </w:r>
      <w:r>
        <w:rPr>
          <w:rFonts w:hint="default" w:ascii="Times New Roman" w:hAnsi="Times New Roman" w:eastAsia="方正仿宋_GBK" w:cs="Times New Roman"/>
          <w:color w:val="auto"/>
          <w:kern w:val="0"/>
          <w:sz w:val="32"/>
          <w:szCs w:val="32"/>
          <w:highlight w:val="none"/>
          <w:lang w:val="zh-CN" w:eastAsia="zh-CN"/>
        </w:rPr>
        <w:t>该类项目总数</w:t>
      </w:r>
      <w:r>
        <w:rPr>
          <w:rFonts w:hint="eastAsia" w:ascii="Times New Roman" w:hAnsi="Times New Roman" w:eastAsia="方正仿宋_GBK" w:cs="Times New Roman"/>
          <w:color w:val="auto"/>
          <w:kern w:val="0"/>
          <w:sz w:val="32"/>
          <w:szCs w:val="32"/>
          <w:highlight w:val="none"/>
          <w:lang w:val="en-US" w:eastAsia="zh-CN"/>
        </w:rPr>
        <w:t>20</w:t>
      </w:r>
      <w:r>
        <w:rPr>
          <w:rFonts w:hint="default" w:ascii="Times New Roman" w:hAnsi="Times New Roman" w:eastAsia="方正仿宋_GBK" w:cs="Times New Roman"/>
          <w:color w:val="auto"/>
          <w:kern w:val="0"/>
          <w:sz w:val="32"/>
          <w:szCs w:val="32"/>
          <w:highlight w:val="none"/>
          <w:lang w:val="zh-CN" w:eastAsia="zh-CN"/>
        </w:rPr>
        <w:t>个，涉及预算总金额</w:t>
      </w:r>
      <w:r>
        <w:rPr>
          <w:rFonts w:hint="eastAsia" w:ascii="Times New Roman" w:hAnsi="Times New Roman" w:eastAsia="方正仿宋_GBK" w:cs="Times New Roman"/>
          <w:color w:val="auto"/>
          <w:kern w:val="0"/>
          <w:sz w:val="32"/>
          <w:szCs w:val="32"/>
          <w:highlight w:val="none"/>
          <w:lang w:val="en-US" w:eastAsia="zh-CN"/>
        </w:rPr>
        <w:t>273.52</w:t>
      </w:r>
      <w:r>
        <w:rPr>
          <w:rFonts w:hint="default" w:ascii="Times New Roman" w:hAnsi="Times New Roman" w:eastAsia="方正仿宋_GBK" w:cs="Times New Roman"/>
          <w:color w:val="auto"/>
          <w:kern w:val="0"/>
          <w:sz w:val="32"/>
          <w:szCs w:val="32"/>
          <w:highlight w:val="none"/>
          <w:lang w:val="zh-CN" w:eastAsia="zh-CN"/>
        </w:rPr>
        <w:t>万元，1</w:t>
      </w:r>
      <w:r>
        <w:rPr>
          <w:rFonts w:hint="eastAsia" w:ascii="Times New Roman" w:hAnsi="Times New Roman" w:eastAsia="方正仿宋_GBK" w:cs="Times New Roman"/>
          <w:color w:val="auto"/>
          <w:kern w:val="0"/>
          <w:sz w:val="32"/>
          <w:szCs w:val="32"/>
          <w:highlight w:val="none"/>
          <w:lang w:val="zh-CN" w:eastAsia="zh-CN"/>
        </w:rPr>
        <w:t>—</w:t>
      </w:r>
      <w:r>
        <w:rPr>
          <w:rFonts w:hint="default" w:ascii="Times New Roman" w:hAnsi="Times New Roman" w:eastAsia="方正仿宋_GBK" w:cs="Times New Roman"/>
          <w:color w:val="auto"/>
          <w:kern w:val="0"/>
          <w:sz w:val="32"/>
          <w:szCs w:val="32"/>
          <w:highlight w:val="none"/>
          <w:lang w:val="zh-CN" w:eastAsia="zh-CN"/>
        </w:rPr>
        <w:t>1</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val="zh-CN" w:eastAsia="zh-CN"/>
        </w:rPr>
        <w:t>月预算执行总体进度为</w:t>
      </w:r>
      <w:r>
        <w:rPr>
          <w:rFonts w:hint="eastAsia" w:ascii="Times New Roman" w:hAnsi="Times New Roman" w:eastAsia="方正仿宋_GBK" w:cs="Times New Roman"/>
          <w:color w:val="auto"/>
          <w:kern w:val="0"/>
          <w:sz w:val="32"/>
          <w:szCs w:val="32"/>
          <w:highlight w:val="none"/>
          <w:lang w:val="en-US" w:eastAsia="zh-CN"/>
        </w:rPr>
        <w:t>100</w:t>
      </w:r>
      <w:r>
        <w:rPr>
          <w:rFonts w:hint="default" w:ascii="Times New Roman" w:hAnsi="Times New Roman" w:eastAsia="方正仿宋_GBK" w:cs="Times New Roman"/>
          <w:color w:val="auto"/>
          <w:kern w:val="0"/>
          <w:sz w:val="32"/>
          <w:szCs w:val="32"/>
          <w:highlight w:val="none"/>
          <w:lang w:val="zh-CN" w:eastAsia="zh-CN"/>
        </w:rPr>
        <w:t>%，其中：预算结余率大于</w:t>
      </w:r>
      <w:r>
        <w:rPr>
          <w:rFonts w:hint="default" w:ascii="Times New Roman" w:hAnsi="Times New Roman" w:eastAsia="方正仿宋_GBK" w:cs="Times New Roman"/>
          <w:color w:val="auto"/>
          <w:kern w:val="0"/>
          <w:sz w:val="32"/>
          <w:szCs w:val="32"/>
          <w:highlight w:val="none"/>
          <w:lang w:val="en-US" w:eastAsia="zh-CN"/>
        </w:rPr>
        <w:t>10%</w:t>
      </w:r>
      <w:r>
        <w:rPr>
          <w:rFonts w:hint="default" w:ascii="Times New Roman" w:hAnsi="Times New Roman" w:eastAsia="方正仿宋_GBK" w:cs="Times New Roman"/>
          <w:color w:val="auto"/>
          <w:kern w:val="0"/>
          <w:sz w:val="32"/>
          <w:szCs w:val="32"/>
          <w:highlight w:val="none"/>
          <w:lang w:val="zh-CN" w:eastAsia="zh-CN"/>
        </w:rPr>
        <w:t>的项目共计</w:t>
      </w:r>
      <w:r>
        <w:rPr>
          <w:rFonts w:hint="eastAsia" w:ascii="Times New Roman" w:hAnsi="Times New Roman" w:eastAsia="方正仿宋_GBK" w:cs="Times New Roman"/>
          <w:color w:val="auto"/>
          <w:kern w:val="0"/>
          <w:sz w:val="32"/>
          <w:szCs w:val="32"/>
          <w:highlight w:val="none"/>
          <w:lang w:val="en-US" w:eastAsia="zh-CN"/>
        </w:rPr>
        <w:t>0</w:t>
      </w:r>
      <w:r>
        <w:rPr>
          <w:rFonts w:hint="default" w:ascii="Times New Roman" w:hAnsi="Times New Roman" w:eastAsia="方正仿宋_GBK" w:cs="Times New Roman"/>
          <w:color w:val="auto"/>
          <w:kern w:val="0"/>
          <w:sz w:val="32"/>
          <w:szCs w:val="32"/>
          <w:highlight w:val="none"/>
          <w:lang w:val="zh-CN" w:eastAsia="zh-CN"/>
        </w:rPr>
        <w:t>个。</w:t>
      </w:r>
    </w:p>
    <w:p w14:paraId="6B62C736">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auto"/>
          <w:kern w:val="0"/>
          <w:sz w:val="32"/>
          <w:szCs w:val="32"/>
          <w:highlight w:val="none"/>
          <w:lang w:val="zh-CN" w:eastAsia="zh-CN"/>
        </w:rPr>
      </w:pPr>
      <w:r>
        <w:rPr>
          <w:rFonts w:hint="default" w:ascii="Times New Roman" w:hAnsi="Times New Roman" w:eastAsia="方正仿宋_GBK" w:cs="Times New Roman"/>
          <w:color w:val="auto"/>
          <w:kern w:val="0"/>
          <w:sz w:val="32"/>
          <w:szCs w:val="32"/>
          <w:highlight w:val="none"/>
          <w:lang w:val="en-US" w:eastAsia="zh-CN"/>
        </w:rPr>
        <w:t>阶段</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一次性</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项目绩效分析。</w:t>
      </w:r>
      <w:r>
        <w:rPr>
          <w:rFonts w:hint="default" w:ascii="Times New Roman" w:hAnsi="Times New Roman" w:eastAsia="方正仿宋_GBK" w:cs="Times New Roman"/>
          <w:color w:val="auto"/>
          <w:kern w:val="0"/>
          <w:sz w:val="32"/>
          <w:szCs w:val="32"/>
          <w:highlight w:val="none"/>
          <w:lang w:val="zh-CN" w:eastAsia="zh-CN"/>
        </w:rPr>
        <w:t>该类项目总数</w:t>
      </w:r>
      <w:r>
        <w:rPr>
          <w:rFonts w:hint="eastAsia" w:ascii="Times New Roman" w:hAnsi="Times New Roman" w:eastAsia="方正仿宋_GBK" w:cs="Times New Roman"/>
          <w:color w:val="auto"/>
          <w:kern w:val="0"/>
          <w:sz w:val="32"/>
          <w:szCs w:val="32"/>
          <w:highlight w:val="none"/>
          <w:lang w:val="en-US" w:eastAsia="zh-CN"/>
        </w:rPr>
        <w:t>7</w:t>
      </w:r>
      <w:r>
        <w:rPr>
          <w:rFonts w:hint="default" w:ascii="Times New Roman" w:hAnsi="Times New Roman" w:eastAsia="方正仿宋_GBK" w:cs="Times New Roman"/>
          <w:color w:val="auto"/>
          <w:kern w:val="0"/>
          <w:sz w:val="32"/>
          <w:szCs w:val="32"/>
          <w:highlight w:val="none"/>
          <w:lang w:val="zh-CN" w:eastAsia="zh-CN"/>
        </w:rPr>
        <w:t>个，涉及预算总金额</w:t>
      </w:r>
      <w:r>
        <w:rPr>
          <w:rFonts w:hint="eastAsia" w:ascii="Times New Roman" w:hAnsi="Times New Roman" w:eastAsia="方正仿宋_GBK" w:cs="Times New Roman"/>
          <w:color w:val="auto"/>
          <w:kern w:val="0"/>
          <w:sz w:val="32"/>
          <w:szCs w:val="32"/>
          <w:highlight w:val="none"/>
          <w:lang w:val="en-US" w:eastAsia="zh-CN"/>
        </w:rPr>
        <w:t>260.89</w:t>
      </w:r>
      <w:r>
        <w:rPr>
          <w:rFonts w:hint="default" w:ascii="Times New Roman" w:hAnsi="Times New Roman" w:eastAsia="方正仿宋_GBK" w:cs="Times New Roman"/>
          <w:color w:val="auto"/>
          <w:kern w:val="0"/>
          <w:sz w:val="32"/>
          <w:szCs w:val="32"/>
          <w:highlight w:val="none"/>
          <w:lang w:val="zh-CN" w:eastAsia="zh-CN"/>
        </w:rPr>
        <w:t>万元，1</w:t>
      </w:r>
      <w:r>
        <w:rPr>
          <w:rFonts w:hint="eastAsia" w:ascii="Times New Roman" w:hAnsi="Times New Roman" w:eastAsia="方正仿宋_GBK" w:cs="Times New Roman"/>
          <w:color w:val="auto"/>
          <w:kern w:val="0"/>
          <w:sz w:val="32"/>
          <w:szCs w:val="32"/>
          <w:highlight w:val="none"/>
          <w:lang w:val="zh-CN" w:eastAsia="zh-CN"/>
        </w:rPr>
        <w:t>—</w:t>
      </w:r>
      <w:r>
        <w:rPr>
          <w:rFonts w:hint="default" w:ascii="Times New Roman" w:hAnsi="Times New Roman" w:eastAsia="方正仿宋_GBK" w:cs="Times New Roman"/>
          <w:color w:val="auto"/>
          <w:kern w:val="0"/>
          <w:sz w:val="32"/>
          <w:szCs w:val="32"/>
          <w:highlight w:val="none"/>
          <w:lang w:val="zh-CN" w:eastAsia="zh-CN"/>
        </w:rPr>
        <w:t>1</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val="zh-CN" w:eastAsia="zh-CN"/>
        </w:rPr>
        <w:t>月预算执行总体进度为</w:t>
      </w:r>
      <w:r>
        <w:rPr>
          <w:rFonts w:hint="eastAsia" w:ascii="Times New Roman" w:hAnsi="Times New Roman" w:eastAsia="方正仿宋_GBK" w:cs="Times New Roman"/>
          <w:color w:val="auto"/>
          <w:kern w:val="0"/>
          <w:sz w:val="32"/>
          <w:szCs w:val="32"/>
          <w:highlight w:val="none"/>
          <w:lang w:val="en-US" w:eastAsia="zh-CN"/>
        </w:rPr>
        <w:t>100</w:t>
      </w:r>
      <w:r>
        <w:rPr>
          <w:rFonts w:hint="default" w:ascii="Times New Roman" w:hAnsi="Times New Roman" w:eastAsia="方正仿宋_GBK" w:cs="Times New Roman"/>
          <w:color w:val="auto"/>
          <w:kern w:val="0"/>
          <w:sz w:val="32"/>
          <w:szCs w:val="32"/>
          <w:highlight w:val="none"/>
          <w:lang w:val="zh-CN" w:eastAsia="zh-CN"/>
        </w:rPr>
        <w:t>%，其中：预算结余率大于</w:t>
      </w:r>
      <w:r>
        <w:rPr>
          <w:rFonts w:hint="default" w:ascii="Times New Roman" w:hAnsi="Times New Roman" w:eastAsia="方正仿宋_GBK" w:cs="Times New Roman"/>
          <w:color w:val="auto"/>
          <w:kern w:val="0"/>
          <w:sz w:val="32"/>
          <w:szCs w:val="32"/>
          <w:highlight w:val="none"/>
          <w:lang w:val="en-US" w:eastAsia="zh-CN"/>
        </w:rPr>
        <w:t>10%</w:t>
      </w:r>
      <w:r>
        <w:rPr>
          <w:rFonts w:hint="default" w:ascii="Times New Roman" w:hAnsi="Times New Roman" w:eastAsia="方正仿宋_GBK" w:cs="Times New Roman"/>
          <w:color w:val="auto"/>
          <w:kern w:val="0"/>
          <w:sz w:val="32"/>
          <w:szCs w:val="32"/>
          <w:highlight w:val="none"/>
          <w:lang w:val="zh-CN" w:eastAsia="zh-CN"/>
        </w:rPr>
        <w:t>的项目共计</w:t>
      </w:r>
      <w:r>
        <w:rPr>
          <w:rFonts w:hint="eastAsia" w:ascii="Times New Roman" w:hAnsi="Times New Roman" w:eastAsia="方正仿宋_GBK" w:cs="Times New Roman"/>
          <w:color w:val="auto"/>
          <w:kern w:val="0"/>
          <w:sz w:val="32"/>
          <w:szCs w:val="32"/>
          <w:highlight w:val="none"/>
          <w:lang w:val="en-US" w:eastAsia="zh-CN"/>
        </w:rPr>
        <w:t>0</w:t>
      </w:r>
      <w:r>
        <w:rPr>
          <w:rFonts w:hint="default" w:ascii="Times New Roman" w:hAnsi="Times New Roman" w:eastAsia="方正仿宋_GBK" w:cs="Times New Roman"/>
          <w:color w:val="auto"/>
          <w:kern w:val="0"/>
          <w:sz w:val="32"/>
          <w:szCs w:val="32"/>
          <w:highlight w:val="none"/>
          <w:lang w:val="zh-CN" w:eastAsia="zh-CN"/>
        </w:rPr>
        <w:t>个。</w:t>
      </w:r>
    </w:p>
    <w:p w14:paraId="3F32B87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lang w:val="zh-CN" w:eastAsia="zh-CN"/>
        </w:rPr>
        <w:t>项目决策。</w:t>
      </w:r>
      <w:r>
        <w:rPr>
          <w:rFonts w:hint="default" w:ascii="Times New Roman" w:hAnsi="Times New Roman" w:eastAsia="方正仿宋_GBK" w:cs="Times New Roman"/>
          <w:color w:val="auto"/>
          <w:kern w:val="0"/>
          <w:sz w:val="32"/>
          <w:szCs w:val="32"/>
          <w:highlight w:val="none"/>
          <w:lang w:val="en-US" w:eastAsia="zh-CN"/>
        </w:rPr>
        <w:t>（12分）</w:t>
      </w:r>
    </w:p>
    <w:p w14:paraId="640D51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lang w:val="zh-CN" w:eastAsia="zh-CN"/>
        </w:rPr>
      </w:pPr>
      <w:r>
        <w:rPr>
          <w:rFonts w:hint="default" w:ascii="Times New Roman" w:hAnsi="Times New Roman" w:eastAsia="方正仿宋_GBK" w:cs="Times New Roman"/>
          <w:color w:val="auto"/>
          <w:kern w:val="0"/>
          <w:sz w:val="32"/>
          <w:szCs w:val="32"/>
          <w:highlight w:val="none"/>
          <w:lang w:val="zh-CN" w:eastAsia="zh-CN"/>
        </w:rPr>
        <w:t>（1）</w:t>
      </w:r>
      <w:r>
        <w:rPr>
          <w:rFonts w:hint="default" w:ascii="Times New Roman" w:hAnsi="Times New Roman" w:eastAsia="方正仿宋_GBK" w:cs="Times New Roman"/>
          <w:color w:val="auto"/>
          <w:kern w:val="0"/>
          <w:sz w:val="32"/>
          <w:szCs w:val="32"/>
          <w:highlight w:val="none"/>
          <w:lang w:val="en-US" w:eastAsia="zh-CN"/>
        </w:rPr>
        <w:t>决策程序（4分）。部门预算项目的设立履行了项目申报论证程序，与部门的职能职责相符，项目申报经过集体决策</w:t>
      </w:r>
      <w:r>
        <w:rPr>
          <w:rFonts w:hint="default" w:ascii="Times New Roman" w:hAnsi="Times New Roman" w:eastAsia="方正仿宋_GBK" w:cs="Times New Roman"/>
          <w:color w:val="auto"/>
          <w:kern w:val="0"/>
          <w:sz w:val="32"/>
          <w:szCs w:val="32"/>
          <w:highlight w:val="none"/>
          <w:lang w:val="zh-CN" w:eastAsia="zh-CN"/>
        </w:rPr>
        <w:t>。</w:t>
      </w:r>
    </w:p>
    <w:p w14:paraId="4B85B59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lang w:val="zh-CN" w:eastAsia="zh-CN"/>
        </w:rPr>
      </w:pPr>
      <w:r>
        <w:rPr>
          <w:rFonts w:hint="eastAsia" w:ascii="Times New Roman" w:hAnsi="Times New Roman" w:eastAsia="方正仿宋_GBK" w:cs="Times New Roman"/>
          <w:color w:val="auto"/>
          <w:kern w:val="0"/>
          <w:sz w:val="32"/>
          <w:szCs w:val="32"/>
          <w:highlight w:val="none"/>
          <w:lang w:val="zh-CN" w:eastAsia="zh-CN"/>
        </w:rPr>
        <w:t>“</w:t>
      </w:r>
      <w:r>
        <w:rPr>
          <w:rFonts w:hint="default" w:ascii="Times New Roman" w:hAnsi="Times New Roman" w:eastAsia="方正仿宋_GBK" w:cs="Times New Roman"/>
          <w:color w:val="auto"/>
          <w:kern w:val="0"/>
          <w:sz w:val="32"/>
          <w:szCs w:val="32"/>
          <w:highlight w:val="none"/>
          <w:lang w:val="en-US" w:eastAsia="zh-CN"/>
        </w:rPr>
        <w:t>决策程序</w:t>
      </w:r>
      <w:r>
        <w:rPr>
          <w:rFonts w:hint="eastAsia" w:ascii="Times New Roman" w:hAnsi="Times New Roman" w:eastAsia="方正仿宋_GBK" w:cs="Times New Roman"/>
          <w:color w:val="auto"/>
          <w:kern w:val="0"/>
          <w:sz w:val="32"/>
          <w:szCs w:val="32"/>
          <w:highlight w:val="none"/>
          <w:lang w:val="zh-CN" w:eastAsia="zh-CN"/>
        </w:rPr>
        <w:t>”</w:t>
      </w:r>
      <w:r>
        <w:rPr>
          <w:rFonts w:hint="default" w:ascii="Times New Roman" w:hAnsi="Times New Roman" w:eastAsia="方正仿宋_GBK" w:cs="Times New Roman"/>
          <w:color w:val="auto"/>
          <w:kern w:val="0"/>
          <w:sz w:val="32"/>
          <w:szCs w:val="32"/>
          <w:highlight w:val="none"/>
          <w:lang w:val="en-US" w:eastAsia="zh-CN"/>
        </w:rPr>
        <w:t>指标满分4分，自评得分4分。</w:t>
      </w:r>
    </w:p>
    <w:p w14:paraId="775A948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（2）目标设置（4分）。绩效目标制定科学合理，规范完整，量化细化，并与预算安排</w:t>
      </w:r>
      <w:r>
        <w:rPr>
          <w:rFonts w:hint="eastAsia" w:ascii="Times New Roman" w:hAnsi="Times New Roman" w:eastAsia="方正仿宋_GBK" w:cs="Times New Roman"/>
          <w:color w:val="auto"/>
          <w:kern w:val="0"/>
          <w:sz w:val="32"/>
          <w:szCs w:val="32"/>
          <w:highlight w:val="none"/>
          <w:lang w:val="en-US" w:eastAsia="zh-CN"/>
        </w:rPr>
        <w:t>相</w:t>
      </w:r>
      <w:r>
        <w:rPr>
          <w:rFonts w:hint="default" w:ascii="Times New Roman" w:hAnsi="Times New Roman" w:eastAsia="方正仿宋_GBK" w:cs="Times New Roman"/>
          <w:color w:val="auto"/>
          <w:kern w:val="0"/>
          <w:sz w:val="32"/>
          <w:szCs w:val="32"/>
          <w:highlight w:val="none"/>
          <w:lang w:val="en-US" w:eastAsia="zh-CN"/>
        </w:rPr>
        <w:t>匹配。</w:t>
      </w:r>
      <w:bookmarkStart w:id="1" w:name="_GoBack"/>
      <w:bookmarkEnd w:id="1"/>
    </w:p>
    <w:p w14:paraId="4BB2D99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lang w:val="zh-CN" w:eastAsia="zh-CN"/>
        </w:rPr>
      </w:pP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目标设置</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满分4分，自评得分4分。</w:t>
      </w:r>
    </w:p>
    <w:p w14:paraId="4A3EC25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（3）项目入库（4分）。所有项目均在规定时间内完成入库。</w:t>
      </w:r>
    </w:p>
    <w:p w14:paraId="2105667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lang w:val="zh-CN" w:eastAsia="zh-CN"/>
        </w:rPr>
      </w:pP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项目入库</w:t>
      </w:r>
      <w:r>
        <w:rPr>
          <w:rFonts w:hint="eastAsia"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满分4分，自评得分4分。</w:t>
      </w:r>
    </w:p>
    <w:p w14:paraId="33CD4960">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right="-130" w:rightChars="-62"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2.项目执行</w:t>
      </w:r>
      <w:r>
        <w:rPr>
          <w:rFonts w:hint="eastAsia" w:ascii="Times New Roman" w:hAnsi="Times New Roman" w:eastAsia="方正仿宋_GBK" w:cs="Times New Roman"/>
          <w:color w:val="000000"/>
          <w:kern w:val="0"/>
          <w:sz w:val="32"/>
          <w:szCs w:val="32"/>
          <w:lang w:val="zh-CN" w:eastAsia="zh-CN"/>
        </w:rPr>
        <w:t>。</w:t>
      </w:r>
      <w:r>
        <w:rPr>
          <w:rFonts w:hint="default" w:ascii="Times New Roman" w:hAnsi="Times New Roman" w:eastAsia="方正仿宋_GBK" w:cs="Times New Roman"/>
          <w:color w:val="000000"/>
          <w:kern w:val="0"/>
          <w:sz w:val="32"/>
          <w:szCs w:val="32"/>
          <w:lang w:val="en-US" w:eastAsia="zh-CN"/>
        </w:rPr>
        <w:t>（12分）</w:t>
      </w:r>
    </w:p>
    <w:p w14:paraId="585B69E7">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right="-130" w:rightChars="-62"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（1）执行同向（4分）。根据现场评价情况，抽查项目实际列支内容与项目绩效目标方向基本相符。</w:t>
      </w:r>
    </w:p>
    <w:p w14:paraId="208F6E70">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right="-130" w:rightChars="-62" w:firstLine="640" w:firstLineChars="200"/>
        <w:textAlignment w:val="auto"/>
        <w:rPr>
          <w:rFonts w:hint="default"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执行同向</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满分4分，自评得分4分。</w:t>
      </w:r>
    </w:p>
    <w:p w14:paraId="7D1BAEB5">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right="-130" w:rightChars="-62"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（2）项目调整（4分）。根据现场评价情况，抽查项目中涉及预算调整的项目能按照相关</w:t>
      </w:r>
      <w:r>
        <w:rPr>
          <w:rFonts w:hint="eastAsia" w:ascii="Times New Roman" w:hAnsi="Times New Roman" w:eastAsia="方正仿宋_GBK" w:cs="Times New Roman"/>
          <w:color w:val="000000"/>
          <w:kern w:val="0"/>
          <w:sz w:val="32"/>
          <w:szCs w:val="32"/>
          <w:lang w:val="en-US" w:eastAsia="zh-CN"/>
        </w:rPr>
        <w:t>规定</w:t>
      </w:r>
      <w:r>
        <w:rPr>
          <w:rFonts w:hint="default" w:ascii="Times New Roman" w:hAnsi="Times New Roman" w:eastAsia="方正仿宋_GBK" w:cs="Times New Roman"/>
          <w:color w:val="000000"/>
          <w:kern w:val="0"/>
          <w:sz w:val="32"/>
          <w:szCs w:val="32"/>
          <w:lang w:val="en-US" w:eastAsia="zh-CN"/>
        </w:rPr>
        <w:t>履行调整报批手续，调整程序规范，依据较充分。</w:t>
      </w:r>
    </w:p>
    <w:p w14:paraId="789BE78C">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right="-130" w:rightChars="-62"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项目调整</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指标满分4分，自评得分4分。</w:t>
      </w:r>
    </w:p>
    <w:p w14:paraId="7CC43BFA">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right="-130" w:rightChars="-62"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（3）执行结果（4分）。根据现场评价情况，预算项目</w:t>
      </w:r>
      <w:r>
        <w:rPr>
          <w:rFonts w:hint="eastAsia" w:ascii="Times New Roman" w:hAnsi="Times New Roman" w:eastAsia="方正仿宋_GBK" w:cs="Times New Roman"/>
          <w:color w:val="000000"/>
          <w:kern w:val="0"/>
          <w:sz w:val="32"/>
          <w:szCs w:val="32"/>
          <w:lang w:val="en-US" w:eastAsia="zh-CN"/>
        </w:rPr>
        <w:t>27</w:t>
      </w:r>
      <w:r>
        <w:rPr>
          <w:rFonts w:hint="default" w:ascii="Times New Roman" w:hAnsi="Times New Roman" w:eastAsia="方正仿宋_GBK" w:cs="Times New Roman"/>
          <w:color w:val="000000"/>
          <w:kern w:val="0"/>
          <w:sz w:val="32"/>
          <w:szCs w:val="32"/>
          <w:lang w:val="en-US" w:eastAsia="zh-CN"/>
        </w:rPr>
        <w:t>个，预算结余率小于10%项目</w:t>
      </w:r>
      <w:r>
        <w:rPr>
          <w:rFonts w:hint="eastAsia" w:ascii="Times New Roman" w:hAnsi="Times New Roman" w:eastAsia="方正仿宋_GBK" w:cs="Times New Roman"/>
          <w:color w:val="000000"/>
          <w:kern w:val="0"/>
          <w:sz w:val="32"/>
          <w:szCs w:val="32"/>
          <w:lang w:val="en-US" w:eastAsia="zh-CN"/>
        </w:rPr>
        <w:t>27</w:t>
      </w:r>
      <w:r>
        <w:rPr>
          <w:rFonts w:hint="default" w:ascii="Times New Roman" w:hAnsi="Times New Roman" w:eastAsia="方正仿宋_GBK" w:cs="Times New Roman"/>
          <w:color w:val="000000"/>
          <w:kern w:val="0"/>
          <w:sz w:val="32"/>
          <w:szCs w:val="32"/>
          <w:lang w:val="en-US" w:eastAsia="zh-CN"/>
        </w:rPr>
        <w:t>个占项目总数100%。</w:t>
      </w:r>
    </w:p>
    <w:p w14:paraId="0D301B86">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right="-130" w:rightChars="-62" w:firstLine="640" w:firstLineChars="200"/>
        <w:textAlignment w:val="auto"/>
        <w:rPr>
          <w:rFonts w:hint="eastAsia" w:ascii="Times New Roman" w:hAnsi="Times New Roman" w:eastAsia="方正仿宋_GBK" w:cs="Times New Roman"/>
          <w:color w:val="000000"/>
          <w:kern w:val="0"/>
          <w:sz w:val="32"/>
          <w:szCs w:val="32"/>
          <w:lang w:val="zh-CN"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执行结果</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指标满分4分，自评得分4分。</w:t>
      </w:r>
    </w:p>
    <w:p w14:paraId="6EB671ED">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3.</w:t>
      </w:r>
      <w:r>
        <w:rPr>
          <w:rFonts w:hint="eastAsia" w:ascii="Times New Roman" w:hAnsi="Times New Roman" w:eastAsia="方正仿宋_GBK" w:cs="Times New Roman"/>
          <w:color w:val="000000"/>
          <w:kern w:val="0"/>
          <w:sz w:val="32"/>
          <w:szCs w:val="32"/>
          <w:lang w:val="zh-CN" w:eastAsia="zh-CN"/>
        </w:rPr>
        <w:t>目标实现。</w:t>
      </w:r>
      <w:r>
        <w:rPr>
          <w:rFonts w:hint="default" w:ascii="Times New Roman" w:hAnsi="Times New Roman" w:eastAsia="方正仿宋_GBK" w:cs="Times New Roman"/>
          <w:color w:val="000000"/>
          <w:kern w:val="0"/>
          <w:sz w:val="32"/>
          <w:szCs w:val="32"/>
          <w:lang w:val="en-US" w:eastAsia="zh-CN"/>
        </w:rPr>
        <w:t>（11分）</w:t>
      </w:r>
    </w:p>
    <w:p w14:paraId="6D5716D8">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（1）目标完成（4分）</w:t>
      </w:r>
    </w:p>
    <w:p w14:paraId="6DA7C918">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部门预算</w:t>
      </w:r>
      <w:r>
        <w:rPr>
          <w:rFonts w:hint="eastAsia" w:ascii="Times New Roman" w:hAnsi="Times New Roman" w:eastAsia="方正仿宋_GBK" w:cs="Times New Roman"/>
          <w:color w:val="000000"/>
          <w:kern w:val="0"/>
          <w:sz w:val="32"/>
          <w:szCs w:val="32"/>
          <w:lang w:val="en-US" w:eastAsia="zh-CN"/>
        </w:rPr>
        <w:t>27</w:t>
      </w:r>
      <w:r>
        <w:rPr>
          <w:rFonts w:hint="default" w:ascii="Times New Roman" w:hAnsi="Times New Roman" w:eastAsia="方正仿宋_GBK" w:cs="Times New Roman"/>
          <w:color w:val="000000"/>
          <w:kern w:val="0"/>
          <w:sz w:val="32"/>
          <w:szCs w:val="32"/>
          <w:lang w:val="en-US" w:eastAsia="zh-CN"/>
        </w:rPr>
        <w:t>个项目中，完成绩效目标数量指标的项目有</w:t>
      </w:r>
      <w:r>
        <w:rPr>
          <w:rFonts w:hint="eastAsia" w:ascii="Times New Roman" w:hAnsi="Times New Roman" w:eastAsia="方正仿宋_GBK" w:cs="Times New Roman"/>
          <w:color w:val="000000"/>
          <w:kern w:val="0"/>
          <w:sz w:val="32"/>
          <w:szCs w:val="32"/>
          <w:lang w:val="en-US" w:eastAsia="zh-CN"/>
        </w:rPr>
        <w:t>27</w:t>
      </w:r>
      <w:r>
        <w:rPr>
          <w:rFonts w:hint="default" w:ascii="Times New Roman" w:hAnsi="Times New Roman" w:eastAsia="方正仿宋_GBK" w:cs="Times New Roman"/>
          <w:color w:val="000000"/>
          <w:kern w:val="0"/>
          <w:sz w:val="32"/>
          <w:szCs w:val="32"/>
          <w:lang w:val="en-US" w:eastAsia="zh-CN"/>
        </w:rPr>
        <w:t>个，完成率</w:t>
      </w:r>
      <w:r>
        <w:rPr>
          <w:rFonts w:hint="eastAsia" w:ascii="Times New Roman" w:hAnsi="Times New Roman" w:eastAsia="方正仿宋_GBK" w:cs="Times New Roman"/>
          <w:color w:val="000000"/>
          <w:kern w:val="0"/>
          <w:sz w:val="32"/>
          <w:szCs w:val="32"/>
          <w:lang w:val="en-US" w:eastAsia="zh-CN"/>
        </w:rPr>
        <w:t>100</w:t>
      </w:r>
      <w:r>
        <w:rPr>
          <w:rFonts w:hint="default" w:ascii="Times New Roman" w:hAnsi="Times New Roman" w:eastAsia="方正仿宋_GBK" w:cs="Times New Roman"/>
          <w:color w:val="000000"/>
          <w:kern w:val="0"/>
          <w:sz w:val="32"/>
          <w:szCs w:val="32"/>
          <w:lang w:val="en-US" w:eastAsia="zh-CN"/>
        </w:rPr>
        <w:t>%。</w:t>
      </w:r>
    </w:p>
    <w:p w14:paraId="57BA4395">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目标完成</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指标满分4分，自评得分4分。</w:t>
      </w:r>
    </w:p>
    <w:p w14:paraId="61D3CA74">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（2）项目偏离（4分）</w:t>
      </w:r>
    </w:p>
    <w:p w14:paraId="5D18CDB1">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已完成预期指标值的数量指标中偏离度在30%内的指标</w:t>
      </w:r>
      <w:r>
        <w:rPr>
          <w:rFonts w:hint="eastAsia" w:ascii="Times New Roman" w:hAnsi="Times New Roman" w:eastAsia="方正仿宋_GBK" w:cs="Times New Roman"/>
          <w:color w:val="000000"/>
          <w:kern w:val="0"/>
          <w:sz w:val="32"/>
          <w:szCs w:val="32"/>
          <w:lang w:val="en-US" w:eastAsia="zh-CN"/>
        </w:rPr>
        <w:t>27</w:t>
      </w:r>
      <w:r>
        <w:rPr>
          <w:rFonts w:hint="default" w:ascii="Times New Roman" w:hAnsi="Times New Roman" w:eastAsia="方正仿宋_GBK" w:cs="Times New Roman"/>
          <w:color w:val="000000"/>
          <w:kern w:val="0"/>
          <w:sz w:val="32"/>
          <w:szCs w:val="32"/>
          <w:lang w:val="en-US" w:eastAsia="zh-CN"/>
        </w:rPr>
        <w:t>个，已完成预期指标值的数量指标</w:t>
      </w:r>
      <w:r>
        <w:rPr>
          <w:rFonts w:hint="eastAsia" w:ascii="Times New Roman" w:hAnsi="Times New Roman" w:eastAsia="方正仿宋_GBK" w:cs="Times New Roman"/>
          <w:color w:val="000000"/>
          <w:kern w:val="0"/>
          <w:sz w:val="32"/>
          <w:szCs w:val="32"/>
          <w:lang w:val="en-US" w:eastAsia="zh-CN"/>
        </w:rPr>
        <w:t>27</w:t>
      </w:r>
      <w:r>
        <w:rPr>
          <w:rFonts w:hint="default" w:ascii="Times New Roman" w:hAnsi="Times New Roman" w:eastAsia="方正仿宋_GBK" w:cs="Times New Roman"/>
          <w:color w:val="000000"/>
          <w:kern w:val="0"/>
          <w:sz w:val="32"/>
          <w:szCs w:val="32"/>
          <w:lang w:val="en-US" w:eastAsia="zh-CN"/>
        </w:rPr>
        <w:t>个，部门项目中已完成的数量指标偏离度在30%内的指标占比</w:t>
      </w:r>
      <w:r>
        <w:rPr>
          <w:rFonts w:hint="eastAsia" w:ascii="Times New Roman" w:hAnsi="Times New Roman" w:eastAsia="方正仿宋_GBK" w:cs="Times New Roman"/>
          <w:color w:val="000000"/>
          <w:kern w:val="0"/>
          <w:sz w:val="32"/>
          <w:szCs w:val="32"/>
          <w:lang w:val="en-US" w:eastAsia="zh-CN"/>
        </w:rPr>
        <w:t>100</w:t>
      </w:r>
      <w:r>
        <w:rPr>
          <w:rFonts w:hint="default" w:ascii="Times New Roman" w:hAnsi="Times New Roman" w:eastAsia="方正仿宋_GBK" w:cs="Times New Roman"/>
          <w:color w:val="000000"/>
          <w:kern w:val="0"/>
          <w:sz w:val="32"/>
          <w:szCs w:val="32"/>
          <w:lang w:val="en-US" w:eastAsia="zh-CN"/>
        </w:rPr>
        <w:t>%。</w:t>
      </w:r>
    </w:p>
    <w:p w14:paraId="521C3841">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项目偏离</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指标满分4分，自评得分</w:t>
      </w:r>
      <w:r>
        <w:rPr>
          <w:rFonts w:hint="eastAsia"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lang w:val="en-US" w:eastAsia="zh-CN"/>
        </w:rPr>
        <w:t>分。</w:t>
      </w:r>
    </w:p>
    <w:p w14:paraId="3C00CF5D">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（3）实现效果（3分）</w:t>
      </w:r>
    </w:p>
    <w:p w14:paraId="3104EB04">
      <w:pPr>
        <w:numPr>
          <w:ilvl w:val="0"/>
          <w:numId w:val="0"/>
        </w:numPr>
        <w:adjustRightInd w:val="0"/>
        <w:snapToGrid w:val="0"/>
        <w:spacing w:line="578" w:lineRule="exact"/>
        <w:ind w:right="-130" w:rightChars="-62" w:firstLine="640" w:firstLineChars="200"/>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实现效果</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指标满分3分，自评得分</w:t>
      </w:r>
      <w:r>
        <w:rPr>
          <w:rFonts w:hint="eastAsia"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lang w:val="en-US" w:eastAsia="zh-CN"/>
        </w:rPr>
        <w:t>分。</w:t>
      </w:r>
    </w:p>
    <w:p w14:paraId="4435A7F4">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方正楷体_GBK" w:hAnsi="方正楷体_GBK" w:eastAsia="方正楷体_GBK" w:cs="方正楷体_GBK"/>
          <w:color w:val="000000"/>
          <w:kern w:val="0"/>
          <w:sz w:val="32"/>
          <w:szCs w:val="32"/>
          <w:lang w:val="zh-CN" w:eastAsia="zh-CN"/>
        </w:rPr>
        <w:t>（</w:t>
      </w:r>
      <w:r>
        <w:rPr>
          <w:rFonts w:hint="eastAsia" w:ascii="方正楷体_GBK" w:hAnsi="方正楷体_GBK" w:eastAsia="方正楷体_GBK" w:cs="方正楷体_GBK"/>
          <w:color w:val="000000"/>
          <w:kern w:val="0"/>
          <w:sz w:val="32"/>
          <w:szCs w:val="32"/>
          <w:lang w:val="zh-CN" w:eastAsia="zh-CN"/>
        </w:rPr>
        <w:t>三</w:t>
      </w:r>
      <w:r>
        <w:rPr>
          <w:rFonts w:hint="default" w:ascii="方正楷体_GBK" w:hAnsi="方正楷体_GBK" w:eastAsia="方正楷体_GBK" w:cs="方正楷体_GBK"/>
          <w:color w:val="000000"/>
          <w:kern w:val="0"/>
          <w:sz w:val="32"/>
          <w:szCs w:val="32"/>
          <w:lang w:val="zh-CN" w:eastAsia="zh-CN"/>
        </w:rPr>
        <w:t>）重点领域绩效分析。</w:t>
      </w:r>
      <w:r>
        <w:rPr>
          <w:rFonts w:hint="eastAsia" w:ascii="Times New Roman" w:hAnsi="Times New Roman" w:eastAsia="方正仿宋_GBK" w:cs="Times New Roman"/>
          <w:color w:val="000000"/>
          <w:kern w:val="0"/>
          <w:sz w:val="32"/>
          <w:szCs w:val="32"/>
          <w:lang w:val="zh-CN" w:eastAsia="zh-CN"/>
        </w:rPr>
        <w:t>无</w:t>
      </w:r>
    </w:p>
    <w:p w14:paraId="53469A3A">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方正楷体_GBK" w:hAnsi="方正楷体_GBK" w:eastAsia="方正楷体_GBK" w:cs="方正楷体_GBK"/>
          <w:color w:val="000000"/>
          <w:kern w:val="0"/>
          <w:sz w:val="32"/>
          <w:szCs w:val="32"/>
          <w:lang w:val="zh-CN" w:eastAsia="zh-CN"/>
        </w:rPr>
      </w:pPr>
      <w:r>
        <w:rPr>
          <w:rFonts w:hint="default" w:ascii="方正楷体_GBK" w:hAnsi="方正楷体_GBK" w:eastAsia="方正楷体_GBK" w:cs="方正楷体_GBK"/>
          <w:color w:val="000000"/>
          <w:kern w:val="0"/>
          <w:sz w:val="32"/>
          <w:szCs w:val="32"/>
          <w:lang w:val="zh-CN" w:eastAsia="zh-CN"/>
        </w:rPr>
        <w:t>（四）绩效结果应用情况</w:t>
      </w:r>
      <w:r>
        <w:rPr>
          <w:rFonts w:hint="eastAsia" w:ascii="方正楷体_GBK" w:hAnsi="方正楷体_GBK" w:eastAsia="方正楷体_GBK" w:cs="方正楷体_GBK"/>
          <w:color w:val="000000"/>
          <w:kern w:val="0"/>
          <w:sz w:val="32"/>
          <w:szCs w:val="32"/>
          <w:lang w:val="zh-CN" w:eastAsia="zh-CN"/>
        </w:rPr>
        <w:t>。</w:t>
      </w:r>
    </w:p>
    <w:p w14:paraId="625623C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1</w:t>
      </w: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建立绩效评价激励与约束机制。根据单位绩效评价结果，在安排项目资金进行综合考虑。一</w:t>
      </w:r>
      <w:r>
        <w:rPr>
          <w:rFonts w:hint="eastAsia" w:ascii="Times New Roman" w:hAnsi="Times New Roman" w:eastAsia="方正仿宋_GBK" w:cs="Times New Roman"/>
          <w:color w:val="000000"/>
          <w:kern w:val="0"/>
          <w:sz w:val="32"/>
          <w:szCs w:val="32"/>
          <w:highlight w:val="none"/>
          <w:shd w:val="clear" w:color="auto" w:fill="FFFFFF"/>
          <w:lang w:eastAsia="zh-CN"/>
        </w:rPr>
        <w:t>是</w:t>
      </w:r>
      <w:r>
        <w:rPr>
          <w:rFonts w:hint="default" w:ascii="Times New Roman" w:hAnsi="Times New Roman" w:eastAsia="方正仿宋_GBK" w:cs="Times New Roman"/>
          <w:color w:val="000000"/>
          <w:kern w:val="0"/>
          <w:sz w:val="32"/>
          <w:szCs w:val="32"/>
          <w:highlight w:val="none"/>
          <w:shd w:val="clear" w:color="auto" w:fill="FFFFFF"/>
          <w:lang w:eastAsia="zh-CN"/>
        </w:rPr>
        <w:t>对于绩效评价结果优秀且绩效突出的，在安排该项目后续资金时给予优先保障</w:t>
      </w:r>
      <w:r>
        <w:rPr>
          <w:rFonts w:hint="eastAsia" w:ascii="Times New Roman" w:hAnsi="Times New Roman" w:eastAsia="方正仿宋_GBK" w:cs="Times New Roman"/>
          <w:color w:val="000000"/>
          <w:kern w:val="0"/>
          <w:sz w:val="32"/>
          <w:szCs w:val="32"/>
          <w:highlight w:val="none"/>
          <w:shd w:val="clear" w:color="auto" w:fill="FFFFFF"/>
          <w:lang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二</w:t>
      </w:r>
      <w:r>
        <w:rPr>
          <w:rFonts w:hint="eastAsia" w:ascii="Times New Roman" w:hAnsi="Times New Roman" w:eastAsia="方正仿宋_GBK" w:cs="Times New Roman"/>
          <w:color w:val="000000"/>
          <w:kern w:val="0"/>
          <w:sz w:val="32"/>
          <w:szCs w:val="32"/>
          <w:highlight w:val="none"/>
          <w:shd w:val="clear" w:color="auto" w:fill="FFFFFF"/>
          <w:lang w:eastAsia="zh-CN"/>
        </w:rPr>
        <w:t>是</w:t>
      </w:r>
      <w:r>
        <w:rPr>
          <w:rFonts w:hint="default" w:ascii="Times New Roman" w:hAnsi="Times New Roman" w:eastAsia="方正仿宋_GBK" w:cs="Times New Roman"/>
          <w:color w:val="000000"/>
          <w:kern w:val="0"/>
          <w:sz w:val="32"/>
          <w:szCs w:val="32"/>
          <w:highlight w:val="none"/>
          <w:shd w:val="clear" w:color="auto" w:fill="FFFFFF"/>
          <w:lang w:eastAsia="zh-CN"/>
        </w:rPr>
        <w:t>绩效评价结果为良好的，在安排该项目后续资</w:t>
      </w:r>
      <w:r>
        <w:rPr>
          <w:rFonts w:hint="eastAsia" w:ascii="Times New Roman" w:hAnsi="Times New Roman" w:eastAsia="方正仿宋_GBK" w:cs="Times New Roman"/>
          <w:color w:val="000000"/>
          <w:kern w:val="0"/>
          <w:sz w:val="32"/>
          <w:szCs w:val="32"/>
          <w:highlight w:val="none"/>
          <w:shd w:val="clear" w:color="auto" w:fill="FFFFFF"/>
          <w:lang w:eastAsia="zh-CN"/>
        </w:rPr>
        <w:t>金</w:t>
      </w:r>
      <w:r>
        <w:rPr>
          <w:rFonts w:hint="default" w:ascii="Times New Roman" w:hAnsi="Times New Roman" w:eastAsia="方正仿宋_GBK" w:cs="Times New Roman"/>
          <w:color w:val="000000"/>
          <w:kern w:val="0"/>
          <w:sz w:val="32"/>
          <w:szCs w:val="32"/>
          <w:highlight w:val="none"/>
          <w:shd w:val="clear" w:color="auto" w:fill="FFFFFF"/>
          <w:lang w:eastAsia="zh-CN"/>
        </w:rPr>
        <w:t>时给予保障，力求延续项目能够持续有效开展。三</w:t>
      </w:r>
      <w:r>
        <w:rPr>
          <w:rFonts w:hint="eastAsia" w:ascii="Times New Roman" w:hAnsi="Times New Roman" w:eastAsia="方正仿宋_GBK" w:cs="Times New Roman"/>
          <w:color w:val="000000"/>
          <w:kern w:val="0"/>
          <w:sz w:val="32"/>
          <w:szCs w:val="32"/>
          <w:highlight w:val="none"/>
          <w:shd w:val="clear" w:color="auto" w:fill="FFFFFF"/>
          <w:lang w:eastAsia="zh-CN"/>
        </w:rPr>
        <w:t>是</w:t>
      </w:r>
      <w:r>
        <w:rPr>
          <w:rFonts w:hint="default" w:ascii="Times New Roman" w:hAnsi="Times New Roman" w:eastAsia="方正仿宋_GBK" w:cs="Times New Roman"/>
          <w:color w:val="000000"/>
          <w:kern w:val="0"/>
          <w:sz w:val="32"/>
          <w:szCs w:val="32"/>
          <w:highlight w:val="none"/>
          <w:shd w:val="clear" w:color="auto" w:fill="FFFFFF"/>
          <w:lang w:eastAsia="zh-CN"/>
        </w:rPr>
        <w:t>绩效评价结果为合格的，提出整改意见，并对整改意见落实情况进行跟踪观察，在此过程中，拨款及支付暂缓进行。四</w:t>
      </w:r>
      <w:r>
        <w:rPr>
          <w:rFonts w:hint="eastAsia" w:ascii="Times New Roman" w:hAnsi="Times New Roman" w:eastAsia="方正仿宋_GBK" w:cs="Times New Roman"/>
          <w:color w:val="000000"/>
          <w:kern w:val="0"/>
          <w:sz w:val="32"/>
          <w:szCs w:val="32"/>
          <w:highlight w:val="none"/>
          <w:shd w:val="clear" w:color="auto" w:fill="FFFFFF"/>
          <w:lang w:eastAsia="zh-CN"/>
        </w:rPr>
        <w:t>是</w:t>
      </w:r>
      <w:r>
        <w:rPr>
          <w:rFonts w:hint="default" w:ascii="Times New Roman" w:hAnsi="Times New Roman" w:eastAsia="方正仿宋_GBK" w:cs="Times New Roman"/>
          <w:color w:val="000000"/>
          <w:kern w:val="0"/>
          <w:sz w:val="32"/>
          <w:szCs w:val="32"/>
          <w:highlight w:val="none"/>
          <w:shd w:val="clear" w:color="auto" w:fill="FFFFFF"/>
          <w:lang w:eastAsia="zh-CN"/>
        </w:rPr>
        <w:t>绩效评价结果为不合格的，及时提出整改意见，整改期间停止安排资金的拨款和支付，对于完成绩效评价的项目，加强项目前期论证和综合分析，以确保项目资金使用的安全有效。</w:t>
      </w:r>
    </w:p>
    <w:p w14:paraId="4459CE4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对项目单位</w:t>
      </w:r>
      <w:r>
        <w:rPr>
          <w:rFonts w:hint="eastAsia" w:ascii="Times New Roman" w:hAnsi="Times New Roman" w:eastAsia="方正仿宋_GBK" w:cs="Times New Roman"/>
          <w:color w:val="000000"/>
          <w:kern w:val="0"/>
          <w:sz w:val="32"/>
          <w:szCs w:val="32"/>
          <w:highlight w:val="none"/>
          <w:shd w:val="clear" w:color="auto" w:fill="FFFFFF"/>
          <w:lang w:eastAsia="zh-CN"/>
        </w:rPr>
        <w:t>绩效</w:t>
      </w:r>
      <w:r>
        <w:rPr>
          <w:rFonts w:hint="default" w:ascii="Times New Roman" w:hAnsi="Times New Roman" w:eastAsia="方正仿宋_GBK" w:cs="Times New Roman"/>
          <w:color w:val="000000"/>
          <w:kern w:val="0"/>
          <w:sz w:val="32"/>
          <w:szCs w:val="32"/>
          <w:highlight w:val="none"/>
          <w:shd w:val="clear" w:color="auto" w:fill="FFFFFF"/>
          <w:lang w:eastAsia="zh-CN"/>
        </w:rPr>
        <w:t>自评完成</w:t>
      </w:r>
      <w:r>
        <w:rPr>
          <w:rFonts w:hint="eastAsia" w:ascii="Times New Roman" w:hAnsi="Times New Roman" w:eastAsia="方正仿宋_GBK" w:cs="Times New Roman"/>
          <w:color w:val="000000"/>
          <w:kern w:val="0"/>
          <w:sz w:val="32"/>
          <w:szCs w:val="32"/>
          <w:highlight w:val="none"/>
          <w:shd w:val="clear" w:color="auto" w:fill="FFFFFF"/>
          <w:lang w:eastAsia="zh-CN"/>
        </w:rPr>
        <w:t>进度</w:t>
      </w:r>
      <w:r>
        <w:rPr>
          <w:rFonts w:hint="default" w:ascii="Times New Roman" w:hAnsi="Times New Roman" w:eastAsia="方正仿宋_GBK" w:cs="Times New Roman"/>
          <w:color w:val="000000"/>
          <w:kern w:val="0"/>
          <w:sz w:val="32"/>
          <w:szCs w:val="32"/>
          <w:highlight w:val="none"/>
          <w:shd w:val="clear" w:color="auto" w:fill="FFFFFF"/>
          <w:lang w:eastAsia="zh-CN"/>
        </w:rPr>
        <w:t>、完成质量以及组织开展等情况，在一定范围内对其评价结论予以通报，促使其自觉地、保质保量地完成项目绩效自评工作。同时在本县门户网站公开财政支出绩效评价情况，使公众了解有关项目的实际绩效水平，接受社会公众监督。</w:t>
      </w:r>
    </w:p>
    <w:p w14:paraId="366D6FB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3</w:t>
      </w: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预算公开。按照部门预算公开的相关要求，我单位于202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w:t>
      </w:r>
      <w:r>
        <w:rPr>
          <w:rFonts w:hint="default" w:ascii="Times New Roman" w:hAnsi="Times New Roman" w:eastAsia="方正仿宋_GBK" w:cs="Times New Roman"/>
          <w:color w:val="000000"/>
          <w:kern w:val="0"/>
          <w:sz w:val="32"/>
          <w:szCs w:val="32"/>
          <w:highlight w:val="none"/>
          <w:shd w:val="clear" w:color="auto" w:fill="FFFFFF"/>
          <w:lang w:val="en-US" w:eastAsia="zh-CN"/>
        </w:rPr>
        <w:t>7</w:t>
      </w:r>
      <w:r>
        <w:rPr>
          <w:rFonts w:hint="default" w:ascii="Times New Roman" w:hAnsi="Times New Roman" w:eastAsia="方正仿宋_GBK" w:cs="Times New Roman"/>
          <w:color w:val="000000"/>
          <w:kern w:val="0"/>
          <w:sz w:val="32"/>
          <w:szCs w:val="32"/>
          <w:highlight w:val="none"/>
          <w:shd w:val="clear" w:color="auto" w:fill="FFFFFF"/>
          <w:lang w:eastAsia="zh-CN"/>
        </w:rPr>
        <w:t>月</w:t>
      </w:r>
      <w:r>
        <w:rPr>
          <w:rFonts w:hint="default" w:ascii="Times New Roman" w:hAnsi="Times New Roman" w:eastAsia="方正仿宋_GBK" w:cs="Times New Roman"/>
          <w:color w:val="000000"/>
          <w:kern w:val="0"/>
          <w:sz w:val="32"/>
          <w:szCs w:val="32"/>
          <w:highlight w:val="none"/>
          <w:shd w:val="clear" w:color="auto" w:fill="FFFFFF"/>
          <w:lang w:val="en-US" w:eastAsia="zh-CN"/>
        </w:rPr>
        <w:t>9</w:t>
      </w:r>
      <w:r>
        <w:rPr>
          <w:rFonts w:hint="default" w:ascii="Times New Roman" w:hAnsi="Times New Roman" w:eastAsia="方正仿宋_GBK" w:cs="Times New Roman"/>
          <w:color w:val="000000"/>
          <w:kern w:val="0"/>
          <w:sz w:val="32"/>
          <w:szCs w:val="32"/>
          <w:highlight w:val="none"/>
          <w:shd w:val="clear" w:color="auto" w:fill="FFFFFF"/>
          <w:lang w:eastAsia="zh-CN"/>
        </w:rPr>
        <w:t>日在渠县门户网站公开了202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年部门预算，并将部门项目支出绩效目标、部门整体绩效目标和预算绩效管理情况随同预算公开。</w:t>
      </w:r>
    </w:p>
    <w:p w14:paraId="0D133F4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4</w:t>
      </w: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决算公开。按照部门决算公开的相关要求，我单位于202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w:t>
      </w:r>
      <w:r>
        <w:rPr>
          <w:rFonts w:hint="default" w:ascii="Times New Roman" w:hAnsi="Times New Roman" w:eastAsia="方正仿宋_GBK" w:cs="Times New Roman"/>
          <w:color w:val="000000"/>
          <w:kern w:val="0"/>
          <w:sz w:val="32"/>
          <w:szCs w:val="32"/>
          <w:highlight w:val="none"/>
          <w:shd w:val="clear" w:color="auto" w:fill="FFFFFF"/>
          <w:lang w:val="en-US" w:eastAsia="zh-CN"/>
        </w:rPr>
        <w:t>9</w:t>
      </w:r>
      <w:r>
        <w:rPr>
          <w:rFonts w:hint="default" w:ascii="Times New Roman" w:hAnsi="Times New Roman" w:eastAsia="方正仿宋_GBK" w:cs="Times New Roman"/>
          <w:color w:val="000000"/>
          <w:kern w:val="0"/>
          <w:sz w:val="32"/>
          <w:szCs w:val="32"/>
          <w:highlight w:val="none"/>
          <w:shd w:val="clear" w:color="auto" w:fill="FFFFFF"/>
          <w:lang w:eastAsia="zh-CN"/>
        </w:rPr>
        <w:t>月2</w:t>
      </w:r>
      <w:r>
        <w:rPr>
          <w:rFonts w:hint="eastAsia" w:ascii="Times New Roman" w:hAnsi="Times New Roman" w:eastAsia="方正仿宋_GBK" w:cs="Times New Roman"/>
          <w:color w:val="000000"/>
          <w:kern w:val="0"/>
          <w:sz w:val="32"/>
          <w:szCs w:val="32"/>
          <w:highlight w:val="none"/>
          <w:shd w:val="clear" w:color="auto" w:fill="FFFFFF"/>
          <w:lang w:val="en-US" w:eastAsia="zh-CN"/>
        </w:rPr>
        <w:t>9</w:t>
      </w:r>
      <w:r>
        <w:rPr>
          <w:rFonts w:hint="default" w:ascii="Times New Roman" w:hAnsi="Times New Roman" w:eastAsia="方正仿宋_GBK" w:cs="Times New Roman"/>
          <w:color w:val="000000"/>
          <w:kern w:val="0"/>
          <w:sz w:val="32"/>
          <w:szCs w:val="32"/>
          <w:highlight w:val="none"/>
          <w:shd w:val="clear" w:color="auto" w:fill="FFFFFF"/>
          <w:lang w:eastAsia="zh-CN"/>
        </w:rPr>
        <w:t>日在渠县门户网站公开了202</w:t>
      </w:r>
      <w:r>
        <w:rPr>
          <w:rFonts w:hint="default"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eastAsia="zh-CN"/>
        </w:rPr>
        <w:t>年部门决算，并将部门整体绩效目标自评、项目支出绩效目标自评、部门整体绩效自评报告和项目绩效自评报告情况随同决算公开。</w:t>
      </w:r>
    </w:p>
    <w:p w14:paraId="2B94829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5</w:t>
      </w: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整改反馈情况。</w:t>
      </w:r>
    </w:p>
    <w:p w14:paraId="38D5A5F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（1）结果整改。202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年，渠县财政局在202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年部门预算绩效目标审查、绩效监控和202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年重点绩效评价中，我单位202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eastAsia="zh-CN"/>
        </w:rPr>
        <w:t>年不涉及问题整改。</w:t>
      </w:r>
    </w:p>
    <w:p w14:paraId="3F5CCC8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default" w:ascii="Times New Roman" w:hAnsi="Times New Roman" w:eastAsia="方正仿宋_GBK" w:cs="Times New Roman"/>
          <w:color w:val="000000"/>
          <w:kern w:val="0"/>
          <w:sz w:val="32"/>
          <w:szCs w:val="32"/>
          <w:highlight w:val="none"/>
          <w:shd w:val="clear" w:color="auto" w:fill="FFFFFF"/>
          <w:lang w:eastAsia="zh-CN"/>
        </w:rPr>
        <w:t>（2）应用反馈。我单位本年度未收到相关整改意见。</w:t>
      </w:r>
    </w:p>
    <w:p w14:paraId="1583002C">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方正黑体_GBK" w:hAnsi="方正黑体_GBK" w:eastAsia="方正黑体_GBK" w:cs="方正黑体_GBK"/>
          <w:color w:val="000000"/>
          <w:kern w:val="0"/>
          <w:sz w:val="32"/>
          <w:szCs w:val="32"/>
          <w:lang w:val="en-US" w:eastAsia="zh-CN"/>
        </w:rPr>
      </w:pPr>
      <w:r>
        <w:rPr>
          <w:rFonts w:hint="default" w:ascii="方正黑体_GBK" w:hAnsi="方正黑体_GBK" w:eastAsia="方正黑体_GBK" w:cs="方正黑体_GBK"/>
          <w:color w:val="000000"/>
          <w:kern w:val="0"/>
          <w:sz w:val="32"/>
          <w:szCs w:val="32"/>
          <w:lang w:val="en-US" w:eastAsia="zh-CN"/>
        </w:rPr>
        <w:t>四、评价结论及建议</w:t>
      </w:r>
    </w:p>
    <w:p w14:paraId="08AC51C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方正楷体_GBK" w:hAnsi="方正楷体_GBK" w:eastAsia="方正楷体_GBK" w:cs="方正楷体_GBK"/>
          <w:color w:val="000000"/>
          <w:kern w:val="0"/>
          <w:sz w:val="32"/>
          <w:szCs w:val="32"/>
          <w:lang w:val="zh-CN" w:eastAsia="zh-CN"/>
        </w:rPr>
      </w:pPr>
      <w:r>
        <w:rPr>
          <w:rFonts w:hint="default" w:ascii="方正楷体_GBK" w:hAnsi="方正楷体_GBK" w:eastAsia="方正楷体_GBK" w:cs="方正楷体_GBK"/>
          <w:color w:val="000000"/>
          <w:kern w:val="0"/>
          <w:sz w:val="32"/>
          <w:szCs w:val="32"/>
          <w:lang w:val="zh-CN" w:eastAsia="zh-CN"/>
        </w:rPr>
        <w:t>（一）评价结论。</w:t>
      </w:r>
    </w:p>
    <w:p w14:paraId="50D2843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rPr>
      </w:pPr>
      <w:r>
        <w:rPr>
          <w:rFonts w:hint="default" w:ascii="Times New Roman" w:hAnsi="Times New Roman" w:eastAsia="方正仿宋_GBK" w:cs="Times New Roman"/>
          <w:b w:val="0"/>
          <w:bCs w:val="0"/>
          <w:color w:val="000000"/>
          <w:kern w:val="0"/>
          <w:sz w:val="32"/>
          <w:szCs w:val="32"/>
          <w:highlight w:val="none"/>
          <w:shd w:val="clear" w:color="auto" w:fill="FFFFFF"/>
          <w:lang w:val="zh-CN"/>
        </w:rPr>
        <w:t>我镇202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4</w:t>
      </w:r>
      <w:r>
        <w:rPr>
          <w:rFonts w:hint="default" w:ascii="Times New Roman" w:hAnsi="Times New Roman" w:eastAsia="方正仿宋_GBK" w:cs="Times New Roman"/>
          <w:b w:val="0"/>
          <w:bCs w:val="0"/>
          <w:color w:val="000000"/>
          <w:kern w:val="0"/>
          <w:sz w:val="32"/>
          <w:szCs w:val="32"/>
          <w:highlight w:val="none"/>
          <w:shd w:val="clear" w:color="auto" w:fill="FFFFFF"/>
          <w:lang w:val="zh-CN"/>
        </w:rPr>
        <w:t>年部门整体支出绩效情况好，预算编制较为科学和准确，预算执行进度好，财务管理制度健全，财务工作岗位设置合理，资金使用规范，政府采购严格执行了促进中小企业发展相关管理办法，预算项目的设立履行了项目申报论证程序，项目绩效目标制定较为科学合理、规范完整、量化细化，积极发挥部门职能，按照《2024年渠县部门预算绩效评价指标体系》设定的绩效指标和评分标准，我单位202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4</w:t>
      </w:r>
      <w:r>
        <w:rPr>
          <w:rFonts w:hint="default" w:ascii="Times New Roman" w:hAnsi="Times New Roman" w:eastAsia="方正仿宋_GBK" w:cs="Times New Roman"/>
          <w:b w:val="0"/>
          <w:bCs w:val="0"/>
          <w:color w:val="000000"/>
          <w:kern w:val="0"/>
          <w:sz w:val="32"/>
          <w:szCs w:val="32"/>
          <w:highlight w:val="none"/>
          <w:shd w:val="clear" w:color="auto" w:fill="FFFFFF"/>
          <w:lang w:val="zh-CN"/>
        </w:rPr>
        <w:t>年部门整体支出绩效评价得分9</w:t>
      </w:r>
      <w:r>
        <w:rPr>
          <w:rFonts w:hint="eastAsia" w:ascii="Times New Roman" w:hAnsi="Times New Roman" w:eastAsia="方正仿宋_GBK" w:cs="Times New Roman"/>
          <w:b w:val="0"/>
          <w:bCs w:val="0"/>
          <w:color w:val="000000"/>
          <w:kern w:val="0"/>
          <w:sz w:val="32"/>
          <w:szCs w:val="32"/>
          <w:highlight w:val="none"/>
          <w:shd w:val="clear" w:color="auto" w:fill="FFFFFF"/>
          <w:lang w:val="en-US" w:eastAsia="zh-CN"/>
        </w:rPr>
        <w:t>7</w:t>
      </w:r>
      <w:r>
        <w:rPr>
          <w:rFonts w:hint="default" w:ascii="Times New Roman" w:hAnsi="Times New Roman" w:eastAsia="方正仿宋_GBK" w:cs="Times New Roman"/>
          <w:b w:val="0"/>
          <w:bCs w:val="0"/>
          <w:color w:val="000000"/>
          <w:kern w:val="0"/>
          <w:sz w:val="32"/>
          <w:szCs w:val="32"/>
          <w:highlight w:val="none"/>
          <w:shd w:val="clear" w:color="auto" w:fill="FFFFFF"/>
          <w:lang w:val="zh-CN"/>
        </w:rPr>
        <w:t>分。</w:t>
      </w:r>
    </w:p>
    <w:p w14:paraId="1D416772">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方正楷体_GBK" w:hAnsi="方正楷体_GBK" w:eastAsia="方正楷体_GBK" w:cs="方正楷体_GBK"/>
          <w:color w:val="000000"/>
          <w:kern w:val="0"/>
          <w:sz w:val="32"/>
          <w:szCs w:val="32"/>
          <w:lang w:val="zh-CN" w:eastAsia="zh-CN"/>
        </w:rPr>
      </w:pPr>
      <w:r>
        <w:rPr>
          <w:rFonts w:hint="default" w:ascii="方正楷体_GBK" w:hAnsi="方正楷体_GBK" w:eastAsia="方正楷体_GBK" w:cs="方正楷体_GBK"/>
          <w:color w:val="000000"/>
          <w:kern w:val="0"/>
          <w:sz w:val="32"/>
          <w:szCs w:val="32"/>
          <w:lang w:val="zh-CN" w:eastAsia="zh-CN"/>
        </w:rPr>
        <w:t>（</w:t>
      </w:r>
      <w:r>
        <w:rPr>
          <w:rFonts w:hint="eastAsia" w:ascii="方正楷体_GBK" w:hAnsi="方正楷体_GBK" w:eastAsia="方正楷体_GBK" w:cs="方正楷体_GBK"/>
          <w:color w:val="000000"/>
          <w:kern w:val="0"/>
          <w:sz w:val="32"/>
          <w:szCs w:val="32"/>
          <w:lang w:val="zh-CN" w:eastAsia="zh-CN"/>
        </w:rPr>
        <w:t>二</w:t>
      </w:r>
      <w:r>
        <w:rPr>
          <w:rFonts w:hint="default" w:ascii="方正楷体_GBK" w:hAnsi="方正楷体_GBK" w:eastAsia="方正楷体_GBK" w:cs="方正楷体_GBK"/>
          <w:color w:val="000000"/>
          <w:kern w:val="0"/>
          <w:sz w:val="32"/>
          <w:szCs w:val="32"/>
          <w:lang w:val="zh-CN" w:eastAsia="zh-CN"/>
        </w:rPr>
        <w:t>）存在问题。</w:t>
      </w:r>
    </w:p>
    <w:p w14:paraId="4DE0EA1A">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1.在项目立项时考虑不充分，实施阶段跟踪监督不到位，导致实施进度迟缓。</w:t>
      </w:r>
    </w:p>
    <w:p w14:paraId="27071F40">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2.对制度的学习、认识、理解不到位。主要表现在组织人员学习制度的时间不多，存在重学习形式轻学习内容，对学习的制度理解不深。</w:t>
      </w:r>
    </w:p>
    <w:p w14:paraId="7C818803">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3.制度执行不力，存在不到位的现象。虽然制定了各种管理制度，但由于人员编制紧张、工作量大等因素，制度执行中存在畏难情绪，导致执行力度不够。</w:t>
      </w:r>
    </w:p>
    <w:p w14:paraId="31730FAB">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方正楷体_GBK" w:hAnsi="方正楷体_GBK" w:eastAsia="方正楷体_GBK" w:cs="方正楷体_GBK"/>
          <w:color w:val="000000"/>
          <w:kern w:val="0"/>
          <w:sz w:val="32"/>
          <w:szCs w:val="32"/>
          <w:lang w:val="zh-CN" w:eastAsia="zh-CN"/>
        </w:rPr>
      </w:pPr>
      <w:r>
        <w:rPr>
          <w:rFonts w:hint="default" w:ascii="方正楷体_GBK" w:hAnsi="方正楷体_GBK" w:eastAsia="方正楷体_GBK" w:cs="方正楷体_GBK"/>
          <w:color w:val="000000"/>
          <w:kern w:val="0"/>
          <w:sz w:val="32"/>
          <w:szCs w:val="32"/>
          <w:lang w:val="zh-CN" w:eastAsia="zh-CN"/>
        </w:rPr>
        <w:t>（三</w:t>
      </w:r>
      <w:r>
        <w:rPr>
          <w:rFonts w:hint="eastAsia" w:ascii="方正楷体_GBK" w:hAnsi="方正楷体_GBK" w:eastAsia="方正楷体_GBK" w:cs="方正楷体_GBK"/>
          <w:color w:val="000000"/>
          <w:kern w:val="0"/>
          <w:sz w:val="32"/>
          <w:szCs w:val="32"/>
          <w:lang w:val="zh-CN" w:eastAsia="zh-CN"/>
        </w:rPr>
        <w:t>）</w:t>
      </w:r>
      <w:r>
        <w:rPr>
          <w:rFonts w:hint="default" w:ascii="方正楷体_GBK" w:hAnsi="方正楷体_GBK" w:eastAsia="方正楷体_GBK" w:cs="方正楷体_GBK"/>
          <w:color w:val="000000"/>
          <w:kern w:val="0"/>
          <w:sz w:val="32"/>
          <w:szCs w:val="32"/>
          <w:lang w:val="zh-CN" w:eastAsia="zh-CN"/>
        </w:rPr>
        <w:t>改进建议。</w:t>
      </w:r>
      <w:bookmarkStart w:id="0" w:name="_Hlk110546638"/>
    </w:p>
    <w:p w14:paraId="31BA0C70">
      <w:pPr>
        <w:keepNext w:val="0"/>
        <w:keepLines w:val="0"/>
        <w:pageBreakBefore w:val="0"/>
        <w:widowControl/>
        <w:kinsoku/>
        <w:wordWrap/>
        <w:overflowPunct/>
        <w:topLinePunct w:val="0"/>
        <w:autoSpaceDE/>
        <w:autoSpaceDN/>
        <w:bidi w:val="0"/>
        <w:adjustRightInd/>
        <w:snapToGrid/>
        <w:spacing w:line="578" w:lineRule="exact"/>
        <w:ind w:left="0" w:leftChars="0" w:right="0" w:firstLine="640" w:firstLineChars="200"/>
        <w:jc w:val="lef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zh-CN" w:eastAsia="zh-CN"/>
        </w:rPr>
        <w:t>在接下来的工作中，将做好项目事前评估，优化项目绩效编制，更科学的细化项目绩效目标，对有偏差的绩效目标进行及时纠正整改。有计划、有步骤、全面有效的实施部门预算绩效管理。</w:t>
      </w:r>
      <w:bookmarkEnd w:id="0"/>
    </w:p>
    <w:p w14:paraId="2110142B">
      <w:pPr>
        <w:keepNext w:val="0"/>
        <w:keepLines w:val="0"/>
        <w:pageBreakBefore w:val="0"/>
        <w:widowControl/>
        <w:kinsoku/>
        <w:wordWrap/>
        <w:overflowPunct/>
        <w:topLinePunct w:val="0"/>
        <w:autoSpaceDE/>
        <w:autoSpaceDN/>
        <w:bidi w:val="0"/>
        <w:adjustRightInd/>
        <w:snapToGrid/>
        <w:spacing w:line="578" w:lineRule="exact"/>
        <w:ind w:right="0"/>
        <w:jc w:val="left"/>
        <w:textAlignment w:val="auto"/>
        <w:rPr>
          <w:rFonts w:hint="default" w:ascii="Times New Roman" w:hAnsi="Times New Roman" w:eastAsia="方正仿宋_GBK" w:cs="Times New Roman"/>
          <w:color w:val="000000"/>
          <w:kern w:val="0"/>
          <w:sz w:val="32"/>
          <w:szCs w:val="32"/>
          <w:lang w:val="en-US" w:eastAsia="zh-CN"/>
        </w:rPr>
      </w:pPr>
    </w:p>
    <w:p w14:paraId="50126B5E">
      <w:pPr>
        <w:spacing w:beforeLines="0" w:afterLines="0" w:line="578" w:lineRule="exact"/>
        <w:ind w:firstLine="640" w:firstLineChars="200"/>
        <w:rPr>
          <w:rFonts w:hint="eastAsia" w:ascii="Times New Roman" w:hAnsi="Times New Roman" w:eastAsia="方正仿宋_GBK" w:cs="Times New Roman"/>
          <w:sz w:val="32"/>
          <w:szCs w:val="32"/>
          <w:lang w:eastAsia="zh-CN"/>
        </w:rPr>
      </w:pPr>
    </w:p>
    <w:p w14:paraId="7DFEB6E1">
      <w:pPr>
        <w:keepNext w:val="0"/>
        <w:keepLines w:val="0"/>
        <w:pageBreakBefore w:val="0"/>
        <w:widowControl w:val="0"/>
        <w:kinsoku/>
        <w:wordWrap w:val="0"/>
        <w:overflowPunct/>
        <w:topLinePunct w:val="0"/>
        <w:autoSpaceDE/>
        <w:autoSpaceDN/>
        <w:bidi w:val="0"/>
        <w:adjustRightInd/>
        <w:snapToGrid/>
        <w:spacing w:line="578" w:lineRule="exact"/>
        <w:jc w:val="right"/>
        <w:textAlignment w:val="auto"/>
        <w:rPr>
          <w:rFonts w:hint="eastAsia" w:ascii="方正仿宋_GBK" w:hAnsi="方正仿宋_GBK" w:eastAsia="方正仿宋_GBK" w:cs="方正仿宋_GBK"/>
          <w:sz w:val="32"/>
          <w:szCs w:val="32"/>
        </w:rPr>
      </w:pPr>
    </w:p>
    <w:p w14:paraId="10554EE1">
      <w:pPr>
        <w:keepNext w:val="0"/>
        <w:keepLines w:val="0"/>
        <w:pageBreakBefore w:val="0"/>
        <w:widowControl w:val="0"/>
        <w:kinsoku/>
        <w:wordWrap/>
        <w:overflowPunct/>
        <w:topLinePunct w:val="0"/>
        <w:autoSpaceDE/>
        <w:autoSpaceDN/>
        <w:bidi w:val="0"/>
        <w:adjustRightInd/>
        <w:snapToGrid/>
        <w:spacing w:beforeLines="0" w:afterLines="0" w:line="578" w:lineRule="exact"/>
        <w:ind w:right="945" w:rightChars="450" w:firstLine="640" w:firstLineChars="200"/>
        <w:jc w:val="right"/>
        <w:textAlignment w:val="auto"/>
        <w:rPr>
          <w:rFonts w:hint="default" w:ascii="Times New Roman" w:hAnsi="Times New Roman" w:eastAsia="方正仿宋_GBK"/>
          <w:sz w:val="32"/>
          <w:szCs w:val="24"/>
        </w:rPr>
      </w:pPr>
      <w:r>
        <w:rPr>
          <w:rFonts w:hint="eastAsia" w:ascii="Times New Roman" w:hAnsi="Times New Roman" w:eastAsia="方正仿宋_GBK"/>
          <w:sz w:val="32"/>
          <w:szCs w:val="24"/>
        </w:rPr>
        <w:t>渠县青龙镇人民政府</w:t>
      </w:r>
    </w:p>
    <w:p w14:paraId="77EB266A">
      <w:pPr>
        <w:pStyle w:val="6"/>
        <w:ind w:firstLine="5190" w:firstLineChars="1622"/>
        <w:rPr>
          <w:rFonts w:hint="default"/>
          <w:lang w:val="en-US" w:eastAsia="zh-CN"/>
        </w:rPr>
      </w:pPr>
      <w:r>
        <w:rPr>
          <w:rFonts w:hint="default" w:ascii="Times New Roman" w:hAnsi="Times New Roman" w:eastAsia="方正仿宋_GBK"/>
          <w:sz w:val="32"/>
          <w:szCs w:val="24"/>
        </w:rPr>
        <w:t>202</w:t>
      </w:r>
      <w:r>
        <w:rPr>
          <w:rFonts w:hint="eastAsia" w:ascii="Times New Roman" w:hAnsi="Times New Roman" w:eastAsia="方正仿宋_GBK"/>
          <w:sz w:val="32"/>
          <w:szCs w:val="24"/>
          <w:lang w:val="en-US" w:eastAsia="zh-CN"/>
        </w:rPr>
        <w:t>5</w:t>
      </w:r>
      <w:r>
        <w:rPr>
          <w:rFonts w:hint="eastAsia" w:ascii="Times New Roman" w:hAnsi="Times New Roman" w:eastAsia="方正仿宋_GBK"/>
          <w:sz w:val="32"/>
          <w:szCs w:val="24"/>
        </w:rPr>
        <w:t>年</w:t>
      </w:r>
      <w:r>
        <w:rPr>
          <w:rFonts w:hint="eastAsia" w:ascii="Times New Roman" w:hAnsi="Times New Roman" w:eastAsia="方正仿宋_GBK"/>
          <w:sz w:val="32"/>
          <w:szCs w:val="24"/>
          <w:lang w:val="en-US" w:eastAsia="zh-CN"/>
        </w:rPr>
        <w:t>7</w:t>
      </w:r>
      <w:r>
        <w:rPr>
          <w:rFonts w:hint="eastAsia" w:ascii="Times New Roman" w:hAnsi="Times New Roman" w:eastAsia="方正仿宋_GBK"/>
          <w:sz w:val="32"/>
          <w:szCs w:val="24"/>
        </w:rPr>
        <w:t>月</w:t>
      </w:r>
      <w:r>
        <w:rPr>
          <w:rFonts w:hint="eastAsia" w:ascii="Times New Roman" w:hAnsi="Times New Roman" w:eastAsia="方正仿宋_GBK"/>
          <w:sz w:val="32"/>
          <w:szCs w:val="24"/>
          <w:lang w:val="en-US" w:eastAsia="zh-CN"/>
        </w:rPr>
        <w:t>7</w:t>
      </w:r>
      <w:r>
        <w:rPr>
          <w:rFonts w:hint="eastAsia" w:ascii="Times New Roman" w:hAnsi="Times New Roman" w:eastAsia="方正仿宋_GBK"/>
          <w:sz w:val="32"/>
          <w:szCs w:val="24"/>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0B6EAF88-85EA-4CA0-BC86-7956B62A9732}"/>
  </w:font>
  <w:font w:name="方正仿宋_GBK">
    <w:panose1 w:val="02000000000000000000"/>
    <w:charset w:val="86"/>
    <w:family w:val="auto"/>
    <w:pitch w:val="default"/>
    <w:sig w:usb0="A00002BF" w:usb1="38CF7CFA" w:usb2="00082016" w:usb3="00000000" w:csb0="00040001" w:csb1="00000000"/>
    <w:embedRegular r:id="rId2" w:fontKey="{D72B669E-A15C-4DD0-8F3C-14D464AAF5A4}"/>
  </w:font>
  <w:font w:name="方正黑体_GBK">
    <w:panose1 w:val="03000509000000000000"/>
    <w:charset w:val="86"/>
    <w:family w:val="auto"/>
    <w:pitch w:val="default"/>
    <w:sig w:usb0="00000001" w:usb1="080E0000" w:usb2="00000000" w:usb3="00000000" w:csb0="00040000" w:csb1="00000000"/>
    <w:embedRegular r:id="rId3" w:fontKey="{336BCBE6-5E07-4CFF-999B-00426F0B512C}"/>
  </w:font>
  <w:font w:name="方正楷体_GBK">
    <w:panose1 w:val="02000000000000000000"/>
    <w:charset w:val="86"/>
    <w:family w:val="auto"/>
    <w:pitch w:val="default"/>
    <w:sig w:usb0="800002BF" w:usb1="38CF7CFA" w:usb2="00000016" w:usb3="00000000" w:csb0="00040000" w:csb1="00000000"/>
    <w:embedRegular r:id="rId4" w:fontKey="{21CDFF6A-F0FF-4BB6-9577-FA2A7361D3CC}"/>
  </w:font>
  <w:font w:name="WPSEMBED4">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800002BF" w:usb1="38CF7CFA" w:usb2="00000016"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07F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BB922">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1BB922">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ZThhYWRjYWFmM2JiZjRhMDJlYTdjMzIxNTRkNzQifQ=="/>
  </w:docVars>
  <w:rsids>
    <w:rsidRoot w:val="00000000"/>
    <w:rsid w:val="00535E7A"/>
    <w:rsid w:val="012810B4"/>
    <w:rsid w:val="01457570"/>
    <w:rsid w:val="01B906EA"/>
    <w:rsid w:val="01BD12AA"/>
    <w:rsid w:val="04623E3F"/>
    <w:rsid w:val="04AB4D5E"/>
    <w:rsid w:val="05FE4192"/>
    <w:rsid w:val="09DC1CDD"/>
    <w:rsid w:val="0B0B35D9"/>
    <w:rsid w:val="0B186986"/>
    <w:rsid w:val="0E771714"/>
    <w:rsid w:val="0ED2440E"/>
    <w:rsid w:val="0F152C78"/>
    <w:rsid w:val="0F1F58A5"/>
    <w:rsid w:val="0F4E618A"/>
    <w:rsid w:val="13382A5C"/>
    <w:rsid w:val="13D34EB0"/>
    <w:rsid w:val="15C727F2"/>
    <w:rsid w:val="15D71885"/>
    <w:rsid w:val="15F551FE"/>
    <w:rsid w:val="15FF305B"/>
    <w:rsid w:val="181D0DEF"/>
    <w:rsid w:val="19C867F8"/>
    <w:rsid w:val="1AE45BF4"/>
    <w:rsid w:val="1AE96D67"/>
    <w:rsid w:val="1AFC1190"/>
    <w:rsid w:val="1BCA30B9"/>
    <w:rsid w:val="1C1D368F"/>
    <w:rsid w:val="1C1E7F81"/>
    <w:rsid w:val="1C7C0FF7"/>
    <w:rsid w:val="1C82538E"/>
    <w:rsid w:val="1CB533A4"/>
    <w:rsid w:val="1DE5046B"/>
    <w:rsid w:val="1E070823"/>
    <w:rsid w:val="219E641D"/>
    <w:rsid w:val="22280ABD"/>
    <w:rsid w:val="23953F30"/>
    <w:rsid w:val="249C557D"/>
    <w:rsid w:val="288F180D"/>
    <w:rsid w:val="28EB0FF7"/>
    <w:rsid w:val="2A1826E3"/>
    <w:rsid w:val="2AEA043C"/>
    <w:rsid w:val="2B98280F"/>
    <w:rsid w:val="2BA70CA4"/>
    <w:rsid w:val="2BB67139"/>
    <w:rsid w:val="2C5F50DB"/>
    <w:rsid w:val="2C8763E0"/>
    <w:rsid w:val="2D6A01DB"/>
    <w:rsid w:val="2DDD65CB"/>
    <w:rsid w:val="2EDF69A7"/>
    <w:rsid w:val="2F2D14C0"/>
    <w:rsid w:val="2F353C0C"/>
    <w:rsid w:val="307B44AD"/>
    <w:rsid w:val="31093867"/>
    <w:rsid w:val="319F4E79"/>
    <w:rsid w:val="325A0326"/>
    <w:rsid w:val="3379117D"/>
    <w:rsid w:val="33933D2A"/>
    <w:rsid w:val="33CB5D71"/>
    <w:rsid w:val="34052A0C"/>
    <w:rsid w:val="350E769E"/>
    <w:rsid w:val="35B71AE4"/>
    <w:rsid w:val="36364224"/>
    <w:rsid w:val="37F54B45"/>
    <w:rsid w:val="387B504A"/>
    <w:rsid w:val="38ED7FDB"/>
    <w:rsid w:val="3A9B19D4"/>
    <w:rsid w:val="3AA50AA5"/>
    <w:rsid w:val="3AF413B6"/>
    <w:rsid w:val="3B343BD6"/>
    <w:rsid w:val="3BDA652C"/>
    <w:rsid w:val="40FD201B"/>
    <w:rsid w:val="41377F7D"/>
    <w:rsid w:val="41A97853"/>
    <w:rsid w:val="422E4506"/>
    <w:rsid w:val="434512A2"/>
    <w:rsid w:val="44625477"/>
    <w:rsid w:val="446D72CF"/>
    <w:rsid w:val="459736E0"/>
    <w:rsid w:val="46E920AB"/>
    <w:rsid w:val="47446A78"/>
    <w:rsid w:val="47A45C40"/>
    <w:rsid w:val="487E726E"/>
    <w:rsid w:val="49A32653"/>
    <w:rsid w:val="49F11610"/>
    <w:rsid w:val="4A90476C"/>
    <w:rsid w:val="4B825EE0"/>
    <w:rsid w:val="4C8449BE"/>
    <w:rsid w:val="4DAB1AD6"/>
    <w:rsid w:val="4EC54E74"/>
    <w:rsid w:val="51593361"/>
    <w:rsid w:val="53B611D5"/>
    <w:rsid w:val="53B77E11"/>
    <w:rsid w:val="55DD2BA5"/>
    <w:rsid w:val="59554FEC"/>
    <w:rsid w:val="598474ED"/>
    <w:rsid w:val="59DC5288"/>
    <w:rsid w:val="59F32A13"/>
    <w:rsid w:val="5A7227AB"/>
    <w:rsid w:val="5AAE5CD6"/>
    <w:rsid w:val="5CB14C2F"/>
    <w:rsid w:val="5D0631CD"/>
    <w:rsid w:val="5D610403"/>
    <w:rsid w:val="5FB46F10"/>
    <w:rsid w:val="61646714"/>
    <w:rsid w:val="64550596"/>
    <w:rsid w:val="64FD3107"/>
    <w:rsid w:val="674C3ED2"/>
    <w:rsid w:val="6833299C"/>
    <w:rsid w:val="68BA7628"/>
    <w:rsid w:val="6B2A00D0"/>
    <w:rsid w:val="6DE210EC"/>
    <w:rsid w:val="6E2C2368"/>
    <w:rsid w:val="6E9323E7"/>
    <w:rsid w:val="6EA50063"/>
    <w:rsid w:val="6F280D81"/>
    <w:rsid w:val="710D46D2"/>
    <w:rsid w:val="72C75895"/>
    <w:rsid w:val="72D20BB2"/>
    <w:rsid w:val="72D65D2C"/>
    <w:rsid w:val="74D53759"/>
    <w:rsid w:val="751029E3"/>
    <w:rsid w:val="752244C4"/>
    <w:rsid w:val="75322959"/>
    <w:rsid w:val="772F4814"/>
    <w:rsid w:val="79F1491F"/>
    <w:rsid w:val="7B430CF1"/>
    <w:rsid w:val="7BAE63FA"/>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578" w:lineRule="exact"/>
      <w:ind w:firstLine="640" w:firstLineChars="200"/>
      <w:jc w:val="left"/>
      <w:outlineLvl w:val="0"/>
    </w:pPr>
    <w:rPr>
      <w:rFonts w:ascii="Times New Roman" w:hAnsi="Times New Roman" w:eastAsia="黑体"/>
      <w:kern w:val="44"/>
    </w:rPr>
  </w:style>
  <w:style w:type="paragraph" w:styleId="4">
    <w:name w:val="heading 2"/>
    <w:basedOn w:val="1"/>
    <w:next w:val="1"/>
    <w:unhideWhenUsed/>
    <w:qFormat/>
    <w:uiPriority w:val="0"/>
    <w:pPr>
      <w:keepNext w:val="0"/>
      <w:keepLines w:val="0"/>
      <w:spacing w:beforeLines="0" w:beforeAutospacing="0" w:afterLines="0" w:afterAutospacing="0" w:line="578" w:lineRule="exact"/>
      <w:ind w:firstLine="640" w:firstLineChars="200"/>
      <w:jc w:val="left"/>
      <w:outlineLvl w:val="1"/>
    </w:pPr>
    <w:rPr>
      <w:rFonts w:ascii="Arial" w:hAnsi="Arial" w:eastAsia="楷体_GB2312"/>
      <w:b/>
    </w:rPr>
  </w:style>
  <w:style w:type="paragraph" w:styleId="5">
    <w:name w:val="heading 3"/>
    <w:basedOn w:val="1"/>
    <w:next w:val="1"/>
    <w:unhideWhenUsed/>
    <w:qFormat/>
    <w:uiPriority w:val="0"/>
    <w:pPr>
      <w:keepNext w:val="0"/>
      <w:keepLines w:val="0"/>
      <w:spacing w:beforeLines="0" w:beforeAutospacing="0" w:afterLines="0" w:afterAutospacing="0" w:line="578" w:lineRule="exact"/>
      <w:outlineLvl w:val="2"/>
    </w:pPr>
    <w:rPr>
      <w:rFonts w:ascii="Times New Roman" w:hAnsi="Times New Roman" w:eastAsia="楷体_GB231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6">
    <w:name w:val="Normal Indent"/>
    <w:basedOn w:val="1"/>
    <w:qFormat/>
    <w:uiPriority w:val="0"/>
    <w:pPr>
      <w:ind w:firstLine="680"/>
    </w:pPr>
  </w:style>
  <w:style w:type="paragraph" w:styleId="7">
    <w:name w:val="Body Text"/>
    <w:basedOn w:val="1"/>
    <w:next w:val="1"/>
    <w:qFormat/>
    <w:uiPriority w:val="0"/>
    <w:pPr>
      <w:spacing w:after="120"/>
    </w:pPr>
  </w:style>
  <w:style w:type="paragraph" w:styleId="8">
    <w:name w:val="Body Text Indent"/>
    <w:basedOn w:val="1"/>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qFormat/>
    <w:uiPriority w:val="0"/>
    <w:pPr>
      <w:spacing w:after="0" w:line="600" w:lineRule="exact"/>
      <w:ind w:left="0" w:leftChars="0" w:firstLine="200" w:firstLineChars="200"/>
      <w:jc w:val="left"/>
      <w:outlineLvl w:val="2"/>
    </w:pPr>
    <w:rPr>
      <w:rFonts w:eastAsia="楷体_GB2312"/>
      <w:b/>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2"/>
    <w:basedOn w:val="1"/>
    <w:next w:val="1"/>
    <w:unhideWhenUsed/>
    <w:qFormat/>
    <w:uiPriority w:val="0"/>
    <w:pPr>
      <w:spacing w:beforeLines="0" w:afterLines="0"/>
    </w:pPr>
    <w:rPr>
      <w:rFonts w:hint="default"/>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5107</Words>
  <Characters>5443</Characters>
  <Lines>0</Lines>
  <Paragraphs>0</Paragraphs>
  <TotalTime>15</TotalTime>
  <ScaleCrop>false</ScaleCrop>
  <LinksUpToDate>false</LinksUpToDate>
  <CharactersWithSpaces>5443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2024-08-02T02:37:00Z</dcterms:created>
  <dc:creator>Administrator</dc:creator>
  <cp:lastModifiedBy>大大</cp:lastModifiedBy>
  <cp:lastPrinted>2024-08-15T01:48:00Z</cp:lastPrinted>
  <dcterms:modified xsi:type="dcterms:W3CDTF">2025-10-20T06:47:31Z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47803B525690420AB610437F56447635_13</vt:lpwstr>
  </property>
  <property fmtid="{D5CDD505-2E9C-101B-9397-08002B2CF9AE}" pid="4" name="KSOTemplateDocerSaveRecord">
    <vt:lpwstr>eyJoZGlkIjoiODA5ZGFjYWZjZDE3ZDA4OTEwNDVlMDAyYzlkYzYwMDkiLCJ1c2VySWQiOiIxMjU1OTM2NTMwIn0=</vt:lpwstr>
  </property>
</Properties>
</file>