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D8A8E">
      <w:pPr>
        <w:widowControl/>
        <w:jc w:val="left"/>
        <w:rPr>
          <w:rStyle w:val="33"/>
          <w:rFonts w:hint="eastAsia" w:ascii="思源黑体 CN Normal" w:hAnsi="思源黑体 CN Normal" w:eastAsia="思源黑体 CN Normal" w:cs="思源黑体 CN Normal"/>
        </w:rPr>
      </w:pPr>
      <w:bookmarkStart w:id="21" w:name="_GoBack"/>
      <w:bookmarkEnd w:id="21"/>
    </w:p>
    <w:p w14:paraId="06638D99">
      <w:pPr>
        <w:pStyle w:val="3"/>
        <w:jc w:val="center"/>
        <w:rPr>
          <w:rFonts w:hint="eastAsia" w:ascii="黑体" w:hAnsi="黑体" w:eastAsia="黑体" w:cs="黑体"/>
          <w:b w:val="0"/>
          <w:bCs w:val="0"/>
        </w:rPr>
      </w:pPr>
      <w:bookmarkStart w:id="0" w:name="_Toc111208510"/>
      <w:bookmarkStart w:id="1" w:name="_Toc25539"/>
      <w:r>
        <w:rPr>
          <w:rFonts w:hint="eastAsia" w:ascii="黑体" w:hAnsi="黑体" w:eastAsia="黑体" w:cs="黑体"/>
          <w:b w:val="0"/>
          <w:bCs w:val="0"/>
        </w:rPr>
        <w:t>第四部分附件</w:t>
      </w:r>
      <w:bookmarkEnd w:id="0"/>
      <w:bookmarkEnd w:id="1"/>
    </w:p>
    <w:p w14:paraId="5A1A77CC">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_GBK" w:hAnsi="方正小标宋_GBK" w:eastAsia="方正小标宋_GBK" w:cs="方正小标宋_GBK"/>
          <w:b/>
          <w:bCs/>
          <w:sz w:val="44"/>
          <w:szCs w:val="44"/>
          <w:highlight w:val="none"/>
          <w:lang w:val="en-US" w:eastAsia="zh-CN"/>
        </w:rPr>
      </w:pPr>
      <w:r>
        <w:rPr>
          <w:rFonts w:hint="eastAsia" w:ascii="方正小标宋_GBK" w:hAnsi="方正小标宋_GBK" w:eastAsia="方正小标宋_GBK" w:cs="方正小标宋_GBK"/>
          <w:b/>
          <w:bCs/>
          <w:sz w:val="44"/>
          <w:szCs w:val="44"/>
          <w:highlight w:val="none"/>
          <w:lang w:val="en-US" w:eastAsia="zh-CN"/>
        </w:rPr>
        <w:t>渠县机关事务服务中心</w:t>
      </w:r>
    </w:p>
    <w:p w14:paraId="5579E30D">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lang w:val="en-US" w:eastAsia="zh-CN"/>
        </w:rPr>
        <w:t>2024年度</w:t>
      </w:r>
      <w:r>
        <w:rPr>
          <w:rFonts w:hint="eastAsia" w:ascii="方正小标宋_GBK" w:hAnsi="方正小标宋_GBK" w:eastAsia="方正小标宋_GBK" w:cs="方正小标宋_GBK"/>
          <w:b/>
          <w:bCs/>
          <w:sz w:val="44"/>
          <w:szCs w:val="44"/>
          <w:highlight w:val="none"/>
          <w:lang w:eastAsia="zh-CN"/>
        </w:rPr>
        <w:t>部门</w:t>
      </w:r>
      <w:r>
        <w:rPr>
          <w:rFonts w:hint="eastAsia" w:ascii="方正小标宋_GBK" w:hAnsi="方正小标宋_GBK" w:eastAsia="方正小标宋_GBK" w:cs="方正小标宋_GBK"/>
          <w:b/>
          <w:bCs/>
          <w:sz w:val="44"/>
          <w:szCs w:val="44"/>
          <w:highlight w:val="none"/>
        </w:rPr>
        <w:t>整体支出绩效评价报告</w:t>
      </w:r>
    </w:p>
    <w:p w14:paraId="5D083FCD">
      <w:pPr>
        <w:keepNext w:val="0"/>
        <w:keepLines w:val="0"/>
        <w:widowControl/>
        <w:suppressLineNumbers w:val="0"/>
        <w:ind w:firstLine="560" w:firstLineChars="200"/>
        <w:jc w:val="left"/>
        <w:rPr>
          <w:rFonts w:ascii="仿宋" w:hAnsi="仿宋" w:eastAsia="仿宋" w:cs="仿宋"/>
          <w:color w:val="000000"/>
          <w:kern w:val="0"/>
          <w:sz w:val="28"/>
          <w:szCs w:val="28"/>
          <w:lang w:val="en-US" w:eastAsia="zh-CN" w:bidi="ar"/>
        </w:rPr>
      </w:pPr>
    </w:p>
    <w:p w14:paraId="1416C36D">
      <w:pPr>
        <w:keepNext w:val="0"/>
        <w:keepLines w:val="0"/>
        <w:pageBreakBefore w:val="0"/>
        <w:kinsoku/>
        <w:wordWrap/>
        <w:overflowPunct/>
        <w:topLinePunct w:val="0"/>
        <w:autoSpaceDE w:val="0"/>
        <w:autoSpaceDN w:val="0"/>
        <w:bidi w:val="0"/>
        <w:adjustRightInd/>
        <w:snapToGrid/>
        <w:spacing w:line="578" w:lineRule="exact"/>
        <w:ind w:firstLine="643" w:firstLineChars="200"/>
        <w:textAlignment w:val="auto"/>
        <w:rPr>
          <w:rFonts w:hint="eastAsia" w:ascii="黑体" w:hAnsi="黑体" w:eastAsia="黑体" w:cs="黑体"/>
          <w:b/>
          <w:bCs/>
          <w:color w:val="auto"/>
          <w:sz w:val="32"/>
          <w:szCs w:val="32"/>
          <w:highlight w:val="none"/>
        </w:rPr>
      </w:pPr>
      <w:bookmarkStart w:id="2" w:name="_Toc14134"/>
      <w:bookmarkStart w:id="3" w:name="_Toc27737628"/>
      <w:bookmarkStart w:id="4" w:name="_Toc31565"/>
      <w:r>
        <w:rPr>
          <w:rFonts w:hint="eastAsia" w:ascii="黑体" w:hAnsi="黑体" w:eastAsia="黑体" w:cs="黑体"/>
          <w:b/>
          <w:bCs/>
          <w:color w:val="auto"/>
          <w:sz w:val="32"/>
          <w:szCs w:val="32"/>
          <w:highlight w:val="none"/>
        </w:rPr>
        <w:t>一、部门(单位)概况</w:t>
      </w:r>
    </w:p>
    <w:p w14:paraId="3E2B6D96">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rPr>
      </w:pPr>
      <w:r>
        <w:rPr>
          <w:rFonts w:hint="eastAsia" w:ascii="方正楷体_GBK" w:hAnsi="方正楷体_GBK" w:eastAsia="方正楷体_GBK" w:cs="方正楷体_GBK"/>
          <w:color w:val="auto"/>
          <w:sz w:val="32"/>
          <w:szCs w:val="32"/>
          <w:highlight w:val="none"/>
        </w:rPr>
        <w:t>(一)机构组成</w:t>
      </w:r>
    </w:p>
    <w:p w14:paraId="65AB4ED0">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default" w:ascii="方正仿宋_GBK" w:hAnsi="方正仿宋_GBK" w:eastAsia="方正仿宋_GBK" w:cs="方正仿宋_GBK"/>
          <w:color w:val="auto"/>
          <w:sz w:val="32"/>
          <w:szCs w:val="32"/>
          <w:highlight w:val="none"/>
          <w:lang w:val="en-US"/>
        </w:rPr>
      </w:pPr>
      <w:r>
        <w:rPr>
          <w:rFonts w:hint="eastAsia" w:ascii="方正仿宋_GBK" w:hAnsi="方正仿宋_GBK" w:eastAsia="方正仿宋_GBK" w:cs="方正仿宋_GBK"/>
          <w:color w:val="auto"/>
          <w:kern w:val="0"/>
          <w:sz w:val="32"/>
          <w:szCs w:val="32"/>
          <w:highlight w:val="none"/>
          <w:lang w:val="en-US" w:eastAsia="zh-CN" w:bidi="ar"/>
        </w:rPr>
        <w:t>根据《中共渠县县委办公室  渠县人民政府办公室关于印发〈渠县机关事务服务中心职能配置、内设机构和人员编制规定〉的通知》(渠委办字〔2021〕23号)规定,渠县机关事务服务中心（简称县机关事务服务中心），是渠县人民政府直属公益一类事业单位，为正科级。内设5个股室，分别是综合股、资产维护股、公车股、节能减排股、物业保卫股。为财政拨款预算单位。</w:t>
      </w:r>
    </w:p>
    <w:p w14:paraId="6FABD314">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rPr>
      </w:pPr>
      <w:r>
        <w:rPr>
          <w:rFonts w:hint="eastAsia" w:ascii="方正楷体_GBK" w:hAnsi="方正楷体_GBK" w:eastAsia="方正楷体_GBK" w:cs="方正楷体_GBK"/>
          <w:color w:val="auto"/>
          <w:sz w:val="32"/>
          <w:szCs w:val="32"/>
          <w:highlight w:val="none"/>
          <w:lang w:eastAsia="zh-CN"/>
        </w:rPr>
        <w:t>（</w:t>
      </w:r>
      <w:r>
        <w:rPr>
          <w:rFonts w:hint="eastAsia" w:ascii="方正楷体_GBK" w:hAnsi="方正楷体_GBK" w:eastAsia="方正楷体_GBK" w:cs="方正楷体_GBK"/>
          <w:color w:val="auto"/>
          <w:sz w:val="32"/>
          <w:szCs w:val="32"/>
          <w:highlight w:val="none"/>
          <w:lang w:val="en-US" w:eastAsia="zh-CN"/>
        </w:rPr>
        <w:t>二</w:t>
      </w:r>
      <w:r>
        <w:rPr>
          <w:rFonts w:hint="eastAsia" w:ascii="方正楷体_GBK" w:hAnsi="方正楷体_GBK" w:eastAsia="方正楷体_GBK" w:cs="方正楷体_GBK"/>
          <w:color w:val="auto"/>
          <w:sz w:val="32"/>
          <w:szCs w:val="32"/>
          <w:highlight w:val="none"/>
          <w:lang w:eastAsia="zh-CN"/>
        </w:rPr>
        <w:t>）</w:t>
      </w:r>
      <w:r>
        <w:rPr>
          <w:rFonts w:hint="eastAsia" w:ascii="方正楷体_GBK" w:hAnsi="方正楷体_GBK" w:eastAsia="方正楷体_GBK" w:cs="方正楷体_GBK"/>
          <w:color w:val="auto"/>
          <w:sz w:val="32"/>
          <w:szCs w:val="32"/>
          <w:highlight w:val="none"/>
        </w:rPr>
        <w:t>机构职能</w:t>
      </w:r>
    </w:p>
    <w:p w14:paraId="3F96FEE9">
      <w:pPr>
        <w:keepNext w:val="0"/>
        <w:keepLines w:val="0"/>
        <w:pageBreakBefore w:val="0"/>
        <w:numPr>
          <w:ilvl w:val="0"/>
          <w:numId w:val="0"/>
        </w:numPr>
        <w:kinsoku/>
        <w:wordWrap/>
        <w:overflowPunct/>
        <w:topLinePunct w:val="0"/>
        <w:autoSpaceDE w:val="0"/>
        <w:autoSpaceDN w:val="0"/>
        <w:bidi w:val="0"/>
        <w:adjustRightInd/>
        <w:snapToGrid/>
        <w:spacing w:line="578" w:lineRule="exact"/>
        <w:ind w:right="0" w:rightChars="0"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县机关事务服务中心主要职责是：</w:t>
      </w:r>
    </w:p>
    <w:p w14:paraId="1EB53BC6">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（一）贯彻落实国家关于机关事务服务工作的方针政策，拟订全县机关事务工作规划和管理制度并组织实施。</w:t>
      </w:r>
    </w:p>
    <w:p w14:paraId="6468AE48">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（二）拟订全县党政机关办公用房管理制度并组织实施；承担全县公务用房管理、配置、维修、改造。</w:t>
      </w:r>
    </w:p>
    <w:p w14:paraId="7C4F61A6">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（三）拟订全县公务用车管理制度，负责全县公务用车</w:t>
      </w:r>
    </w:p>
    <w:p w14:paraId="2D5C6BE2">
      <w:pPr>
        <w:keepNext w:val="0"/>
        <w:keepLines w:val="0"/>
        <w:pageBreakBefore w:val="0"/>
        <w:widowControl/>
        <w:suppressLineNumbers w:val="0"/>
        <w:kinsoku/>
        <w:wordWrap/>
        <w:overflowPunct/>
        <w:topLinePunct w:val="0"/>
        <w:autoSpaceDE w:val="0"/>
        <w:autoSpaceDN w:val="0"/>
        <w:bidi w:val="0"/>
        <w:adjustRightInd/>
        <w:snapToGrid/>
        <w:spacing w:line="578" w:lineRule="exact"/>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管理</w:t>
      </w:r>
    </w:p>
    <w:p w14:paraId="2CF4F36B">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（四）拟订全县公共机构节能管理制度，负责全县公共机构节能管理。</w:t>
      </w:r>
    </w:p>
    <w:p w14:paraId="630D1074">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（五）承担全县大型活动和重要会议后勤服务保障。</w:t>
      </w:r>
    </w:p>
    <w:p w14:paraId="7CEE648F">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（六）负责县委、人大、政府、政协机关相对集中办公区域的物业管理、园林绿化、环境卫生、设施设备、供水供电、会务服务、安全保卫、机关食堂等后勤管理和服务保障。</w:t>
      </w:r>
    </w:p>
    <w:p w14:paraId="324BBB49">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（七）负责县委、人大、政府、政协机关相对集中办公区域后勤劳务用工管理、培训。</w:t>
      </w:r>
    </w:p>
    <w:p w14:paraId="46D0320F">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（八）负责职责范围内的意识形态、安全生产、职业健康、生态环境保护和便民服务等工作。</w:t>
      </w:r>
    </w:p>
    <w:p w14:paraId="219AFD01">
      <w:pPr>
        <w:keepNext w:val="0"/>
        <w:keepLines w:val="0"/>
        <w:pageBreakBefore w:val="0"/>
        <w:widowControl/>
        <w:suppressLineNumbers w:val="0"/>
        <w:kinsoku/>
        <w:wordWrap/>
        <w:overflowPunct/>
        <w:topLinePunct w:val="0"/>
        <w:autoSpaceDE w:val="0"/>
        <w:autoSpaceDN w:val="0"/>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kern w:val="0"/>
          <w:sz w:val="32"/>
          <w:szCs w:val="32"/>
          <w:highlight w:val="none"/>
          <w:lang w:val="en-US" w:eastAsia="zh-CN" w:bidi="ar"/>
        </w:rPr>
        <w:t>（九）完成县委、县政府交办的其他任务。</w:t>
      </w:r>
    </w:p>
    <w:p w14:paraId="756D75B4">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lang w:eastAsia="zh-CN"/>
        </w:rPr>
      </w:pPr>
      <w:r>
        <w:rPr>
          <w:rFonts w:hint="eastAsia" w:ascii="方正楷体_GBK" w:hAnsi="方正楷体_GBK" w:eastAsia="方正楷体_GBK" w:cs="方正楷体_GBK"/>
          <w:color w:val="auto"/>
          <w:sz w:val="32"/>
          <w:szCs w:val="32"/>
          <w:highlight w:val="none"/>
          <w:lang w:eastAsia="zh-CN"/>
        </w:rPr>
        <w:t>(三)人员概况</w:t>
      </w:r>
    </w:p>
    <w:p w14:paraId="3C1F04D4">
      <w:pPr>
        <w:keepNext w:val="0"/>
        <w:keepLines w:val="0"/>
        <w:pageBreakBefore w:val="0"/>
        <w:kinsoku/>
        <w:wordWrap/>
        <w:overflowPunct/>
        <w:topLinePunct w:val="0"/>
        <w:autoSpaceDE w:val="0"/>
        <w:autoSpaceDN w:val="0"/>
        <w:bidi w:val="0"/>
        <w:adjustRightInd/>
        <w:snapToGrid/>
        <w:spacing w:line="578" w:lineRule="exact"/>
        <w:ind w:firstLine="640" w:firstLineChars="200"/>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截至2024</w:t>
      </w:r>
      <w:r>
        <w:rPr>
          <w:rFonts w:hint="eastAsia" w:ascii="方正仿宋_GBK" w:hAnsi="方正仿宋_GBK" w:eastAsia="方正仿宋_GBK" w:cs="方正仿宋_GBK"/>
          <w:color w:val="auto"/>
          <w:sz w:val="32"/>
          <w:szCs w:val="32"/>
          <w:highlight w:val="none"/>
        </w:rPr>
        <w:t>年年末，</w:t>
      </w:r>
      <w:r>
        <w:rPr>
          <w:rFonts w:hint="eastAsia" w:ascii="方正仿宋_GBK" w:hAnsi="方正仿宋_GBK" w:eastAsia="方正仿宋_GBK" w:cs="方正仿宋_GBK"/>
          <w:color w:val="auto"/>
          <w:sz w:val="32"/>
          <w:szCs w:val="32"/>
          <w:highlight w:val="none"/>
          <w:lang w:eastAsia="zh-CN"/>
        </w:rPr>
        <w:t>我</w:t>
      </w:r>
      <w:r>
        <w:rPr>
          <w:rFonts w:hint="eastAsia" w:ascii="方正仿宋_GBK" w:hAnsi="方正仿宋_GBK" w:eastAsia="方正仿宋_GBK" w:cs="方正仿宋_GBK"/>
          <w:color w:val="auto"/>
          <w:sz w:val="32"/>
          <w:szCs w:val="32"/>
          <w:highlight w:val="none"/>
          <w:lang w:val="en-US" w:eastAsia="zh-CN"/>
        </w:rPr>
        <w:t>单位编制人数16人，</w:t>
      </w:r>
      <w:r>
        <w:rPr>
          <w:rFonts w:hint="eastAsia" w:ascii="方正仿宋_GBK" w:hAnsi="方正仿宋_GBK" w:eastAsia="方正仿宋_GBK" w:cs="方正仿宋_GBK"/>
          <w:color w:val="auto"/>
          <w:sz w:val="32"/>
          <w:szCs w:val="32"/>
          <w:highlight w:val="none"/>
        </w:rPr>
        <w:t>实有工作人员</w:t>
      </w:r>
      <w:r>
        <w:rPr>
          <w:rFonts w:hint="eastAsia" w:ascii="方正仿宋_GBK" w:hAnsi="方正仿宋_GBK" w:eastAsia="方正仿宋_GBK" w:cs="方正仿宋_GBK"/>
          <w:color w:val="auto"/>
          <w:sz w:val="32"/>
          <w:szCs w:val="32"/>
          <w:highlight w:val="none"/>
          <w:lang w:val="en-US" w:eastAsia="zh-CN"/>
        </w:rPr>
        <w:t>10</w:t>
      </w:r>
      <w:r>
        <w:rPr>
          <w:rFonts w:hint="eastAsia" w:ascii="方正仿宋_GBK" w:hAnsi="方正仿宋_GBK" w:eastAsia="方正仿宋_GBK" w:cs="方正仿宋_GBK"/>
          <w:color w:val="auto"/>
          <w:sz w:val="32"/>
          <w:szCs w:val="32"/>
          <w:highlight w:val="none"/>
        </w:rPr>
        <w:t>人（其中</w:t>
      </w:r>
      <w:r>
        <w:rPr>
          <w:rFonts w:hint="eastAsia" w:ascii="方正仿宋_GBK" w:hAnsi="方正仿宋_GBK" w:eastAsia="方正仿宋_GBK" w:cs="方正仿宋_GBK"/>
          <w:color w:val="auto"/>
          <w:sz w:val="32"/>
          <w:szCs w:val="32"/>
          <w:highlight w:val="none"/>
          <w:lang w:val="en-US" w:eastAsia="zh-CN"/>
        </w:rPr>
        <w:t>行政6人，</w:t>
      </w:r>
      <w:r>
        <w:rPr>
          <w:rFonts w:hint="eastAsia" w:ascii="方正仿宋_GBK" w:hAnsi="方正仿宋_GBK" w:eastAsia="方正仿宋_GBK" w:cs="方正仿宋_GBK"/>
          <w:color w:val="auto"/>
          <w:sz w:val="32"/>
          <w:szCs w:val="32"/>
          <w:highlight w:val="none"/>
        </w:rPr>
        <w:t>工勤人员</w:t>
      </w:r>
      <w:r>
        <w:rPr>
          <w:rFonts w:hint="eastAsia" w:ascii="方正仿宋_GBK" w:hAnsi="方正仿宋_GBK" w:eastAsia="方正仿宋_GBK" w:cs="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rPr>
        <w:t>人），</w:t>
      </w:r>
      <w:r>
        <w:rPr>
          <w:rFonts w:hint="eastAsia" w:ascii="方正仿宋_GBK" w:hAnsi="方正仿宋_GBK" w:eastAsia="方正仿宋_GBK" w:cs="方正仿宋_GBK"/>
          <w:color w:val="auto"/>
          <w:sz w:val="32"/>
          <w:szCs w:val="32"/>
          <w:highlight w:val="none"/>
          <w:lang w:val="en-US" w:eastAsia="zh-CN"/>
        </w:rPr>
        <w:t>退休人员5人。</w:t>
      </w:r>
    </w:p>
    <w:p w14:paraId="4A4D6CBE">
      <w:pPr>
        <w:keepNext w:val="0"/>
        <w:keepLines w:val="0"/>
        <w:pageBreakBefore w:val="0"/>
        <w:kinsoku/>
        <w:wordWrap/>
        <w:overflowPunct/>
        <w:topLinePunct w:val="0"/>
        <w:bidi w:val="0"/>
        <w:adjustRightInd/>
        <w:snapToGrid/>
        <w:spacing w:line="578" w:lineRule="exact"/>
        <w:ind w:firstLine="643" w:firstLineChars="200"/>
        <w:jc w:val="left"/>
        <w:textAlignment w:val="auto"/>
        <w:outlineLvl w:val="1"/>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二、部门资金收支情况</w:t>
      </w:r>
      <w:bookmarkEnd w:id="2"/>
      <w:bookmarkEnd w:id="3"/>
      <w:bookmarkEnd w:id="4"/>
    </w:p>
    <w:p w14:paraId="076F69E9">
      <w:pPr>
        <w:keepNext w:val="0"/>
        <w:keepLines w:val="0"/>
        <w:pageBreakBefore w:val="0"/>
        <w:kinsoku/>
        <w:wordWrap/>
        <w:overflowPunct/>
        <w:topLinePunct w:val="0"/>
        <w:bidi w:val="0"/>
        <w:adjustRightInd/>
        <w:snapToGrid/>
        <w:spacing w:line="578" w:lineRule="exact"/>
        <w:ind w:firstLine="640" w:firstLineChars="200"/>
        <w:jc w:val="left"/>
        <w:textAlignment w:val="auto"/>
        <w:outlineLvl w:val="1"/>
        <w:rPr>
          <w:rFonts w:hint="eastAsia" w:ascii="方正楷体_GBK" w:hAnsi="方正楷体_GBK" w:eastAsia="方正楷体_GBK" w:cs="方正楷体_GBK"/>
          <w:b w:val="0"/>
          <w:bCs w:val="0"/>
          <w:color w:val="auto"/>
          <w:sz w:val="32"/>
          <w:szCs w:val="32"/>
          <w:highlight w:val="none"/>
          <w:lang w:val="en-US" w:eastAsia="zh-CN"/>
        </w:rPr>
      </w:pPr>
      <w:bookmarkStart w:id="5" w:name="_Toc9084"/>
      <w:bookmarkStart w:id="6" w:name="_Toc27737629"/>
      <w:bookmarkStart w:id="7" w:name="_Toc13752"/>
      <w:r>
        <w:rPr>
          <w:rFonts w:hint="eastAsia" w:ascii="方正楷体_GBK" w:hAnsi="方正楷体_GBK" w:eastAsia="方正楷体_GBK" w:cs="方正楷体_GBK"/>
          <w:b w:val="0"/>
          <w:bCs w:val="0"/>
          <w:color w:val="auto"/>
          <w:sz w:val="32"/>
          <w:szCs w:val="32"/>
          <w:highlight w:val="none"/>
        </w:rPr>
        <w:t>（一）收入情况</w:t>
      </w:r>
      <w:bookmarkEnd w:id="5"/>
      <w:bookmarkEnd w:id="6"/>
      <w:bookmarkEnd w:id="7"/>
    </w:p>
    <w:p w14:paraId="4F62E4C3">
      <w:pPr>
        <w:keepNext w:val="0"/>
        <w:keepLines w:val="0"/>
        <w:pageBreakBefore w:val="0"/>
        <w:widowControl/>
        <w:numPr>
          <w:ilvl w:val="0"/>
          <w:numId w:val="0"/>
        </w:numPr>
        <w:suppressLineNumbers w:val="0"/>
        <w:kinsoku/>
        <w:wordWrap/>
        <w:overflowPunct/>
        <w:topLinePunct w:val="0"/>
        <w:bidi w:val="0"/>
        <w:adjustRightInd/>
        <w:snapToGrid/>
        <w:spacing w:line="578" w:lineRule="exact"/>
        <w:ind w:firstLine="640" w:firstLineChars="200"/>
        <w:jc w:val="left"/>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rPr>
        <w:t>20</w:t>
      </w:r>
      <w:r>
        <w:rPr>
          <w:rFonts w:hint="eastAsia" w:ascii="方正仿宋_GBK" w:hAnsi="方正仿宋_GBK" w:eastAsia="方正仿宋_GBK" w:cs="方正仿宋_GBK"/>
          <w:color w:val="auto"/>
          <w:sz w:val="32"/>
          <w:szCs w:val="32"/>
          <w:highlight w:val="none"/>
          <w:lang w:val="en-US" w:eastAsia="zh-CN"/>
        </w:rPr>
        <w:t>24</w:t>
      </w:r>
      <w:r>
        <w:rPr>
          <w:rFonts w:hint="eastAsia" w:ascii="方正仿宋_GBK" w:hAnsi="方正仿宋_GBK" w:eastAsia="方正仿宋_GBK" w:cs="方正仿宋_GBK"/>
          <w:color w:val="auto"/>
          <w:sz w:val="32"/>
          <w:szCs w:val="32"/>
          <w:highlight w:val="none"/>
        </w:rPr>
        <w:t>年</w:t>
      </w:r>
      <w:r>
        <w:rPr>
          <w:rFonts w:hint="eastAsia" w:ascii="方正仿宋_GBK" w:hAnsi="方正仿宋_GBK" w:eastAsia="方正仿宋_GBK" w:cs="方正仿宋_GBK"/>
          <w:color w:val="auto"/>
          <w:sz w:val="32"/>
          <w:szCs w:val="32"/>
          <w:highlight w:val="none"/>
          <w:lang w:val="en-US" w:eastAsia="zh-CN"/>
        </w:rPr>
        <w:t>渠县机关事务服务中心年初预算</w:t>
      </w:r>
      <w:r>
        <w:rPr>
          <w:rFonts w:hint="eastAsia" w:ascii="方正仿宋_GBK" w:hAnsi="方正仿宋_GBK" w:eastAsia="方正仿宋_GBK" w:cs="方正仿宋_GBK"/>
          <w:color w:val="auto"/>
          <w:sz w:val="32"/>
          <w:szCs w:val="32"/>
          <w:highlight w:val="none"/>
        </w:rPr>
        <w:t>收入</w:t>
      </w:r>
      <w:r>
        <w:rPr>
          <w:rFonts w:hint="eastAsia" w:ascii="方正仿宋_GBK" w:hAnsi="方正仿宋_GBK" w:eastAsia="方正仿宋_GBK" w:cs="方正仿宋_GBK"/>
          <w:color w:val="auto"/>
          <w:sz w:val="32"/>
          <w:szCs w:val="32"/>
          <w:highlight w:val="none"/>
          <w:lang w:val="en-US" w:eastAsia="zh-CN"/>
        </w:rPr>
        <w:t>合计2078.96万</w:t>
      </w:r>
      <w:r>
        <w:rPr>
          <w:rFonts w:hint="eastAsia" w:ascii="方正仿宋_GBK" w:hAnsi="方正仿宋_GBK" w:eastAsia="方正仿宋_GBK" w:cs="方正仿宋_GBK"/>
          <w:color w:val="auto"/>
          <w:sz w:val="32"/>
          <w:szCs w:val="32"/>
          <w:highlight w:val="none"/>
        </w:rPr>
        <w:t>元。其中：</w:t>
      </w:r>
      <w:r>
        <w:rPr>
          <w:rFonts w:hint="eastAsia" w:ascii="方正仿宋_GBK" w:hAnsi="方正仿宋_GBK" w:eastAsia="方正仿宋_GBK" w:cs="方正仿宋_GBK"/>
          <w:color w:val="auto"/>
          <w:sz w:val="32"/>
          <w:szCs w:val="32"/>
          <w:highlight w:val="none"/>
          <w:lang w:eastAsia="zh-CN"/>
        </w:rPr>
        <w:t>一般公共预算财政拨款收入</w:t>
      </w:r>
      <w:r>
        <w:rPr>
          <w:rFonts w:hint="eastAsia" w:ascii="方正仿宋_GBK" w:hAnsi="方正仿宋_GBK" w:eastAsia="方正仿宋_GBK" w:cs="方正仿宋_GBK"/>
          <w:color w:val="auto"/>
          <w:sz w:val="32"/>
          <w:szCs w:val="32"/>
          <w:highlight w:val="none"/>
          <w:lang w:val="en-US" w:eastAsia="zh-CN"/>
        </w:rPr>
        <w:t>344.37万</w:t>
      </w:r>
      <w:r>
        <w:rPr>
          <w:rFonts w:hint="eastAsia" w:ascii="方正仿宋_GBK" w:hAnsi="方正仿宋_GBK" w:eastAsia="方正仿宋_GBK" w:cs="方正仿宋_GBK"/>
          <w:color w:val="auto"/>
          <w:sz w:val="32"/>
          <w:szCs w:val="32"/>
          <w:highlight w:val="none"/>
        </w:rPr>
        <w:t>元，</w:t>
      </w:r>
      <w:r>
        <w:rPr>
          <w:rFonts w:hint="eastAsia" w:ascii="方正仿宋_GBK" w:hAnsi="方正仿宋_GBK" w:eastAsia="方正仿宋_GBK" w:cs="方正仿宋_GBK"/>
          <w:color w:val="auto"/>
          <w:sz w:val="32"/>
          <w:szCs w:val="32"/>
          <w:highlight w:val="none"/>
          <w:lang w:eastAsia="zh-CN"/>
        </w:rPr>
        <w:t>占</w:t>
      </w:r>
      <w:r>
        <w:rPr>
          <w:rFonts w:hint="eastAsia" w:ascii="方正仿宋_GBK" w:hAnsi="方正仿宋_GBK" w:eastAsia="方正仿宋_GBK" w:cs="方正仿宋_GBK"/>
          <w:color w:val="auto"/>
          <w:sz w:val="32"/>
          <w:szCs w:val="32"/>
          <w:highlight w:val="none"/>
          <w:lang w:val="en-US" w:eastAsia="zh-CN"/>
        </w:rPr>
        <w:t>16.6%；政府性基金预算财政拨款收入1734.60万元，占83.4%。决算报表收入合计2436.64万元。</w:t>
      </w:r>
    </w:p>
    <w:p w14:paraId="5BBFC4BC">
      <w:pPr>
        <w:keepNext w:val="0"/>
        <w:keepLines w:val="0"/>
        <w:pageBreakBefore w:val="0"/>
        <w:numPr>
          <w:ilvl w:val="0"/>
          <w:numId w:val="1"/>
        </w:numPr>
        <w:kinsoku/>
        <w:wordWrap/>
        <w:overflowPunct/>
        <w:topLinePunct w:val="0"/>
        <w:bidi w:val="0"/>
        <w:adjustRightInd/>
        <w:snapToGrid/>
        <w:spacing w:line="578" w:lineRule="exact"/>
        <w:ind w:firstLine="640" w:firstLineChars="200"/>
        <w:jc w:val="left"/>
        <w:textAlignment w:val="auto"/>
        <w:outlineLvl w:val="1"/>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支出情况</w:t>
      </w:r>
    </w:p>
    <w:p w14:paraId="13F124D6">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2024年渠县机关事务服务中心年初预算支出2078.96</w:t>
      </w:r>
      <w:r>
        <w:rPr>
          <w:rFonts w:hint="eastAsia" w:ascii="方正仿宋_GBK" w:hAnsi="方正仿宋_GBK" w:eastAsia="方正仿宋_GBK" w:cs="方正仿宋_GBK"/>
          <w:color w:val="auto"/>
          <w:sz w:val="32"/>
          <w:szCs w:val="32"/>
          <w:highlight w:val="none"/>
        </w:rPr>
        <w:t>万元。其中：基本支出</w:t>
      </w:r>
      <w:r>
        <w:rPr>
          <w:rFonts w:hint="eastAsia" w:ascii="方正仿宋_GBK" w:hAnsi="方正仿宋_GBK" w:eastAsia="方正仿宋_GBK" w:cs="方正仿宋_GBK"/>
          <w:color w:val="auto"/>
          <w:sz w:val="32"/>
          <w:szCs w:val="32"/>
          <w:highlight w:val="none"/>
          <w:lang w:val="en-US" w:eastAsia="zh-CN"/>
        </w:rPr>
        <w:t>344.37</w:t>
      </w:r>
      <w:r>
        <w:rPr>
          <w:rFonts w:hint="eastAsia" w:ascii="方正仿宋_GBK" w:hAnsi="方正仿宋_GBK" w:eastAsia="方正仿宋_GBK" w:cs="方正仿宋_GBK"/>
          <w:color w:val="auto"/>
          <w:sz w:val="32"/>
          <w:szCs w:val="32"/>
          <w:highlight w:val="none"/>
        </w:rPr>
        <w:t>万元，占</w:t>
      </w:r>
      <w:r>
        <w:rPr>
          <w:rFonts w:hint="eastAsia" w:ascii="方正仿宋_GBK" w:hAnsi="方正仿宋_GBK" w:eastAsia="方正仿宋_GBK" w:cs="方正仿宋_GBK"/>
          <w:color w:val="auto"/>
          <w:sz w:val="32"/>
          <w:szCs w:val="32"/>
          <w:highlight w:val="none"/>
          <w:lang w:val="en-US" w:eastAsia="zh-CN"/>
        </w:rPr>
        <w:t>16.6</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项目支出1734.60万元，占83.4%。决算报表支出合计2436.64万元。</w:t>
      </w:r>
    </w:p>
    <w:p w14:paraId="799802E0">
      <w:pPr>
        <w:keepNext w:val="0"/>
        <w:keepLines w:val="0"/>
        <w:pageBreakBefore w:val="0"/>
        <w:kinsoku/>
        <w:wordWrap/>
        <w:overflowPunct/>
        <w:topLinePunct w:val="0"/>
        <w:bidi w:val="0"/>
        <w:adjustRightInd/>
        <w:snapToGrid/>
        <w:spacing w:line="578" w:lineRule="exact"/>
        <w:ind w:firstLine="640" w:firstLineChars="200"/>
        <w:jc w:val="left"/>
        <w:textAlignment w:val="auto"/>
        <w:outlineLvl w:val="1"/>
        <w:rPr>
          <w:rFonts w:hint="eastAsia" w:ascii="方正楷体_GBK" w:hAnsi="方正楷体_GBK" w:eastAsia="方正楷体_GBK" w:cs="方正楷体_GBK"/>
          <w:b w:val="0"/>
          <w:bCs w:val="0"/>
          <w:color w:val="auto"/>
          <w:sz w:val="32"/>
          <w:szCs w:val="32"/>
          <w:highlight w:val="none"/>
          <w:lang w:val="en-US" w:eastAsia="zh-CN"/>
        </w:rPr>
      </w:pPr>
      <w:bookmarkStart w:id="8" w:name="_Toc27737633"/>
      <w:bookmarkStart w:id="9" w:name="_Toc27359"/>
      <w:bookmarkStart w:id="10" w:name="_Toc32412"/>
      <w:r>
        <w:rPr>
          <w:rFonts w:hint="eastAsia" w:ascii="方正楷体_GBK" w:hAnsi="方正楷体_GBK" w:eastAsia="方正楷体_GBK" w:cs="方正楷体_GBK"/>
          <w:b w:val="0"/>
          <w:bCs w:val="0"/>
          <w:color w:val="auto"/>
          <w:sz w:val="32"/>
          <w:szCs w:val="32"/>
          <w:highlight w:val="none"/>
          <w:lang w:val="en-US" w:eastAsia="zh-CN"/>
        </w:rPr>
        <w:t>（三）</w:t>
      </w:r>
      <w:bookmarkEnd w:id="8"/>
      <w:bookmarkEnd w:id="9"/>
      <w:bookmarkEnd w:id="10"/>
      <w:r>
        <w:rPr>
          <w:rFonts w:hint="default" w:ascii="方正楷体_GBK" w:hAnsi="方正楷体_GBK" w:eastAsia="方正楷体_GBK" w:cs="方正楷体_GBK"/>
          <w:b w:val="0"/>
          <w:bCs w:val="0"/>
          <w:color w:val="auto"/>
          <w:sz w:val="32"/>
          <w:szCs w:val="32"/>
          <w:highlight w:val="none"/>
          <w:lang w:val="en-US" w:eastAsia="zh-CN"/>
        </w:rPr>
        <w:t>结余分配和结转结余情况</w:t>
      </w:r>
    </w:p>
    <w:p w14:paraId="510E0FB7">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渠县机关事务服务中心2024年决算报表无</w:t>
      </w:r>
      <w:r>
        <w:rPr>
          <w:rFonts w:hint="default" w:ascii="方正仿宋_GBK" w:hAnsi="方正仿宋_GBK" w:eastAsia="方正仿宋_GBK" w:cs="方正仿宋_GBK"/>
          <w:color w:val="auto"/>
          <w:sz w:val="32"/>
          <w:szCs w:val="32"/>
          <w:highlight w:val="none"/>
          <w:lang w:val="en-US" w:eastAsia="zh-CN"/>
        </w:rPr>
        <w:t>结转结余</w:t>
      </w:r>
      <w:r>
        <w:rPr>
          <w:rFonts w:hint="eastAsia" w:ascii="方正仿宋_GBK" w:hAnsi="方正仿宋_GBK" w:eastAsia="方正仿宋_GBK" w:cs="方正仿宋_GBK"/>
          <w:color w:val="auto"/>
          <w:sz w:val="32"/>
          <w:szCs w:val="32"/>
          <w:highlight w:val="none"/>
          <w:lang w:val="en-US" w:eastAsia="zh-CN"/>
        </w:rPr>
        <w:t>。</w:t>
      </w:r>
    </w:p>
    <w:p w14:paraId="4819ADB2">
      <w:pPr>
        <w:keepNext w:val="0"/>
        <w:keepLines w:val="0"/>
        <w:pageBreakBefore w:val="0"/>
        <w:numPr>
          <w:ilvl w:val="0"/>
          <w:numId w:val="0"/>
        </w:numPr>
        <w:kinsoku/>
        <w:wordWrap/>
        <w:overflowPunct/>
        <w:topLinePunct w:val="0"/>
        <w:bidi w:val="0"/>
        <w:adjustRightInd/>
        <w:snapToGrid/>
        <w:spacing w:line="578" w:lineRule="exact"/>
        <w:ind w:firstLine="643" w:firstLineChars="200"/>
        <w:jc w:val="left"/>
        <w:textAlignment w:val="auto"/>
        <w:outlineLvl w:val="1"/>
        <w:rPr>
          <w:rFonts w:hint="default"/>
          <w:lang w:val="en-US" w:eastAsia="zh-CN"/>
        </w:rPr>
      </w:pPr>
      <w:r>
        <w:rPr>
          <w:rFonts w:hint="eastAsia" w:ascii="黑体" w:hAnsi="黑体" w:eastAsia="黑体" w:cs="黑体"/>
          <w:b/>
          <w:bCs/>
          <w:color w:val="auto"/>
          <w:sz w:val="32"/>
          <w:szCs w:val="32"/>
          <w:highlight w:val="none"/>
          <w:lang w:val="en-US" w:eastAsia="zh-CN"/>
        </w:rPr>
        <w:t>三、部门预算绩效分析</w:t>
      </w:r>
    </w:p>
    <w:p w14:paraId="73332E43">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default"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zh-CN"/>
        </w:rPr>
        <w:t>（</w:t>
      </w:r>
      <w:r>
        <w:rPr>
          <w:rFonts w:hint="eastAsia" w:ascii="方正楷体_GBK" w:hAnsi="方正楷体_GBK" w:eastAsia="方正楷体_GBK" w:cs="方正楷体_GBK"/>
          <w:color w:val="auto"/>
          <w:sz w:val="32"/>
          <w:szCs w:val="32"/>
          <w:highlight w:val="none"/>
          <w:lang w:val="en-US" w:eastAsia="zh-CN"/>
        </w:rPr>
        <w:t>一</w:t>
      </w:r>
      <w:r>
        <w:rPr>
          <w:rFonts w:hint="eastAsia" w:ascii="方正楷体_GBK" w:hAnsi="方正楷体_GBK" w:eastAsia="方正楷体_GBK" w:cs="方正楷体_GBK"/>
          <w:color w:val="auto"/>
          <w:sz w:val="32"/>
          <w:szCs w:val="32"/>
          <w:highlight w:val="none"/>
          <w:lang w:val="zh-CN"/>
        </w:rPr>
        <w:t>）部门预算</w:t>
      </w:r>
      <w:r>
        <w:rPr>
          <w:rFonts w:hint="default" w:ascii="方正楷体_GBK" w:hAnsi="方正楷体_GBK" w:eastAsia="方正楷体_GBK" w:cs="方正楷体_GBK"/>
          <w:color w:val="auto"/>
          <w:sz w:val="32"/>
          <w:szCs w:val="32"/>
          <w:highlight w:val="none"/>
          <w:lang w:val="zh-CN"/>
        </w:rPr>
        <w:t>总体绩效分析。</w:t>
      </w:r>
    </w:p>
    <w:p w14:paraId="1097A7BA">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1.履职效能</w:t>
      </w:r>
    </w:p>
    <w:p w14:paraId="5DC8FFA8">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sz w:val="32"/>
          <w:szCs w:val="32"/>
          <w:lang w:val="en-US" w:eastAsia="zh-CN"/>
        </w:rPr>
        <w:t>（1）公务用车工作，</w:t>
      </w:r>
      <w:r>
        <w:rPr>
          <w:rFonts w:hint="default" w:ascii="Times New Roman" w:hAnsi="Times New Roman" w:eastAsia="方正仿宋_GBK" w:cs="Times New Roman"/>
          <w:color w:val="000000"/>
          <w:sz w:val="32"/>
          <w:szCs w:val="32"/>
          <w:lang w:val="en-US" w:eastAsia="zh-CN"/>
        </w:rPr>
        <w:t>一是</w:t>
      </w:r>
      <w:r>
        <w:rPr>
          <w:rFonts w:hint="eastAsia" w:ascii="Times New Roman" w:hAnsi="Times New Roman" w:eastAsia="方正仿宋_GBK" w:cs="Times New Roman"/>
          <w:color w:val="000000"/>
          <w:sz w:val="32"/>
          <w:szCs w:val="32"/>
          <w:lang w:val="en-US" w:eastAsia="zh-CN"/>
        </w:rPr>
        <w:t>持续</w:t>
      </w:r>
      <w:r>
        <w:rPr>
          <w:rFonts w:hint="default" w:ascii="Times New Roman" w:hAnsi="Times New Roman" w:eastAsia="方正仿宋_GBK" w:cs="Times New Roman"/>
          <w:color w:val="000000"/>
          <w:sz w:val="32"/>
          <w:szCs w:val="32"/>
          <w:lang w:val="en-US" w:eastAsia="zh-CN"/>
        </w:rPr>
        <w:t>规范公务用车管理</w:t>
      </w:r>
      <w:r>
        <w:rPr>
          <w:rFonts w:hint="eastAsia" w:ascii="Times New Roman" w:hAnsi="Times New Roman" w:eastAsia="方正仿宋_GBK" w:cs="Times New Roman"/>
          <w:color w:val="000000"/>
          <w:sz w:val="32"/>
          <w:szCs w:val="32"/>
          <w:lang w:val="en-US" w:eastAsia="zh-CN"/>
        </w:rPr>
        <w:t>。通过党政网发布《关于征求〈渠县党政机关公务用车管理实施办法（试行）〉意见建议的函》，积极征求县级相关部门的意见及建议，建立健全公车管理规章制度，有序开展全县公务用车维修保养服务供应商采购工作。</w:t>
      </w:r>
      <w:r>
        <w:rPr>
          <w:rFonts w:hint="default" w:ascii="Times New Roman" w:hAnsi="Times New Roman" w:eastAsia="方正仿宋_GBK" w:cs="Times New Roman"/>
          <w:color w:val="auto"/>
          <w:sz w:val="32"/>
          <w:szCs w:val="32"/>
          <w:lang w:val="en-US" w:eastAsia="zh-CN"/>
        </w:rPr>
        <w:t>二是完成202</w:t>
      </w:r>
      <w:r>
        <w:rPr>
          <w:rFonts w:hint="eastAsia"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val="en-US" w:eastAsia="zh-CN"/>
        </w:rPr>
        <w:t>年度党政机关公务用车统计工作</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bidi="ar"/>
        </w:rPr>
        <w:t>指导全县119家机关事业单位收集整理相关资料信息，组织系统在线填报和审核汇总上报</w:t>
      </w:r>
      <w:r>
        <w:rPr>
          <w:rFonts w:hint="eastAsia" w:ascii="Times New Roman" w:hAnsi="Times New Roman" w:eastAsia="方正仿宋_GBK" w:cs="Times New Roman"/>
          <w:color w:val="auto"/>
          <w:sz w:val="32"/>
          <w:szCs w:val="32"/>
          <w:lang w:val="en-US" w:eastAsia="zh-CN" w:bidi="ar"/>
        </w:rPr>
        <w:t>。</w:t>
      </w:r>
      <w:r>
        <w:rPr>
          <w:rFonts w:hint="default" w:ascii="Times New Roman" w:hAnsi="Times New Roman" w:eastAsia="方正仿宋_GBK" w:cs="Times New Roman"/>
          <w:color w:val="000000"/>
          <w:sz w:val="32"/>
          <w:szCs w:val="32"/>
          <w:lang w:val="en-US" w:eastAsia="zh-CN"/>
        </w:rPr>
        <w:t>三是做好公务用车配备更新工作。指导县经济开发区企业服务中心</w:t>
      </w:r>
      <w:r>
        <w:rPr>
          <w:rFonts w:hint="eastAsia" w:ascii="Times New Roman" w:hAnsi="Times New Roman" w:eastAsia="方正仿宋_GBK" w:cs="Times New Roman"/>
          <w:color w:val="000000"/>
          <w:sz w:val="32"/>
          <w:szCs w:val="32"/>
          <w:lang w:val="en-US" w:eastAsia="zh-CN"/>
        </w:rPr>
        <w:t>、县教考院等单位对</w:t>
      </w:r>
      <w:r>
        <w:rPr>
          <w:rFonts w:hint="default" w:ascii="Times New Roman" w:hAnsi="Times New Roman" w:eastAsia="方正仿宋_GBK" w:cs="Times New Roman"/>
          <w:color w:val="000000"/>
          <w:sz w:val="32"/>
          <w:szCs w:val="32"/>
          <w:lang w:val="en-US" w:eastAsia="zh-CN"/>
        </w:rPr>
        <w:t>无法维修和使用</w:t>
      </w:r>
      <w:r>
        <w:rPr>
          <w:rFonts w:hint="eastAsia" w:ascii="Times New Roman" w:hAnsi="Times New Roman" w:eastAsia="方正仿宋_GBK" w:cs="Times New Roman"/>
          <w:color w:val="000000"/>
          <w:sz w:val="32"/>
          <w:szCs w:val="32"/>
          <w:lang w:val="en-US" w:eastAsia="zh-CN"/>
        </w:rPr>
        <w:t>的5台公务用车</w:t>
      </w:r>
      <w:r>
        <w:rPr>
          <w:rFonts w:hint="eastAsia" w:ascii="Times New Roman" w:hAnsi="Times New Roman" w:eastAsia="方正仿宋_GBK" w:cs="Times New Roman"/>
          <w:strike w:val="0"/>
          <w:dstrike w:val="0"/>
          <w:color w:val="000000"/>
          <w:sz w:val="32"/>
          <w:szCs w:val="32"/>
          <w:lang w:val="en-US" w:eastAsia="zh-CN"/>
        </w:rPr>
        <w:t>进行了报废处置</w:t>
      </w:r>
      <w:r>
        <w:rPr>
          <w:rFonts w:hint="default" w:ascii="Times New Roman" w:hAnsi="Times New Roman" w:eastAsia="方正仿宋_GBK" w:cs="Times New Roman"/>
          <w:strike w:val="0"/>
          <w:dstrike w:val="0"/>
          <w:color w:val="000000"/>
          <w:sz w:val="32"/>
          <w:szCs w:val="32"/>
          <w:lang w:val="en-US" w:eastAsia="zh-CN"/>
        </w:rPr>
        <w:t>，</w:t>
      </w:r>
      <w:r>
        <w:rPr>
          <w:rFonts w:hint="eastAsia" w:ascii="Times New Roman" w:hAnsi="Times New Roman" w:eastAsia="方正仿宋_GBK" w:cs="Times New Roman"/>
          <w:strike w:val="0"/>
          <w:dstrike w:val="0"/>
          <w:color w:val="000000"/>
          <w:sz w:val="32"/>
          <w:szCs w:val="32"/>
          <w:lang w:val="en-US" w:eastAsia="zh-CN"/>
        </w:rPr>
        <w:t>并</w:t>
      </w:r>
      <w:r>
        <w:rPr>
          <w:rFonts w:hint="default" w:ascii="Times New Roman" w:hAnsi="Times New Roman" w:eastAsia="方正仿宋_GBK" w:cs="Times New Roman"/>
          <w:strike w:val="0"/>
          <w:dstrike w:val="0"/>
          <w:color w:val="000000"/>
          <w:sz w:val="32"/>
          <w:szCs w:val="32"/>
          <w:lang w:val="en-US" w:eastAsia="zh-CN"/>
        </w:rPr>
        <w:t>协助完成了</w:t>
      </w:r>
      <w:r>
        <w:rPr>
          <w:rFonts w:hint="eastAsia" w:ascii="Times New Roman" w:hAnsi="Times New Roman" w:eastAsia="方正仿宋_GBK" w:cs="Times New Roman"/>
          <w:strike w:val="0"/>
          <w:dstrike w:val="0"/>
          <w:color w:val="000000"/>
          <w:sz w:val="32"/>
          <w:szCs w:val="32"/>
          <w:lang w:val="en-US" w:eastAsia="zh-CN"/>
        </w:rPr>
        <w:t>6辆新能源</w:t>
      </w:r>
      <w:r>
        <w:rPr>
          <w:rFonts w:hint="default" w:ascii="Times New Roman" w:hAnsi="Times New Roman" w:eastAsia="方正仿宋_GBK" w:cs="Times New Roman"/>
          <w:strike w:val="0"/>
          <w:dstrike w:val="0"/>
          <w:color w:val="000000"/>
          <w:sz w:val="32"/>
          <w:szCs w:val="32"/>
          <w:lang w:val="en-US" w:eastAsia="zh-CN"/>
        </w:rPr>
        <w:t>新购车辆备案</w:t>
      </w:r>
      <w:r>
        <w:rPr>
          <w:rFonts w:hint="eastAsia" w:ascii="Times New Roman" w:hAnsi="Times New Roman" w:eastAsia="方正仿宋_GBK" w:cs="Times New Roman"/>
          <w:strike w:val="0"/>
          <w:dstrike w:val="0"/>
          <w:color w:val="000000"/>
          <w:sz w:val="32"/>
          <w:szCs w:val="32"/>
          <w:lang w:val="en-US" w:eastAsia="zh-CN"/>
        </w:rPr>
        <w:t>，新能源车辆购置占比达100%；为县委城乡基层治理中心、县</w:t>
      </w:r>
      <w:r>
        <w:rPr>
          <w:rFonts w:hint="eastAsia"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审计事务中心及县质量检验检查中心调剂了3台车辆编制，解决了上述单位因单位机构变革缺乏车辆编制的问题。</w:t>
      </w:r>
      <w:r>
        <w:rPr>
          <w:rFonts w:hint="default"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四是</w:t>
      </w:r>
      <w:r>
        <w:rPr>
          <w:rFonts w:hint="eastAsia"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加强</w:t>
      </w:r>
      <w:r>
        <w:rPr>
          <w:rFonts w:hint="default"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公务用车安全管理</w:t>
      </w:r>
      <w:r>
        <w:rPr>
          <w:rFonts w:hint="eastAsia"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strike w:val="0"/>
          <w:dstrike w:val="0"/>
          <w:color w:val="000000" w:themeColor="text1"/>
          <w:sz w:val="32"/>
          <w:szCs w:val="32"/>
          <w:lang w:val="en-US" w:eastAsia="zh-CN"/>
          <w14:textFill>
            <w14:solidFill>
              <w14:schemeClr w14:val="tx1"/>
            </w14:solidFill>
          </w14:textFill>
        </w:rPr>
        <w:t>对全县公务用车管理平台的定位离线或故障的车辆进行定位恢</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复，摸排问题</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24</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个，已组织整改。</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五是加大公务用车保障力度。报废有安全隐患车3台，收回编制1台，购买公务用车社会化保障服务5台，确保了全县公务出行需求和安全。</w:t>
      </w:r>
    </w:p>
    <w:p w14:paraId="583C9005">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（2）公共机构节能工作，</w:t>
      </w:r>
      <w:r>
        <w:rPr>
          <w:rFonts w:hint="default" w:ascii="Times New Roman" w:hAnsi="Times New Roman" w:eastAsia="方正仿宋_GBK" w:cs="Times New Roman"/>
          <w:sz w:val="32"/>
          <w:szCs w:val="32"/>
          <w:lang w:val="en-US" w:eastAsia="zh-CN"/>
        </w:rPr>
        <w:t>一是深入推进</w:t>
      </w:r>
      <w:r>
        <w:rPr>
          <w:rFonts w:hint="default" w:ascii="Times New Roman" w:hAnsi="Times New Roman" w:eastAsia="方正仿宋_GBK" w:cs="Times New Roman"/>
          <w:sz w:val="32"/>
          <w:szCs w:val="32"/>
        </w:rPr>
        <w:t>公共机构节能工作，形成生活垃圾分类、反食品浪费、禁塑等常态化工作机制，积极推动资源综合利用、绿色行动、既有建筑节能改造、空调通风系统节能改造、厉行节约、能源资源消费统计等工作，节能示范引领作用更加明显。</w:t>
      </w:r>
      <w:r>
        <w:rPr>
          <w:rFonts w:hint="default" w:ascii="Times New Roman" w:hAnsi="Times New Roman" w:eastAsia="方正仿宋_GBK" w:cs="Times New Roman"/>
          <w:sz w:val="32"/>
          <w:szCs w:val="32"/>
          <w:lang w:val="en-US" w:eastAsia="zh-CN"/>
        </w:rPr>
        <w:t>二是开展“绿色转型，节能攻坚”为主题的节能宣传周和“绿色低碳，美丽中国”低碳日活动，组织</w:t>
      </w:r>
      <w:r>
        <w:rPr>
          <w:rFonts w:hint="default" w:ascii="Times New Roman" w:hAnsi="Times New Roman" w:eastAsia="方正仿宋_GBK" w:cs="Times New Roman"/>
          <w:color w:val="000000"/>
          <w:kern w:val="0"/>
          <w:sz w:val="32"/>
          <w:szCs w:val="32"/>
          <w:lang w:val="en-US" w:eastAsia="zh-CN" w:bidi="ar"/>
        </w:rPr>
        <w:t>宣传咨询活动4场次，</w:t>
      </w:r>
      <w:r>
        <w:rPr>
          <w:rFonts w:hint="default" w:ascii="Times New Roman" w:hAnsi="Times New Roman" w:eastAsia="方正仿宋_GBK" w:cs="Times New Roman"/>
          <w:sz w:val="32"/>
          <w:szCs w:val="32"/>
          <w:lang w:val="en-US" w:eastAsia="zh-CN"/>
        </w:rPr>
        <w:t>制作宣传展板11个，发放宣传海报400余份、宣传手册1300余份，全县公共机构采用线上线下相结合的方式，广泛开展节能宣传。三是指导土溪镇人民政府完成2871㎡建筑节能改造、县卫健局完成了1600㎡空调节能改造等工作，并顺利</w:t>
      </w:r>
      <w:r>
        <w:rPr>
          <w:rFonts w:hint="eastAsia" w:ascii="Times New Roman" w:hAnsi="Times New Roman" w:eastAsia="方正仿宋_GBK" w:cs="Times New Roman"/>
          <w:sz w:val="32"/>
          <w:szCs w:val="32"/>
          <w:lang w:val="en-US" w:eastAsia="zh-CN"/>
        </w:rPr>
        <w:t>完成节水合同能源管理项目1个、智慧能源管理项目1个。四</w:t>
      </w:r>
      <w:r>
        <w:rPr>
          <w:rFonts w:hint="default" w:ascii="Times New Roman" w:hAnsi="Times New Roman" w:eastAsia="方正仿宋_GBK" w:cs="Times New Roman"/>
          <w:sz w:val="32"/>
          <w:szCs w:val="32"/>
          <w:lang w:val="en-US" w:eastAsia="zh-CN"/>
        </w:rPr>
        <w:t>是指导县中医院开展2023—2024年度国家级节约型公共机构示范单位创建，协调做好省市现场验收工作。</w:t>
      </w:r>
      <w:r>
        <w:rPr>
          <w:rFonts w:hint="eastAsia" w:ascii="Times New Roman" w:hAnsi="Times New Roman" w:eastAsia="方正仿宋_GBK" w:cs="Times New Roman"/>
          <w:sz w:val="32"/>
          <w:szCs w:val="32"/>
          <w:lang w:val="en-US" w:eastAsia="zh-CN"/>
        </w:rPr>
        <w:t>已于2024年9月全面完成市下达我县目标考核任务。</w:t>
      </w:r>
    </w:p>
    <w:p w14:paraId="6BABCB99">
      <w:pPr>
        <w:keepNext w:val="0"/>
        <w:keepLines w:val="0"/>
        <w:pageBreakBefore w:val="0"/>
        <w:widowControl w:val="0"/>
        <w:numPr>
          <w:ilvl w:val="0"/>
          <w:numId w:val="0"/>
        </w:numPr>
        <w:kinsoku/>
        <w:wordWrap w:val="0"/>
        <w:overflowPunct/>
        <w:topLinePunct w:val="0"/>
        <w:autoSpaceDE/>
        <w:autoSpaceDN/>
        <w:bidi w:val="0"/>
        <w:adjustRightInd/>
        <w:snapToGrid/>
        <w:spacing w:line="578"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color w:val="000000"/>
          <w:kern w:val="0"/>
          <w:sz w:val="32"/>
          <w:szCs w:val="32"/>
          <w:lang w:val="en-US" w:eastAsia="zh-CN" w:bidi="ar"/>
        </w:rPr>
        <w:t>（3）</w:t>
      </w:r>
      <w:r>
        <w:rPr>
          <w:rFonts w:hint="eastAsia" w:ascii="Times New Roman" w:hAnsi="Times New Roman" w:eastAsia="方正仿宋_GBK" w:cs="Times New Roman"/>
          <w:sz w:val="32"/>
          <w:szCs w:val="32"/>
          <w:lang w:val="en-US" w:eastAsia="zh-CN"/>
        </w:rPr>
        <w:t>后勤保障工作，一是做好安全保卫工作。</w:t>
      </w:r>
      <w:r>
        <w:rPr>
          <w:rFonts w:hint="default" w:ascii="Times New Roman" w:hAnsi="Times New Roman" w:eastAsia="方正仿宋_GBK" w:cs="Times New Roman"/>
          <w:sz w:val="32"/>
          <w:szCs w:val="32"/>
          <w:lang w:val="en-US" w:eastAsia="zh-CN"/>
        </w:rPr>
        <w:t>坚持县委、县政府机关大院24小时门卫值守，</w:t>
      </w:r>
      <w:r>
        <w:rPr>
          <w:rFonts w:hint="eastAsia" w:ascii="Times New Roman" w:hAnsi="Times New Roman" w:eastAsia="方正仿宋_GBK" w:cs="Times New Roman"/>
          <w:sz w:val="32"/>
          <w:szCs w:val="32"/>
          <w:lang w:val="en-US" w:eastAsia="zh-CN"/>
        </w:rPr>
        <w:t>加强进出人员、车辆管理，协助做好上访群众劝导工作，开展日常安全巡查和节前综合检查，</w:t>
      </w:r>
      <w:r>
        <w:rPr>
          <w:rFonts w:hint="default" w:ascii="Times New Roman" w:hAnsi="Times New Roman" w:eastAsia="方正仿宋_GBK" w:cs="Times New Roman"/>
          <w:b w:val="0"/>
          <w:bCs w:val="0"/>
          <w:sz w:val="32"/>
          <w:szCs w:val="32"/>
          <w:lang w:val="en-US" w:eastAsia="zh-CN"/>
        </w:rPr>
        <w:t>修订完善了集中管理办公区安保维稳反恐应急预案，联合安保</w:t>
      </w:r>
      <w:r>
        <w:rPr>
          <w:rFonts w:hint="eastAsia" w:ascii="Times New Roman" w:hAnsi="Times New Roman" w:eastAsia="方正仿宋_GBK" w:cs="Times New Roman"/>
          <w:sz w:val="32"/>
          <w:szCs w:val="32"/>
          <w:lang w:val="en-US" w:eastAsia="zh-CN"/>
        </w:rPr>
        <w:t>组织县委、县政府两院开展了安保人员反恐防暴和灭火消防等技能培训，维护了机关大院正常办公秩序。二是做好设施设备维保。完成了县委、县政府大院8部电梯的安全年检工作，及时完善了安全防护设施，对电梯轿厢的制冷设备进行了检修更换。同时还邀请县消防大队进行了消防安全培训和指导，对两院楼栋的问题灭火器及灭火器箱进行更换和补充，并完善消防设备的管理系统。三是</w:t>
      </w:r>
      <w:r>
        <w:rPr>
          <w:rFonts w:hint="default" w:ascii="Times New Roman" w:hAnsi="Times New Roman" w:eastAsia="方正仿宋_GBK" w:cs="Times New Roman"/>
          <w:sz w:val="32"/>
          <w:szCs w:val="32"/>
          <w:lang w:val="en-US" w:eastAsia="zh-CN"/>
        </w:rPr>
        <w:t>做好后勤服务保障</w:t>
      </w:r>
      <w:r>
        <w:rPr>
          <w:rFonts w:hint="eastAsia" w:ascii="Times New Roman" w:hAnsi="Times New Roman" w:eastAsia="方正仿宋_GBK" w:cs="Times New Roman"/>
          <w:sz w:val="32"/>
          <w:szCs w:val="32"/>
          <w:lang w:val="en-US" w:eastAsia="zh-CN"/>
        </w:rPr>
        <w:t>。联系园林所、消防队等对机关大院的大树高枝及坠落在房顶的枯枝等进行了排危和修剪；针对老国税局外墙瓷砖掉落问题及时进行了防护排危；对机关大院的草埔花园进行了悉心养护；加强机关食堂日常安全、卫生检查，及时维修更换灶、保温箱等厨具，开展了用餐单位满意度调查，结合收集意见完善了</w:t>
      </w:r>
      <w:r>
        <w:rPr>
          <w:rFonts w:hint="default" w:ascii="Times New Roman" w:hAnsi="Times New Roman" w:eastAsia="方正仿宋_GBK" w:cs="Times New Roman"/>
          <w:sz w:val="32"/>
          <w:szCs w:val="32"/>
          <w:lang w:val="en-US" w:eastAsia="zh-CN"/>
        </w:rPr>
        <w:t>职工餐供应</w:t>
      </w:r>
      <w:r>
        <w:rPr>
          <w:rFonts w:hint="eastAsia" w:ascii="Times New Roman" w:hAnsi="Times New Roman" w:eastAsia="方正仿宋_GBK" w:cs="Times New Roman"/>
          <w:sz w:val="32"/>
          <w:szCs w:val="32"/>
          <w:lang w:val="en-US" w:eastAsia="zh-CN"/>
        </w:rPr>
        <w:t>等相关工作。</w:t>
      </w:r>
    </w:p>
    <w:p w14:paraId="4A00E512">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2.部门预算管理</w:t>
      </w:r>
    </w:p>
    <w:p w14:paraId="44C1269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r>
        <w:rPr>
          <w:rFonts w:hint="eastAsia" w:ascii="方正仿宋_GBK" w:hAnsi="方正仿宋_GBK" w:eastAsia="方正仿宋_GBK" w:cs="方正仿宋_GBK"/>
          <w:color w:val="auto"/>
          <w:sz w:val="32"/>
          <w:szCs w:val="32"/>
          <w:highlight w:val="none"/>
          <w:lang w:val="en-US" w:eastAsia="zh-CN"/>
        </w:rPr>
        <w:t>（1）</w:t>
      </w:r>
      <w:r>
        <w:rPr>
          <w:rFonts w:hint="eastAsia" w:ascii="方正仿宋_GBK" w:hAnsi="方正仿宋_GBK" w:eastAsia="方正仿宋_GBK" w:cs="方正仿宋_GBK"/>
          <w:color w:val="auto"/>
          <w:sz w:val="32"/>
          <w:szCs w:val="32"/>
          <w:highlight w:val="none"/>
          <w:lang w:val="zh-CN" w:eastAsia="zh-CN"/>
        </w:rPr>
        <w:t>预算编制。</w:t>
      </w:r>
    </w:p>
    <w:p w14:paraId="62AE236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zh-CN" w:eastAsia="zh-CN"/>
        </w:rPr>
        <w:t>我</w:t>
      </w:r>
      <w:r>
        <w:rPr>
          <w:rFonts w:hint="eastAsia" w:ascii="方正仿宋_GBK" w:hAnsi="方正仿宋_GBK" w:eastAsia="方正仿宋_GBK" w:cs="方正仿宋_GBK"/>
          <w:color w:val="auto"/>
          <w:sz w:val="32"/>
          <w:szCs w:val="32"/>
          <w:highlight w:val="none"/>
          <w:lang w:val="en-US" w:eastAsia="zh-CN"/>
        </w:rPr>
        <w:t>单位预算的编制采用零基预算方法。在预算编制时，成立预算编审班子，根据上年度的预算执行情况和本年度经济发展情况，综合考虑各方面因素，编制本部门预算。</w:t>
      </w:r>
    </w:p>
    <w:p w14:paraId="34F6CD3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（2）单位收入统筹。</w:t>
      </w:r>
    </w:p>
    <w:p w14:paraId="3398C03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2024年度我单位无自有收入情况。</w:t>
      </w:r>
    </w:p>
    <w:p w14:paraId="16AA6C00">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支出执行进度。</w:t>
      </w:r>
    </w:p>
    <w:p w14:paraId="041DC045">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我单位2024年6月预算执行882.95万元，执行率36.2%；2024年10月预算执行1238.66万元，执行率50.8%。</w:t>
      </w:r>
    </w:p>
    <w:p w14:paraId="1C3EFE7E">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b w:val="0"/>
          <w:color w:val="auto"/>
          <w:kern w:val="2"/>
          <w:sz w:val="32"/>
          <w:szCs w:val="32"/>
          <w:highlight w:val="none"/>
          <w:lang w:val="en-US" w:eastAsia="zh-CN" w:bidi="ar-SA"/>
        </w:rPr>
      </w:pPr>
      <w:r>
        <w:rPr>
          <w:rFonts w:hint="eastAsia" w:ascii="方正仿宋_GBK" w:hAnsi="方正仿宋_GBK" w:eastAsia="方正仿宋_GBK" w:cs="方正仿宋_GBK"/>
          <w:color w:val="auto"/>
          <w:sz w:val="32"/>
          <w:szCs w:val="32"/>
          <w:highlight w:val="none"/>
          <w:lang w:val="en-US" w:eastAsia="zh-CN"/>
        </w:rPr>
        <w:t>预算年终结余。</w:t>
      </w:r>
    </w:p>
    <w:p w14:paraId="5EA3210F">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b w:val="0"/>
          <w:color w:val="auto"/>
          <w:kern w:val="2"/>
          <w:sz w:val="32"/>
          <w:szCs w:val="32"/>
          <w:highlight w:val="none"/>
          <w:lang w:val="en-US" w:eastAsia="zh-CN" w:bidi="ar-SA"/>
        </w:rPr>
      </w:pPr>
      <w:r>
        <w:rPr>
          <w:rFonts w:hint="eastAsia" w:ascii="方正仿宋_GBK" w:hAnsi="方正仿宋_GBK" w:eastAsia="方正仿宋_GBK" w:cs="方正仿宋_GBK"/>
          <w:b w:val="0"/>
          <w:color w:val="auto"/>
          <w:kern w:val="2"/>
          <w:sz w:val="32"/>
          <w:szCs w:val="32"/>
          <w:highlight w:val="none"/>
          <w:lang w:val="en-US" w:eastAsia="zh-CN" w:bidi="ar-SA"/>
        </w:rPr>
        <w:t>2024年财政预算拨款收入2436.64万元，财政支出决算数为2436.64万元，完成预算数的100%。年终无结余。</w:t>
      </w:r>
    </w:p>
    <w:p w14:paraId="15146069">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严控一般性支出情况。</w:t>
      </w:r>
    </w:p>
    <w:p w14:paraId="03F13201">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firstLine="320" w:firstLineChars="100"/>
        <w:jc w:val="both"/>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2024年， 我单位年初部门预算公用经费支出预算为224.75万元，其中：办公费、印刷费、水费、电费、物业管理费根据实际使用。决算数为225.77万元，较年初预算增加1.02万元。主要原因是中途有新进人员。</w:t>
      </w:r>
    </w:p>
    <w:p w14:paraId="64B951A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3.部门财务管理</w:t>
      </w:r>
    </w:p>
    <w:p w14:paraId="73EE7C0A">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（1）制度建设。建立了涵盖“预算业务”“收支业务”“政府采购业务”“资产管理”“建设项目”“合同”六大经济业务领域的内控制度，并结合实际或中央、省、市有关管理规定及时更新。</w:t>
      </w:r>
    </w:p>
    <w:p w14:paraId="4AE26EB8">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岗位设置。我单位按照“分事分权、分岗设权、分级授权”等要求落实不相容岗位分离和定期轮岗等内部权利制衡基本举措，建立了重大事项议事决策机制，且建立有决策权、管理权、执行权和监督权“四权分离”的制度。</w:t>
      </w:r>
    </w:p>
    <w:p w14:paraId="4D2013A3">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资金使用规范。我单位严格执行收支两条线管理制度，日常资金使用根据年度部门预算和每月的用款计划，从机关实际出发，正确地实事求是地使用执行，发挥资金的使用效率。不存在超预算或无预算安排、虚列支出、超范围超标准使用经费、违规使用“三公”经费、滥发津补贴、报销不合规等情况。</w:t>
      </w:r>
    </w:p>
    <w:p w14:paraId="5E2E7E23">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4.资产管理</w:t>
      </w:r>
    </w:p>
    <w:p w14:paraId="3B969517">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bookmarkStart w:id="11" w:name="_Toc3183"/>
      <w:bookmarkStart w:id="12" w:name="_Toc15103"/>
      <w:bookmarkStart w:id="13" w:name="_Toc27737632"/>
      <w:r>
        <w:rPr>
          <w:rFonts w:hint="eastAsia" w:ascii="方正仿宋_GBK" w:hAnsi="方正仿宋_GBK" w:eastAsia="方正仿宋_GBK" w:cs="方正仿宋_GBK"/>
          <w:color w:val="auto"/>
          <w:sz w:val="32"/>
          <w:szCs w:val="32"/>
          <w:highlight w:val="none"/>
          <w:lang w:val="zh-CN" w:eastAsia="zh-CN"/>
        </w:rPr>
        <w:t>（1）人均资产变化率</w:t>
      </w:r>
    </w:p>
    <w:p w14:paraId="0E64EE9A">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我单位2023年</w:t>
      </w:r>
      <w:bookmarkStart w:id="14" w:name="_Hlk174268434"/>
      <w:r>
        <w:rPr>
          <w:rFonts w:hint="eastAsia" w:ascii="方正仿宋_GBK" w:hAnsi="方正仿宋_GBK" w:eastAsia="方正仿宋_GBK" w:cs="方正仿宋_GBK"/>
          <w:color w:val="auto"/>
          <w:sz w:val="32"/>
          <w:szCs w:val="32"/>
          <w:highlight w:val="none"/>
          <w:lang w:val="en-US" w:eastAsia="zh-CN"/>
        </w:rPr>
        <w:t>资产期末净值（固定资产净值+无形资产净值）299.35万元，年末实有人12人，人均占有资产24.95万元</w:t>
      </w:r>
      <w:bookmarkEnd w:id="14"/>
      <w:r>
        <w:rPr>
          <w:rFonts w:hint="eastAsia" w:ascii="方正仿宋_GBK" w:hAnsi="方正仿宋_GBK" w:eastAsia="方正仿宋_GBK" w:cs="方正仿宋_GBK"/>
          <w:color w:val="auto"/>
          <w:sz w:val="32"/>
          <w:szCs w:val="32"/>
          <w:highlight w:val="none"/>
          <w:lang w:val="en-US" w:eastAsia="zh-CN"/>
        </w:rPr>
        <w:t>；2024资产期末净值（固定资产净值+无形资产净值）265.74万元，年末实有人10人，人均占有资产17.72万元。部门人均资产变化率为29%。</w:t>
      </w:r>
    </w:p>
    <w:p w14:paraId="1D79095D">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r>
        <w:rPr>
          <w:rFonts w:hint="eastAsia" w:ascii="方正仿宋_GBK" w:hAnsi="方正仿宋_GBK" w:eastAsia="方正仿宋_GBK" w:cs="方正仿宋_GBK"/>
          <w:color w:val="auto"/>
          <w:sz w:val="32"/>
          <w:szCs w:val="32"/>
          <w:highlight w:val="none"/>
          <w:lang w:val="zh-CN" w:eastAsia="zh-CN"/>
        </w:rPr>
        <w:t>（2）资产利用率</w:t>
      </w:r>
    </w:p>
    <w:p w14:paraId="05B5DAF2">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bookmarkStart w:id="15" w:name="_Hlk174268712"/>
      <w:bookmarkStart w:id="16" w:name="_Hlk174267244"/>
      <w:r>
        <w:rPr>
          <w:rFonts w:hint="eastAsia" w:ascii="方正仿宋_GBK" w:hAnsi="方正仿宋_GBK" w:eastAsia="方正仿宋_GBK" w:cs="方正仿宋_GBK"/>
          <w:color w:val="auto"/>
          <w:sz w:val="32"/>
          <w:szCs w:val="32"/>
          <w:highlight w:val="none"/>
          <w:lang w:val="zh-CN" w:eastAsia="zh-CN"/>
        </w:rPr>
        <w:t>截至</w:t>
      </w:r>
      <w:r>
        <w:rPr>
          <w:rFonts w:hint="eastAsia" w:ascii="方正仿宋_GBK" w:hAnsi="方正仿宋_GBK" w:eastAsia="方正仿宋_GBK" w:cs="方正仿宋_GBK"/>
          <w:color w:val="auto"/>
          <w:sz w:val="32"/>
          <w:szCs w:val="32"/>
          <w:highlight w:val="none"/>
          <w:lang w:val="en-US" w:eastAsia="zh-CN"/>
        </w:rPr>
        <w:t>2024年12月底，</w:t>
      </w:r>
      <w:bookmarkEnd w:id="15"/>
      <w:r>
        <w:rPr>
          <w:rFonts w:hint="eastAsia" w:ascii="方正仿宋_GBK" w:hAnsi="方正仿宋_GBK" w:eastAsia="方正仿宋_GBK" w:cs="方正仿宋_GBK"/>
          <w:color w:val="auto"/>
          <w:sz w:val="32"/>
          <w:szCs w:val="32"/>
          <w:highlight w:val="none"/>
          <w:lang w:val="en-US" w:eastAsia="zh-CN"/>
        </w:rPr>
        <w:t>我单位</w:t>
      </w:r>
      <w:r>
        <w:rPr>
          <w:rFonts w:hint="eastAsia" w:ascii="方正仿宋_GBK" w:hAnsi="方正仿宋_GBK" w:eastAsia="方正仿宋_GBK" w:cs="方正仿宋_GBK"/>
          <w:color w:val="auto"/>
          <w:sz w:val="32"/>
          <w:szCs w:val="32"/>
          <w:highlight w:val="none"/>
          <w:lang w:val="zh-CN" w:eastAsia="zh-CN"/>
        </w:rPr>
        <w:t>办公家具账面价值</w:t>
      </w:r>
      <w:r>
        <w:rPr>
          <w:rFonts w:hint="eastAsia" w:ascii="方正仿宋_GBK" w:hAnsi="方正仿宋_GBK" w:eastAsia="方正仿宋_GBK" w:cs="方正仿宋_GBK"/>
          <w:color w:val="auto"/>
          <w:sz w:val="32"/>
          <w:szCs w:val="32"/>
          <w:highlight w:val="none"/>
          <w:lang w:val="en-US" w:eastAsia="zh-CN"/>
        </w:rPr>
        <w:t>4.63万元，超最低使用年限的办公家具账面价值4.63万元，办公家具超最低使用年限资产利用率100%；办公设备</w:t>
      </w:r>
      <w:r>
        <w:rPr>
          <w:rFonts w:hint="eastAsia" w:ascii="方正仿宋_GBK" w:hAnsi="方正仿宋_GBK" w:eastAsia="方正仿宋_GBK" w:cs="方正仿宋_GBK"/>
          <w:color w:val="auto"/>
          <w:sz w:val="32"/>
          <w:szCs w:val="32"/>
          <w:highlight w:val="none"/>
          <w:lang w:val="zh-CN" w:eastAsia="zh-CN"/>
        </w:rPr>
        <w:t>账面价值</w:t>
      </w:r>
      <w:r>
        <w:rPr>
          <w:rFonts w:hint="eastAsia" w:ascii="方正仿宋_GBK" w:hAnsi="方正仿宋_GBK" w:eastAsia="方正仿宋_GBK" w:cs="方正仿宋_GBK"/>
          <w:color w:val="auto"/>
          <w:sz w:val="32"/>
          <w:szCs w:val="32"/>
          <w:highlight w:val="none"/>
          <w:lang w:val="en-US" w:eastAsia="zh-CN"/>
        </w:rPr>
        <w:t>12.48万元，超最低使用年限的办公设备账面价值0万元，办公设备超最低使用年限资产利用率0%。</w:t>
      </w:r>
    </w:p>
    <w:bookmarkEnd w:id="16"/>
    <w:p w14:paraId="494990C5">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r>
        <w:rPr>
          <w:rFonts w:hint="eastAsia" w:ascii="方正仿宋_GBK" w:hAnsi="方正仿宋_GBK" w:eastAsia="方正仿宋_GBK" w:cs="方正仿宋_GBK"/>
          <w:color w:val="auto"/>
          <w:sz w:val="32"/>
          <w:szCs w:val="32"/>
          <w:highlight w:val="none"/>
          <w:lang w:val="zh-CN" w:eastAsia="zh-CN"/>
        </w:rPr>
        <w:t>（3）资产盘活率</w:t>
      </w:r>
    </w:p>
    <w:p w14:paraId="72B6823F">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截至2024年12月底，本单位无闲置资产。</w:t>
      </w:r>
    </w:p>
    <w:p w14:paraId="7B0C7DA2">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val="en-US" w:eastAsia="zh-CN"/>
        </w:rPr>
        <w:t>5.</w:t>
      </w:r>
      <w:r>
        <w:rPr>
          <w:rFonts w:hint="eastAsia" w:ascii="方正仿宋_GBK" w:hAnsi="方正仿宋_GBK" w:eastAsia="方正仿宋_GBK" w:cs="方正仿宋_GBK"/>
          <w:color w:val="auto"/>
          <w:sz w:val="32"/>
          <w:szCs w:val="32"/>
          <w:highlight w:val="none"/>
          <w:lang w:eastAsia="zh-CN"/>
        </w:rPr>
        <w:t>政府采购</w:t>
      </w:r>
      <w:bookmarkEnd w:id="11"/>
      <w:bookmarkEnd w:id="12"/>
      <w:bookmarkEnd w:id="13"/>
      <w:r>
        <w:rPr>
          <w:rFonts w:hint="eastAsia" w:ascii="方正仿宋_GBK" w:hAnsi="方正仿宋_GBK" w:eastAsia="方正仿宋_GBK" w:cs="方正仿宋_GBK"/>
          <w:color w:val="auto"/>
          <w:sz w:val="32"/>
          <w:szCs w:val="32"/>
          <w:highlight w:val="none"/>
          <w:lang w:eastAsia="zh-CN"/>
        </w:rPr>
        <w:t>管理</w:t>
      </w:r>
    </w:p>
    <w:p w14:paraId="61894D6C">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支持中小企业发展。我单位年初部门预算政府采购预算编制做到“应编尽编”，不存在未按规定编制政府采购预算事项、无预算采购、超预算采购情况。对适宜由中小企业提供的采购项目和采购包，预留采购份额专门面向中小企业采购，并在采购预算中单独列示。</w:t>
      </w:r>
    </w:p>
    <w:p w14:paraId="38748D0B">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（2）采购执行率。我单位2024年度公务用车定点加油预算29.8万元，截至12月，实际支付29.8万元，采购执行率100%。</w:t>
      </w:r>
    </w:p>
    <w:p w14:paraId="38D7DD34">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default" w:ascii="方正楷体_GBK" w:hAnsi="方正楷体_GBK" w:eastAsia="方正楷体_GBK" w:cs="方正楷体_GBK"/>
          <w:color w:val="auto"/>
          <w:sz w:val="32"/>
          <w:szCs w:val="32"/>
          <w:highlight w:val="none"/>
          <w:lang w:val="zh-CN" w:eastAsia="zh-CN"/>
        </w:rPr>
      </w:pPr>
      <w:r>
        <w:rPr>
          <w:rFonts w:hint="default" w:ascii="方正楷体_GBK" w:hAnsi="方正楷体_GBK" w:eastAsia="方正楷体_GBK" w:cs="方正楷体_GBK"/>
          <w:color w:val="auto"/>
          <w:sz w:val="32"/>
          <w:szCs w:val="32"/>
          <w:highlight w:val="none"/>
          <w:lang w:val="zh-CN" w:eastAsia="zh-CN"/>
        </w:rPr>
        <w:t>（二）部门预算项目绩效分析。</w:t>
      </w:r>
    </w:p>
    <w:p w14:paraId="1F8E64F5">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default" w:ascii="方正仿宋_GBK" w:hAnsi="方正仿宋_GBK" w:eastAsia="方正仿宋_GBK" w:cs="方正仿宋_GBK"/>
          <w:color w:val="auto"/>
          <w:sz w:val="32"/>
          <w:szCs w:val="32"/>
          <w:highlight w:val="none"/>
          <w:lang w:val="zh-CN" w:eastAsia="zh-CN"/>
        </w:rPr>
      </w:pPr>
      <w:r>
        <w:rPr>
          <w:rFonts w:hint="default" w:ascii="方正仿宋_GBK" w:hAnsi="方正仿宋_GBK" w:eastAsia="方正仿宋_GBK" w:cs="方正仿宋_GBK"/>
          <w:color w:val="auto"/>
          <w:sz w:val="32"/>
          <w:szCs w:val="32"/>
          <w:highlight w:val="none"/>
          <w:lang w:val="en-US" w:eastAsia="zh-CN"/>
        </w:rPr>
        <w:t>常年项目绩效分析。</w:t>
      </w:r>
      <w:r>
        <w:rPr>
          <w:rFonts w:hint="default" w:ascii="方正仿宋_GBK" w:hAnsi="方正仿宋_GBK" w:eastAsia="方正仿宋_GBK" w:cs="方正仿宋_GBK"/>
          <w:color w:val="auto"/>
          <w:sz w:val="32"/>
          <w:szCs w:val="32"/>
          <w:highlight w:val="none"/>
          <w:lang w:val="zh-CN" w:eastAsia="zh-CN"/>
        </w:rPr>
        <w:t>该类项目总数</w:t>
      </w:r>
      <w:r>
        <w:rPr>
          <w:rFonts w:hint="eastAsia" w:ascii="方正仿宋_GBK" w:hAnsi="方正仿宋_GBK" w:eastAsia="方正仿宋_GBK" w:cs="方正仿宋_GBK"/>
          <w:color w:val="auto"/>
          <w:sz w:val="32"/>
          <w:szCs w:val="32"/>
          <w:highlight w:val="none"/>
          <w:lang w:val="en-US" w:eastAsia="zh-CN"/>
        </w:rPr>
        <w:t>14</w:t>
      </w:r>
      <w:r>
        <w:rPr>
          <w:rFonts w:hint="default" w:ascii="方正仿宋_GBK" w:hAnsi="方正仿宋_GBK" w:eastAsia="方正仿宋_GBK" w:cs="方正仿宋_GBK"/>
          <w:color w:val="auto"/>
          <w:sz w:val="32"/>
          <w:szCs w:val="32"/>
          <w:highlight w:val="none"/>
          <w:lang w:val="zh-CN" w:eastAsia="zh-CN"/>
        </w:rPr>
        <w:t>个，涉及预算总金额</w:t>
      </w:r>
      <w:r>
        <w:rPr>
          <w:rFonts w:hint="eastAsia" w:ascii="方正仿宋_GBK" w:hAnsi="方正仿宋_GBK" w:eastAsia="方正仿宋_GBK" w:cs="方正仿宋_GBK"/>
          <w:color w:val="auto"/>
          <w:sz w:val="32"/>
          <w:szCs w:val="32"/>
          <w:highlight w:val="none"/>
          <w:lang w:val="en-US" w:eastAsia="zh-CN"/>
        </w:rPr>
        <w:t>349.01</w:t>
      </w:r>
      <w:r>
        <w:rPr>
          <w:rFonts w:hint="default" w:ascii="方正仿宋_GBK" w:hAnsi="方正仿宋_GBK" w:eastAsia="方正仿宋_GBK" w:cs="方正仿宋_GBK"/>
          <w:color w:val="auto"/>
          <w:sz w:val="32"/>
          <w:szCs w:val="32"/>
          <w:highlight w:val="none"/>
          <w:lang w:val="zh-CN" w:eastAsia="zh-CN"/>
        </w:rPr>
        <w:t>万元，1</w:t>
      </w:r>
      <w:r>
        <w:rPr>
          <w:rFonts w:hint="eastAsia" w:ascii="方正仿宋_GBK" w:hAnsi="方正仿宋_GBK" w:eastAsia="方正仿宋_GBK" w:cs="方正仿宋_GBK"/>
          <w:color w:val="auto"/>
          <w:sz w:val="32"/>
          <w:szCs w:val="32"/>
          <w:highlight w:val="none"/>
          <w:lang w:val="zh-CN" w:eastAsia="zh-CN"/>
        </w:rPr>
        <w:t>—</w:t>
      </w:r>
      <w:r>
        <w:rPr>
          <w:rFonts w:hint="default" w:ascii="方正仿宋_GBK" w:hAnsi="方正仿宋_GBK" w:eastAsia="方正仿宋_GBK" w:cs="方正仿宋_GBK"/>
          <w:color w:val="auto"/>
          <w:sz w:val="32"/>
          <w:szCs w:val="32"/>
          <w:highlight w:val="none"/>
          <w:lang w:val="zh-CN" w:eastAsia="zh-CN"/>
        </w:rPr>
        <w:t>1</w:t>
      </w:r>
      <w:r>
        <w:rPr>
          <w:rFonts w:hint="default" w:ascii="方正仿宋_GBK" w:hAnsi="方正仿宋_GBK" w:eastAsia="方正仿宋_GBK" w:cs="方正仿宋_GBK"/>
          <w:color w:val="auto"/>
          <w:sz w:val="32"/>
          <w:szCs w:val="32"/>
          <w:highlight w:val="none"/>
          <w:lang w:val="en-US" w:eastAsia="zh-CN"/>
        </w:rPr>
        <w:t>2</w:t>
      </w:r>
      <w:r>
        <w:rPr>
          <w:rFonts w:hint="default" w:ascii="方正仿宋_GBK" w:hAnsi="方正仿宋_GBK" w:eastAsia="方正仿宋_GBK" w:cs="方正仿宋_GBK"/>
          <w:color w:val="auto"/>
          <w:sz w:val="32"/>
          <w:szCs w:val="32"/>
          <w:highlight w:val="none"/>
          <w:lang w:val="zh-CN" w:eastAsia="zh-CN"/>
        </w:rPr>
        <w:t>月预算执行总体进度为</w:t>
      </w:r>
      <w:r>
        <w:rPr>
          <w:rFonts w:hint="eastAsia" w:ascii="方正仿宋_GBK" w:hAnsi="方正仿宋_GBK" w:eastAsia="方正仿宋_GBK" w:cs="方正仿宋_GBK"/>
          <w:color w:val="auto"/>
          <w:sz w:val="32"/>
          <w:szCs w:val="32"/>
          <w:highlight w:val="none"/>
          <w:lang w:val="en-US" w:eastAsia="zh-CN"/>
        </w:rPr>
        <w:t>100</w:t>
      </w:r>
      <w:r>
        <w:rPr>
          <w:rFonts w:hint="default" w:ascii="方正仿宋_GBK" w:hAnsi="方正仿宋_GBK" w:eastAsia="方正仿宋_GBK" w:cs="方正仿宋_GBK"/>
          <w:color w:val="auto"/>
          <w:sz w:val="32"/>
          <w:szCs w:val="32"/>
          <w:highlight w:val="none"/>
          <w:lang w:val="zh-CN" w:eastAsia="zh-CN"/>
        </w:rPr>
        <w:t>%，其中：预算结余率大于</w:t>
      </w:r>
      <w:r>
        <w:rPr>
          <w:rFonts w:hint="default" w:ascii="方正仿宋_GBK" w:hAnsi="方正仿宋_GBK" w:eastAsia="方正仿宋_GBK" w:cs="方正仿宋_GBK"/>
          <w:color w:val="auto"/>
          <w:sz w:val="32"/>
          <w:szCs w:val="32"/>
          <w:highlight w:val="none"/>
          <w:lang w:val="en-US" w:eastAsia="zh-CN"/>
        </w:rPr>
        <w:t>10%</w:t>
      </w:r>
      <w:r>
        <w:rPr>
          <w:rFonts w:hint="default" w:ascii="方正仿宋_GBK" w:hAnsi="方正仿宋_GBK" w:eastAsia="方正仿宋_GBK" w:cs="方正仿宋_GBK"/>
          <w:color w:val="auto"/>
          <w:sz w:val="32"/>
          <w:szCs w:val="32"/>
          <w:highlight w:val="none"/>
          <w:lang w:val="zh-CN" w:eastAsia="zh-CN"/>
        </w:rPr>
        <w:t>的项目共计</w:t>
      </w:r>
      <w:r>
        <w:rPr>
          <w:rFonts w:hint="eastAsia" w:ascii="方正仿宋_GBK" w:hAnsi="方正仿宋_GBK" w:eastAsia="方正仿宋_GBK" w:cs="方正仿宋_GBK"/>
          <w:color w:val="auto"/>
          <w:sz w:val="32"/>
          <w:szCs w:val="32"/>
          <w:highlight w:val="none"/>
          <w:lang w:val="en-US" w:eastAsia="zh-CN"/>
        </w:rPr>
        <w:t>0</w:t>
      </w:r>
      <w:r>
        <w:rPr>
          <w:rFonts w:hint="default" w:ascii="方正仿宋_GBK" w:hAnsi="方正仿宋_GBK" w:eastAsia="方正仿宋_GBK" w:cs="方正仿宋_GBK"/>
          <w:color w:val="auto"/>
          <w:sz w:val="32"/>
          <w:szCs w:val="32"/>
          <w:highlight w:val="none"/>
          <w:lang w:val="zh-CN" w:eastAsia="zh-CN"/>
        </w:rPr>
        <w:t>个。</w:t>
      </w:r>
    </w:p>
    <w:p w14:paraId="3CAF66B8">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default" w:ascii="方正仿宋_GBK" w:hAnsi="方正仿宋_GBK" w:eastAsia="方正仿宋_GBK" w:cs="方正仿宋_GBK"/>
          <w:color w:val="auto"/>
          <w:sz w:val="32"/>
          <w:szCs w:val="32"/>
          <w:highlight w:val="none"/>
          <w:lang w:val="zh-CN" w:eastAsia="zh-CN"/>
        </w:rPr>
      </w:pPr>
      <w:r>
        <w:rPr>
          <w:rFonts w:hint="default" w:ascii="方正仿宋_GBK" w:hAnsi="方正仿宋_GBK" w:eastAsia="方正仿宋_GBK" w:cs="方正仿宋_GBK"/>
          <w:color w:val="auto"/>
          <w:sz w:val="32"/>
          <w:szCs w:val="32"/>
          <w:highlight w:val="none"/>
          <w:lang w:val="en-US" w:eastAsia="zh-CN"/>
        </w:rPr>
        <w:t>阶段</w:t>
      </w:r>
      <w:r>
        <w:rPr>
          <w:rFonts w:hint="eastAsia" w:ascii="方正仿宋_GBK" w:hAnsi="方正仿宋_GBK" w:eastAsia="方正仿宋_GBK" w:cs="方正仿宋_GBK"/>
          <w:color w:val="auto"/>
          <w:sz w:val="32"/>
          <w:szCs w:val="32"/>
          <w:highlight w:val="none"/>
          <w:lang w:val="en-US" w:eastAsia="zh-CN"/>
        </w:rPr>
        <w:t>（</w:t>
      </w:r>
      <w:r>
        <w:rPr>
          <w:rFonts w:hint="default" w:ascii="方正仿宋_GBK" w:hAnsi="方正仿宋_GBK" w:eastAsia="方正仿宋_GBK" w:cs="方正仿宋_GBK"/>
          <w:color w:val="auto"/>
          <w:sz w:val="32"/>
          <w:szCs w:val="32"/>
          <w:highlight w:val="none"/>
          <w:lang w:val="en-US" w:eastAsia="zh-CN"/>
        </w:rPr>
        <w:t>一次性</w:t>
      </w:r>
      <w:r>
        <w:rPr>
          <w:rFonts w:hint="eastAsia" w:ascii="方正仿宋_GBK" w:hAnsi="方正仿宋_GBK" w:eastAsia="方正仿宋_GBK" w:cs="方正仿宋_GBK"/>
          <w:color w:val="auto"/>
          <w:sz w:val="32"/>
          <w:szCs w:val="32"/>
          <w:highlight w:val="none"/>
          <w:lang w:val="en-US" w:eastAsia="zh-CN"/>
        </w:rPr>
        <w:t>）</w:t>
      </w:r>
      <w:r>
        <w:rPr>
          <w:rFonts w:hint="default" w:ascii="方正仿宋_GBK" w:hAnsi="方正仿宋_GBK" w:eastAsia="方正仿宋_GBK" w:cs="方正仿宋_GBK"/>
          <w:color w:val="auto"/>
          <w:sz w:val="32"/>
          <w:szCs w:val="32"/>
          <w:highlight w:val="none"/>
          <w:lang w:val="en-US" w:eastAsia="zh-CN"/>
        </w:rPr>
        <w:t>项目绩效分析。</w:t>
      </w:r>
      <w:r>
        <w:rPr>
          <w:rFonts w:hint="default" w:ascii="方正仿宋_GBK" w:hAnsi="方正仿宋_GBK" w:eastAsia="方正仿宋_GBK" w:cs="方正仿宋_GBK"/>
          <w:color w:val="auto"/>
          <w:sz w:val="32"/>
          <w:szCs w:val="32"/>
          <w:highlight w:val="none"/>
          <w:lang w:val="zh-CN" w:eastAsia="zh-CN"/>
        </w:rPr>
        <w:t>该类项目总数</w:t>
      </w:r>
      <w:r>
        <w:rPr>
          <w:rFonts w:hint="eastAsia" w:ascii="方正仿宋_GBK" w:hAnsi="方正仿宋_GBK" w:eastAsia="方正仿宋_GBK" w:cs="方正仿宋_GBK"/>
          <w:color w:val="auto"/>
          <w:sz w:val="32"/>
          <w:szCs w:val="32"/>
          <w:highlight w:val="none"/>
          <w:lang w:val="en-US" w:eastAsia="zh-CN"/>
        </w:rPr>
        <w:t>11</w:t>
      </w:r>
      <w:r>
        <w:rPr>
          <w:rFonts w:hint="default" w:ascii="方正仿宋_GBK" w:hAnsi="方正仿宋_GBK" w:eastAsia="方正仿宋_GBK" w:cs="方正仿宋_GBK"/>
          <w:color w:val="auto"/>
          <w:sz w:val="32"/>
          <w:szCs w:val="32"/>
          <w:highlight w:val="none"/>
          <w:lang w:val="zh-CN" w:eastAsia="zh-CN"/>
        </w:rPr>
        <w:t>个，涉及预算总金额</w:t>
      </w:r>
      <w:r>
        <w:rPr>
          <w:rFonts w:hint="eastAsia" w:ascii="方正仿宋_GBK" w:hAnsi="方正仿宋_GBK" w:eastAsia="方正仿宋_GBK" w:cs="方正仿宋_GBK"/>
          <w:color w:val="auto"/>
          <w:sz w:val="32"/>
          <w:szCs w:val="32"/>
          <w:highlight w:val="none"/>
          <w:lang w:val="en-US" w:eastAsia="zh-CN"/>
        </w:rPr>
        <w:t>2088.59</w:t>
      </w:r>
      <w:r>
        <w:rPr>
          <w:rFonts w:hint="default" w:ascii="方正仿宋_GBK" w:hAnsi="方正仿宋_GBK" w:eastAsia="方正仿宋_GBK" w:cs="方正仿宋_GBK"/>
          <w:color w:val="auto"/>
          <w:sz w:val="32"/>
          <w:szCs w:val="32"/>
          <w:highlight w:val="none"/>
          <w:lang w:val="zh-CN" w:eastAsia="zh-CN"/>
        </w:rPr>
        <w:t>万元，1</w:t>
      </w:r>
      <w:r>
        <w:rPr>
          <w:rFonts w:hint="eastAsia" w:ascii="方正仿宋_GBK" w:hAnsi="方正仿宋_GBK" w:eastAsia="方正仿宋_GBK" w:cs="方正仿宋_GBK"/>
          <w:color w:val="auto"/>
          <w:sz w:val="32"/>
          <w:szCs w:val="32"/>
          <w:highlight w:val="none"/>
          <w:lang w:val="zh-CN" w:eastAsia="zh-CN"/>
        </w:rPr>
        <w:t>—</w:t>
      </w:r>
      <w:r>
        <w:rPr>
          <w:rFonts w:hint="default" w:ascii="方正仿宋_GBK" w:hAnsi="方正仿宋_GBK" w:eastAsia="方正仿宋_GBK" w:cs="方正仿宋_GBK"/>
          <w:color w:val="auto"/>
          <w:sz w:val="32"/>
          <w:szCs w:val="32"/>
          <w:highlight w:val="none"/>
          <w:lang w:val="zh-CN" w:eastAsia="zh-CN"/>
        </w:rPr>
        <w:t>1</w:t>
      </w:r>
      <w:r>
        <w:rPr>
          <w:rFonts w:hint="default" w:ascii="方正仿宋_GBK" w:hAnsi="方正仿宋_GBK" w:eastAsia="方正仿宋_GBK" w:cs="方正仿宋_GBK"/>
          <w:color w:val="auto"/>
          <w:sz w:val="32"/>
          <w:szCs w:val="32"/>
          <w:highlight w:val="none"/>
          <w:lang w:val="en-US" w:eastAsia="zh-CN"/>
        </w:rPr>
        <w:t>2</w:t>
      </w:r>
      <w:r>
        <w:rPr>
          <w:rFonts w:hint="default" w:ascii="方正仿宋_GBK" w:hAnsi="方正仿宋_GBK" w:eastAsia="方正仿宋_GBK" w:cs="方正仿宋_GBK"/>
          <w:color w:val="auto"/>
          <w:sz w:val="32"/>
          <w:szCs w:val="32"/>
          <w:highlight w:val="none"/>
          <w:lang w:val="zh-CN" w:eastAsia="zh-CN"/>
        </w:rPr>
        <w:t>月预算执行总体进度为</w:t>
      </w:r>
      <w:r>
        <w:rPr>
          <w:rFonts w:hint="eastAsia" w:ascii="方正仿宋_GBK" w:hAnsi="方正仿宋_GBK" w:eastAsia="方正仿宋_GBK" w:cs="方正仿宋_GBK"/>
          <w:color w:val="auto"/>
          <w:sz w:val="32"/>
          <w:szCs w:val="32"/>
          <w:highlight w:val="none"/>
          <w:lang w:val="en-US" w:eastAsia="zh-CN"/>
        </w:rPr>
        <w:t>100</w:t>
      </w:r>
      <w:r>
        <w:rPr>
          <w:rFonts w:hint="default" w:ascii="方正仿宋_GBK" w:hAnsi="方正仿宋_GBK" w:eastAsia="方正仿宋_GBK" w:cs="方正仿宋_GBK"/>
          <w:color w:val="auto"/>
          <w:sz w:val="32"/>
          <w:szCs w:val="32"/>
          <w:highlight w:val="none"/>
          <w:lang w:val="zh-CN" w:eastAsia="zh-CN"/>
        </w:rPr>
        <w:t>%，其中：预算结余率大于</w:t>
      </w:r>
      <w:r>
        <w:rPr>
          <w:rFonts w:hint="default" w:ascii="方正仿宋_GBK" w:hAnsi="方正仿宋_GBK" w:eastAsia="方正仿宋_GBK" w:cs="方正仿宋_GBK"/>
          <w:color w:val="auto"/>
          <w:sz w:val="32"/>
          <w:szCs w:val="32"/>
          <w:highlight w:val="none"/>
          <w:lang w:val="en-US" w:eastAsia="zh-CN"/>
        </w:rPr>
        <w:t>10%</w:t>
      </w:r>
      <w:r>
        <w:rPr>
          <w:rFonts w:hint="default" w:ascii="方正仿宋_GBK" w:hAnsi="方正仿宋_GBK" w:eastAsia="方正仿宋_GBK" w:cs="方正仿宋_GBK"/>
          <w:color w:val="auto"/>
          <w:sz w:val="32"/>
          <w:szCs w:val="32"/>
          <w:highlight w:val="none"/>
          <w:lang w:val="zh-CN" w:eastAsia="zh-CN"/>
        </w:rPr>
        <w:t>的项目共计</w:t>
      </w:r>
      <w:r>
        <w:rPr>
          <w:rFonts w:hint="eastAsia" w:ascii="方正仿宋_GBK" w:hAnsi="方正仿宋_GBK" w:eastAsia="方正仿宋_GBK" w:cs="方正仿宋_GBK"/>
          <w:color w:val="auto"/>
          <w:sz w:val="32"/>
          <w:szCs w:val="32"/>
          <w:highlight w:val="none"/>
          <w:lang w:val="en-US" w:eastAsia="zh-CN"/>
        </w:rPr>
        <w:t>0</w:t>
      </w:r>
      <w:r>
        <w:rPr>
          <w:rFonts w:hint="default" w:ascii="方正仿宋_GBK" w:hAnsi="方正仿宋_GBK" w:eastAsia="方正仿宋_GBK" w:cs="方正仿宋_GBK"/>
          <w:color w:val="auto"/>
          <w:sz w:val="32"/>
          <w:szCs w:val="32"/>
          <w:highlight w:val="none"/>
          <w:lang w:val="zh-CN" w:eastAsia="zh-CN"/>
        </w:rPr>
        <w:t>个。</w:t>
      </w:r>
    </w:p>
    <w:p w14:paraId="6C209853">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r>
        <w:rPr>
          <w:rFonts w:hint="eastAsia" w:ascii="方正仿宋_GBK" w:hAnsi="方正仿宋_GBK" w:eastAsia="方正仿宋_GBK" w:cs="方正仿宋_GBK"/>
          <w:color w:val="auto"/>
          <w:sz w:val="32"/>
          <w:szCs w:val="32"/>
          <w:highlight w:val="none"/>
          <w:lang w:val="en-US" w:eastAsia="zh-CN"/>
        </w:rPr>
        <w:t>1.</w:t>
      </w:r>
      <w:r>
        <w:rPr>
          <w:rFonts w:hint="eastAsia" w:ascii="方正仿宋_GBK" w:hAnsi="方正仿宋_GBK" w:eastAsia="方正仿宋_GBK" w:cs="方正仿宋_GBK"/>
          <w:color w:val="auto"/>
          <w:sz w:val="32"/>
          <w:szCs w:val="32"/>
          <w:highlight w:val="none"/>
          <w:lang w:val="zh-CN" w:eastAsia="zh-CN"/>
        </w:rPr>
        <w:t>项目决策。</w:t>
      </w:r>
    </w:p>
    <w:p w14:paraId="11B47DF1">
      <w:pPr>
        <w:keepNext w:val="0"/>
        <w:keepLines w:val="0"/>
        <w:pageBreakBefore w:val="0"/>
        <w:numPr>
          <w:ilvl w:val="0"/>
          <w:numId w:val="3"/>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决策程序，</w:t>
      </w:r>
      <w:r>
        <w:rPr>
          <w:rFonts w:hint="eastAsia" w:ascii="方正仿宋_GBK" w:hAnsi="方正仿宋_GBK" w:eastAsia="方正仿宋_GBK" w:cs="方正仿宋_GBK"/>
          <w:color w:val="auto"/>
          <w:sz w:val="32"/>
          <w:szCs w:val="32"/>
          <w:highlight w:val="none"/>
          <w:lang w:val="zh-CN" w:eastAsia="zh-CN"/>
        </w:rPr>
        <w:t>我</w:t>
      </w:r>
      <w:r>
        <w:rPr>
          <w:rFonts w:hint="eastAsia" w:ascii="方正仿宋_GBK" w:hAnsi="方正仿宋_GBK" w:eastAsia="方正仿宋_GBK" w:cs="方正仿宋_GBK"/>
          <w:color w:val="auto"/>
          <w:sz w:val="32"/>
          <w:szCs w:val="32"/>
          <w:highlight w:val="none"/>
          <w:lang w:val="en-US" w:eastAsia="zh-CN"/>
        </w:rPr>
        <w:t>单位根据年度工作目标，协同各部门负责人共同参与项目决策。</w:t>
      </w:r>
      <w:r>
        <w:rPr>
          <w:rFonts w:hint="eastAsia" w:ascii="方正仿宋_GBK" w:hAnsi="方正仿宋_GBK" w:eastAsia="方正仿宋_GBK" w:cs="方正仿宋_GBK"/>
          <w:color w:val="auto"/>
          <w:sz w:val="32"/>
          <w:szCs w:val="32"/>
          <w:highlight w:val="none"/>
          <w:lang w:val="zh-CN" w:eastAsia="zh-CN"/>
        </w:rPr>
        <w:t>202</w:t>
      </w:r>
      <w:r>
        <w:rPr>
          <w:rFonts w:hint="eastAsia" w:ascii="方正仿宋_GBK" w:hAnsi="方正仿宋_GBK" w:eastAsia="方正仿宋_GBK" w:cs="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lang w:val="zh-CN" w:eastAsia="zh-CN"/>
        </w:rPr>
        <w:t>年度，我</w:t>
      </w:r>
      <w:r>
        <w:rPr>
          <w:rFonts w:hint="eastAsia" w:ascii="方正仿宋_GBK" w:hAnsi="方正仿宋_GBK" w:eastAsia="方正仿宋_GBK" w:cs="方正仿宋_GBK"/>
          <w:color w:val="auto"/>
          <w:sz w:val="32"/>
          <w:szCs w:val="32"/>
          <w:highlight w:val="none"/>
          <w:lang w:val="en-US" w:eastAsia="zh-CN"/>
        </w:rPr>
        <w:t>单位</w:t>
      </w:r>
      <w:r>
        <w:rPr>
          <w:rFonts w:hint="eastAsia" w:ascii="方正仿宋_GBK" w:hAnsi="方正仿宋_GBK" w:eastAsia="方正仿宋_GBK" w:cs="方正仿宋_GBK"/>
          <w:color w:val="auto"/>
          <w:sz w:val="32"/>
          <w:szCs w:val="32"/>
          <w:highlight w:val="none"/>
          <w:lang w:val="zh-CN" w:eastAsia="zh-CN"/>
        </w:rPr>
        <w:t>预算项目的设立基本履行了项目申报论证程序，与本单位部门职能职责相符，对符合事前评估条件的部门预算项目均实施了事前评估论证程序。</w:t>
      </w:r>
    </w:p>
    <w:p w14:paraId="160512F1">
      <w:pPr>
        <w:keepNext w:val="0"/>
        <w:keepLines w:val="0"/>
        <w:pageBreakBefore w:val="0"/>
        <w:numPr>
          <w:ilvl w:val="0"/>
          <w:numId w:val="3"/>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en-US" w:eastAsia="zh-CN"/>
        </w:rPr>
      </w:pPr>
      <w:r>
        <w:rPr>
          <w:rFonts w:hint="eastAsia" w:ascii="仿宋_GB2312" w:hAnsi="宋体" w:eastAsia="仿宋_GB2312" w:cs="仿宋_GB2312"/>
          <w:i w:val="0"/>
          <w:iCs w:val="0"/>
          <w:caps w:val="0"/>
          <w:color w:val="000000"/>
          <w:spacing w:val="0"/>
          <w:sz w:val="31"/>
          <w:szCs w:val="31"/>
          <w:shd w:val="clear" w:fill="FFFFFF"/>
          <w:lang w:val="en-US" w:eastAsia="zh-CN"/>
        </w:rPr>
        <w:t>目标设置，</w:t>
      </w:r>
      <w:r>
        <w:rPr>
          <w:rFonts w:ascii="仿宋_GB2312" w:hAnsi="宋体" w:eastAsia="仿宋_GB2312" w:cs="仿宋_GB2312"/>
          <w:i w:val="0"/>
          <w:iCs w:val="0"/>
          <w:caps w:val="0"/>
          <w:color w:val="000000"/>
          <w:spacing w:val="0"/>
          <w:sz w:val="31"/>
          <w:szCs w:val="31"/>
          <w:shd w:val="clear" w:fill="FFFFFF"/>
        </w:rPr>
        <w:t>按照相关规定编制预算明细表、绩效目标申报表，</w:t>
      </w:r>
      <w:r>
        <w:rPr>
          <w:rFonts w:hint="eastAsia" w:ascii="仿宋_GB2312" w:hAnsi="宋体" w:eastAsia="仿宋_GB2312" w:cs="仿宋_GB2312"/>
          <w:i w:val="0"/>
          <w:iCs w:val="0"/>
          <w:caps w:val="0"/>
          <w:color w:val="000000"/>
          <w:spacing w:val="0"/>
          <w:sz w:val="31"/>
          <w:szCs w:val="31"/>
          <w:shd w:val="clear" w:fill="FFFFFF"/>
          <w:lang w:val="en-US" w:eastAsia="zh-CN"/>
        </w:rPr>
        <w:t>结合项目特性，编制年度总体目标，明确绩效目标，细化项目产出指标、效益指标和满意度指标，</w:t>
      </w:r>
      <w:r>
        <w:rPr>
          <w:rFonts w:ascii="仿宋_GB2312" w:hAnsi="宋体" w:eastAsia="仿宋_GB2312" w:cs="仿宋_GB2312"/>
          <w:i w:val="0"/>
          <w:iCs w:val="0"/>
          <w:caps w:val="0"/>
          <w:color w:val="000000"/>
          <w:spacing w:val="0"/>
          <w:sz w:val="31"/>
          <w:szCs w:val="31"/>
          <w:shd w:val="clear" w:fill="FFFFFF"/>
        </w:rPr>
        <w:t>立项依据充分、程序规范，符合相关规定，绩效目标设定</w:t>
      </w:r>
      <w:r>
        <w:rPr>
          <w:rFonts w:hint="eastAsia" w:ascii="仿宋_GB2312" w:hAnsi="宋体" w:eastAsia="仿宋_GB2312" w:cs="仿宋_GB2312"/>
          <w:i w:val="0"/>
          <w:iCs w:val="0"/>
          <w:caps w:val="0"/>
          <w:color w:val="000000"/>
          <w:spacing w:val="0"/>
          <w:sz w:val="31"/>
          <w:szCs w:val="31"/>
          <w:shd w:val="clear" w:fill="FFFFFF"/>
          <w:lang w:val="en-US" w:eastAsia="zh-CN"/>
        </w:rPr>
        <w:t>科学</w:t>
      </w:r>
      <w:r>
        <w:rPr>
          <w:rFonts w:ascii="仿宋_GB2312" w:hAnsi="宋体" w:eastAsia="仿宋_GB2312" w:cs="仿宋_GB2312"/>
          <w:i w:val="0"/>
          <w:iCs w:val="0"/>
          <w:caps w:val="0"/>
          <w:color w:val="000000"/>
          <w:spacing w:val="0"/>
          <w:sz w:val="31"/>
          <w:szCs w:val="31"/>
          <w:shd w:val="clear" w:fill="FFFFFF"/>
        </w:rPr>
        <w:t>合理、</w:t>
      </w:r>
      <w:r>
        <w:rPr>
          <w:rFonts w:hint="eastAsia" w:ascii="仿宋_GB2312" w:hAnsi="宋体" w:eastAsia="仿宋_GB2312" w:cs="仿宋_GB2312"/>
          <w:i w:val="0"/>
          <w:iCs w:val="0"/>
          <w:caps w:val="0"/>
          <w:color w:val="000000"/>
          <w:spacing w:val="0"/>
          <w:sz w:val="31"/>
          <w:szCs w:val="31"/>
          <w:shd w:val="clear" w:fill="FFFFFF"/>
          <w:lang w:val="en-US" w:eastAsia="zh-CN"/>
        </w:rPr>
        <w:t>明确，绩效指标细化量化、可衡量</w:t>
      </w:r>
      <w:r>
        <w:rPr>
          <w:rFonts w:hint="eastAsia" w:ascii="仿宋_GB2312" w:hAnsi="宋体" w:eastAsia="仿宋_GB2312" w:cs="仿宋_GB2312"/>
          <w:i w:val="0"/>
          <w:iCs w:val="0"/>
          <w:caps w:val="0"/>
          <w:color w:val="000000"/>
          <w:spacing w:val="0"/>
          <w:sz w:val="31"/>
          <w:szCs w:val="31"/>
          <w:shd w:val="clear" w:fill="FFFFFF"/>
          <w:lang w:eastAsia="zh-CN"/>
        </w:rPr>
        <w:t>。</w:t>
      </w:r>
    </w:p>
    <w:p w14:paraId="32FD938A">
      <w:pPr>
        <w:keepNext w:val="0"/>
        <w:keepLines w:val="0"/>
        <w:pageBreakBefore w:val="0"/>
        <w:numPr>
          <w:ilvl w:val="0"/>
          <w:numId w:val="3"/>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en-US" w:eastAsia="zh-CN"/>
        </w:rPr>
      </w:pPr>
      <w:r>
        <w:rPr>
          <w:rFonts w:hint="eastAsia" w:ascii="仿宋_GB2312" w:hAnsi="宋体" w:eastAsia="仿宋_GB2312" w:cs="仿宋_GB2312"/>
          <w:i w:val="0"/>
          <w:iCs w:val="0"/>
          <w:caps w:val="0"/>
          <w:color w:val="000000"/>
          <w:spacing w:val="0"/>
          <w:sz w:val="31"/>
          <w:szCs w:val="31"/>
          <w:shd w:val="clear" w:fill="FFFFFF"/>
          <w:lang w:val="en-US" w:eastAsia="zh-CN"/>
        </w:rPr>
        <w:t>项目入库，借助预算一体化平台实行项目库管理，对30万元以上的项目进行可行性论证，科学评估。</w:t>
      </w:r>
    </w:p>
    <w:p w14:paraId="6172DD87">
      <w:pPr>
        <w:adjustRightInd w:val="0"/>
        <w:snapToGrid w:val="0"/>
        <w:spacing w:line="598" w:lineRule="exact"/>
        <w:ind w:firstLine="640" w:firstLineChars="200"/>
        <w:contextualSpacing/>
        <w:jc w:val="left"/>
        <w:rPr>
          <w:rFonts w:eastAsia="楷体_GB2312"/>
          <w:color w:val="000000"/>
          <w:kern w:val="0"/>
          <w:szCs w:val="32"/>
          <w:shd w:val="clear" w:color="auto" w:fill="FFFFFF"/>
          <w:lang w:val="zh-CN"/>
        </w:rPr>
      </w:pPr>
      <w:r>
        <w:rPr>
          <w:rFonts w:hint="eastAsia" w:ascii="方正仿宋_GBK" w:hAnsi="方正仿宋_GBK" w:eastAsia="方正仿宋_GBK" w:cs="方正仿宋_GBK"/>
          <w:color w:val="auto"/>
          <w:sz w:val="32"/>
          <w:szCs w:val="32"/>
          <w:highlight w:val="none"/>
          <w:lang w:val="en-US" w:eastAsia="zh-CN"/>
        </w:rPr>
        <w:t>2.项目执行</w:t>
      </w:r>
      <w:r>
        <w:rPr>
          <w:rFonts w:hint="eastAsia" w:ascii="方正仿宋_GBK" w:hAnsi="方正仿宋_GBK" w:eastAsia="方正仿宋_GBK" w:cs="方正仿宋_GBK"/>
          <w:color w:val="auto"/>
          <w:sz w:val="32"/>
          <w:szCs w:val="32"/>
          <w:highlight w:val="none"/>
          <w:lang w:val="zh-CN" w:eastAsia="zh-CN"/>
        </w:rPr>
        <w:t>。</w:t>
      </w:r>
    </w:p>
    <w:p w14:paraId="5E011E91">
      <w:pPr>
        <w:keepNext w:val="0"/>
        <w:keepLines w:val="0"/>
        <w:pageBreakBefore w:val="0"/>
        <w:numPr>
          <w:ilvl w:val="0"/>
          <w:numId w:val="0"/>
        </w:numPr>
        <w:kinsoku/>
        <w:wordWrap/>
        <w:overflowPunct/>
        <w:topLinePunct w:val="0"/>
        <w:bidi w:val="0"/>
        <w:adjustRightInd/>
        <w:snapToGrid/>
        <w:spacing w:line="578" w:lineRule="exact"/>
        <w:ind w:firstLine="310" w:firstLineChars="1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（1）围绕资金执行同向</w:t>
      </w:r>
    </w:p>
    <w:p w14:paraId="40186068">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为了进一步提高预算执行效率和资金使用效益，我</w:t>
      </w:r>
      <w:r>
        <w:rPr>
          <w:rFonts w:hint="eastAsia" w:ascii="仿宋_GB2312" w:hAnsi="宋体" w:eastAsia="仿宋_GB2312" w:cs="仿宋_GB2312"/>
          <w:i w:val="0"/>
          <w:iCs w:val="0"/>
          <w:caps w:val="0"/>
          <w:color w:val="000000"/>
          <w:spacing w:val="0"/>
          <w:sz w:val="31"/>
          <w:szCs w:val="31"/>
          <w:shd w:val="clear" w:fill="FFFFFF"/>
          <w:lang w:val="en-US" w:eastAsia="zh-CN"/>
        </w:rPr>
        <w:t>单位</w:t>
      </w:r>
      <w:r>
        <w:rPr>
          <w:rFonts w:hint="eastAsia" w:ascii="仿宋_GB2312" w:hAnsi="宋体" w:eastAsia="仿宋_GB2312" w:cs="仿宋_GB2312"/>
          <w:i w:val="0"/>
          <w:iCs w:val="0"/>
          <w:caps w:val="0"/>
          <w:color w:val="000000"/>
          <w:spacing w:val="0"/>
          <w:sz w:val="31"/>
          <w:szCs w:val="31"/>
          <w:shd w:val="clear" w:fill="FFFFFF"/>
          <w:lang w:val="zh-CN" w:eastAsia="zh-CN"/>
        </w:rPr>
        <w:t>采取了一系列措施加强预算绩效管理，这些措施确保部门预算项目的实际列支内容与绩效目标设置方向相符。</w:t>
      </w:r>
    </w:p>
    <w:p w14:paraId="556617DD">
      <w:pPr>
        <w:keepNext w:val="0"/>
        <w:keepLines w:val="0"/>
        <w:pageBreakBefore w:val="0"/>
        <w:numPr>
          <w:ilvl w:val="0"/>
          <w:numId w:val="0"/>
        </w:numPr>
        <w:kinsoku/>
        <w:wordWrap/>
        <w:overflowPunct/>
        <w:topLinePunct w:val="0"/>
        <w:bidi w:val="0"/>
        <w:adjustRightInd/>
        <w:snapToGrid/>
        <w:spacing w:line="578" w:lineRule="exact"/>
        <w:ind w:firstLine="310" w:firstLineChars="1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（2）</w:t>
      </w:r>
      <w:bookmarkStart w:id="17" w:name="_Hlk174274550"/>
      <w:r>
        <w:rPr>
          <w:rFonts w:hint="eastAsia" w:ascii="仿宋_GB2312" w:hAnsi="宋体" w:eastAsia="仿宋_GB2312" w:cs="仿宋_GB2312"/>
          <w:i w:val="0"/>
          <w:iCs w:val="0"/>
          <w:caps w:val="0"/>
          <w:color w:val="000000"/>
          <w:spacing w:val="0"/>
          <w:sz w:val="31"/>
          <w:szCs w:val="31"/>
          <w:shd w:val="clear" w:fill="FFFFFF"/>
          <w:lang w:val="zh-CN" w:eastAsia="zh-CN"/>
        </w:rPr>
        <w:t>项目调整</w:t>
      </w:r>
      <w:bookmarkEnd w:id="17"/>
    </w:p>
    <w:p w14:paraId="1D7CDF36">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我</w:t>
      </w:r>
      <w:r>
        <w:rPr>
          <w:rFonts w:hint="eastAsia" w:ascii="仿宋_GB2312" w:hAnsi="宋体" w:eastAsia="仿宋_GB2312" w:cs="仿宋_GB2312"/>
          <w:i w:val="0"/>
          <w:iCs w:val="0"/>
          <w:caps w:val="0"/>
          <w:color w:val="000000"/>
          <w:spacing w:val="0"/>
          <w:sz w:val="31"/>
          <w:szCs w:val="31"/>
          <w:shd w:val="clear" w:fill="FFFFFF"/>
          <w:lang w:val="en-US" w:eastAsia="zh-CN"/>
        </w:rPr>
        <w:t>单位</w:t>
      </w:r>
      <w:r>
        <w:rPr>
          <w:rFonts w:hint="eastAsia" w:ascii="仿宋_GB2312" w:hAnsi="宋体" w:eastAsia="仿宋_GB2312" w:cs="仿宋_GB2312"/>
          <w:i w:val="0"/>
          <w:iCs w:val="0"/>
          <w:caps w:val="0"/>
          <w:color w:val="000000"/>
          <w:spacing w:val="0"/>
          <w:sz w:val="31"/>
          <w:szCs w:val="31"/>
          <w:shd w:val="clear" w:fill="FFFFFF"/>
          <w:lang w:val="zh-CN" w:eastAsia="zh-CN"/>
        </w:rPr>
        <w:t>严格按照县财政局项目调整原则进行，对预算项目确需要调整要资金使用部门提出追加方案，详细列明预算追加的理由、项目、科目、金额等，并报财政和政府审批。我</w:t>
      </w:r>
      <w:r>
        <w:rPr>
          <w:rFonts w:hint="eastAsia" w:ascii="仿宋_GB2312" w:hAnsi="宋体" w:eastAsia="仿宋_GB2312" w:cs="仿宋_GB2312"/>
          <w:i w:val="0"/>
          <w:iCs w:val="0"/>
          <w:caps w:val="0"/>
          <w:color w:val="000000"/>
          <w:spacing w:val="0"/>
          <w:sz w:val="31"/>
          <w:szCs w:val="31"/>
          <w:shd w:val="clear" w:fill="FFFFFF"/>
          <w:lang w:val="en-US" w:eastAsia="zh-CN"/>
        </w:rPr>
        <w:t>单位</w:t>
      </w:r>
      <w:r>
        <w:rPr>
          <w:rFonts w:hint="eastAsia" w:ascii="仿宋_GB2312" w:hAnsi="宋体" w:eastAsia="仿宋_GB2312" w:cs="仿宋_GB2312"/>
          <w:i w:val="0"/>
          <w:iCs w:val="0"/>
          <w:caps w:val="0"/>
          <w:color w:val="000000"/>
          <w:spacing w:val="0"/>
          <w:sz w:val="31"/>
          <w:szCs w:val="31"/>
          <w:shd w:val="clear" w:fill="FFFFFF"/>
          <w:lang w:val="zh-CN" w:eastAsia="zh-CN"/>
        </w:rPr>
        <w:t>202</w:t>
      </w:r>
      <w:r>
        <w:rPr>
          <w:rFonts w:hint="eastAsia" w:ascii="仿宋_GB2312" w:hAnsi="宋体" w:eastAsia="仿宋_GB2312" w:cs="仿宋_GB2312"/>
          <w:i w:val="0"/>
          <w:iCs w:val="0"/>
          <w:caps w:val="0"/>
          <w:color w:val="000000"/>
          <w:spacing w:val="0"/>
          <w:sz w:val="31"/>
          <w:szCs w:val="31"/>
          <w:shd w:val="clear" w:fill="FFFFFF"/>
          <w:lang w:val="en-US" w:eastAsia="zh-CN"/>
        </w:rPr>
        <w:t>4</w:t>
      </w:r>
      <w:r>
        <w:rPr>
          <w:rFonts w:hint="eastAsia" w:ascii="仿宋_GB2312" w:hAnsi="宋体" w:eastAsia="仿宋_GB2312" w:cs="仿宋_GB2312"/>
          <w:i w:val="0"/>
          <w:iCs w:val="0"/>
          <w:caps w:val="0"/>
          <w:color w:val="000000"/>
          <w:spacing w:val="0"/>
          <w:sz w:val="31"/>
          <w:szCs w:val="31"/>
          <w:shd w:val="clear" w:fill="FFFFFF"/>
          <w:lang w:val="zh-CN" w:eastAsia="zh-CN"/>
        </w:rPr>
        <w:t>年度申请项目预算调整，调整程序规范，依据较充分。</w:t>
      </w:r>
    </w:p>
    <w:p w14:paraId="43836AAB">
      <w:pPr>
        <w:keepNext w:val="0"/>
        <w:keepLines w:val="0"/>
        <w:pageBreakBefore w:val="0"/>
        <w:numPr>
          <w:ilvl w:val="0"/>
          <w:numId w:val="0"/>
        </w:numPr>
        <w:kinsoku/>
        <w:wordWrap/>
        <w:overflowPunct/>
        <w:topLinePunct w:val="0"/>
        <w:bidi w:val="0"/>
        <w:adjustRightInd/>
        <w:snapToGrid/>
        <w:spacing w:line="578" w:lineRule="exact"/>
        <w:ind w:firstLine="310" w:firstLineChars="1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（3）执行结果</w:t>
      </w:r>
    </w:p>
    <w:p w14:paraId="14325B71">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bookmarkStart w:id="18" w:name="_Hlk174273045"/>
      <w:bookmarkStart w:id="19" w:name="_Hlk174273737"/>
      <w:r>
        <w:rPr>
          <w:rFonts w:hint="eastAsia" w:ascii="仿宋_GB2312" w:hAnsi="宋体" w:eastAsia="仿宋_GB2312" w:cs="仿宋_GB2312"/>
          <w:i w:val="0"/>
          <w:iCs w:val="0"/>
          <w:caps w:val="0"/>
          <w:color w:val="000000"/>
          <w:spacing w:val="0"/>
          <w:sz w:val="31"/>
          <w:szCs w:val="31"/>
          <w:shd w:val="clear" w:fill="FFFFFF"/>
          <w:lang w:val="zh-CN" w:eastAsia="zh-CN"/>
        </w:rPr>
        <w:t>我</w:t>
      </w:r>
      <w:r>
        <w:rPr>
          <w:rFonts w:hint="eastAsia" w:ascii="仿宋_GB2312" w:hAnsi="宋体" w:eastAsia="仿宋_GB2312" w:cs="仿宋_GB2312"/>
          <w:i w:val="0"/>
          <w:iCs w:val="0"/>
          <w:caps w:val="0"/>
          <w:color w:val="000000"/>
          <w:spacing w:val="0"/>
          <w:sz w:val="31"/>
          <w:szCs w:val="31"/>
          <w:shd w:val="clear" w:fill="FFFFFF"/>
          <w:lang w:val="en-US" w:eastAsia="zh-CN"/>
        </w:rPr>
        <w:t>单位</w:t>
      </w:r>
      <w:r>
        <w:rPr>
          <w:rFonts w:hint="eastAsia" w:ascii="仿宋_GB2312" w:hAnsi="宋体" w:eastAsia="仿宋_GB2312" w:cs="仿宋_GB2312"/>
          <w:i w:val="0"/>
          <w:iCs w:val="0"/>
          <w:caps w:val="0"/>
          <w:color w:val="000000"/>
          <w:spacing w:val="0"/>
          <w:sz w:val="31"/>
          <w:szCs w:val="31"/>
          <w:shd w:val="clear" w:fill="FFFFFF"/>
          <w:lang w:val="zh-CN" w:eastAsia="zh-CN"/>
        </w:rPr>
        <w:t>202</w:t>
      </w:r>
      <w:r>
        <w:rPr>
          <w:rFonts w:hint="eastAsia" w:ascii="仿宋_GB2312" w:hAnsi="宋体" w:eastAsia="仿宋_GB2312" w:cs="仿宋_GB2312"/>
          <w:i w:val="0"/>
          <w:iCs w:val="0"/>
          <w:caps w:val="0"/>
          <w:color w:val="000000"/>
          <w:spacing w:val="0"/>
          <w:sz w:val="31"/>
          <w:szCs w:val="31"/>
          <w:shd w:val="clear" w:fill="FFFFFF"/>
          <w:lang w:val="en-US" w:eastAsia="zh-CN"/>
        </w:rPr>
        <w:t>4</w:t>
      </w:r>
      <w:r>
        <w:rPr>
          <w:rFonts w:hint="eastAsia" w:ascii="仿宋_GB2312" w:hAnsi="宋体" w:eastAsia="仿宋_GB2312" w:cs="仿宋_GB2312"/>
          <w:i w:val="0"/>
          <w:iCs w:val="0"/>
          <w:caps w:val="0"/>
          <w:color w:val="000000"/>
          <w:spacing w:val="0"/>
          <w:sz w:val="31"/>
          <w:szCs w:val="31"/>
          <w:shd w:val="clear" w:fill="FFFFFF"/>
          <w:lang w:val="zh-CN" w:eastAsia="zh-CN"/>
        </w:rPr>
        <w:t>年</w:t>
      </w:r>
      <w:r>
        <w:rPr>
          <w:rFonts w:hint="eastAsia" w:ascii="仿宋_GB2312" w:hAnsi="宋体" w:eastAsia="仿宋_GB2312" w:cs="仿宋_GB2312"/>
          <w:i w:val="0"/>
          <w:iCs w:val="0"/>
          <w:caps w:val="0"/>
          <w:color w:val="000000"/>
          <w:spacing w:val="0"/>
          <w:sz w:val="31"/>
          <w:szCs w:val="31"/>
          <w:shd w:val="clear" w:fill="FFFFFF"/>
          <w:lang w:val="en-US" w:eastAsia="zh-CN"/>
        </w:rPr>
        <w:t>25</w:t>
      </w:r>
      <w:r>
        <w:rPr>
          <w:rFonts w:hint="eastAsia" w:ascii="仿宋_GB2312" w:hAnsi="宋体" w:eastAsia="仿宋_GB2312" w:cs="仿宋_GB2312"/>
          <w:i w:val="0"/>
          <w:iCs w:val="0"/>
          <w:caps w:val="0"/>
          <w:color w:val="000000"/>
          <w:spacing w:val="0"/>
          <w:sz w:val="31"/>
          <w:szCs w:val="31"/>
          <w:shd w:val="clear" w:fill="FFFFFF"/>
          <w:lang w:val="zh-CN" w:eastAsia="zh-CN"/>
        </w:rPr>
        <w:t>个项目</w:t>
      </w:r>
      <w:r>
        <w:rPr>
          <w:rFonts w:hint="eastAsia" w:ascii="仿宋_GB2312" w:hAnsi="宋体" w:eastAsia="仿宋_GB2312" w:cs="仿宋_GB2312"/>
          <w:i w:val="0"/>
          <w:iCs w:val="0"/>
          <w:caps w:val="0"/>
          <w:color w:val="000000"/>
          <w:spacing w:val="0"/>
          <w:sz w:val="31"/>
          <w:szCs w:val="31"/>
          <w:shd w:val="clear" w:fill="FFFFFF"/>
          <w:lang w:val="en-US" w:eastAsia="zh-CN"/>
        </w:rPr>
        <w:t>中9个项目为年中追加项目，截至12月执行率为100%。</w:t>
      </w:r>
      <w:bookmarkEnd w:id="18"/>
      <w:bookmarkEnd w:id="19"/>
    </w:p>
    <w:p w14:paraId="0924EA54">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3.目标实现。</w:t>
      </w:r>
    </w:p>
    <w:p w14:paraId="461D796C">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（1）目标完成</w:t>
      </w:r>
    </w:p>
    <w:p w14:paraId="037F574C">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202</w:t>
      </w:r>
      <w:r>
        <w:rPr>
          <w:rFonts w:hint="eastAsia" w:ascii="仿宋_GB2312" w:hAnsi="宋体" w:eastAsia="仿宋_GB2312" w:cs="仿宋_GB2312"/>
          <w:i w:val="0"/>
          <w:iCs w:val="0"/>
          <w:caps w:val="0"/>
          <w:color w:val="000000"/>
          <w:spacing w:val="0"/>
          <w:sz w:val="31"/>
          <w:szCs w:val="31"/>
          <w:shd w:val="clear" w:fill="FFFFFF"/>
          <w:lang w:val="en-US" w:eastAsia="zh-CN"/>
        </w:rPr>
        <w:t>4</w:t>
      </w:r>
      <w:r>
        <w:rPr>
          <w:rFonts w:hint="eastAsia" w:ascii="仿宋_GB2312" w:hAnsi="宋体" w:eastAsia="仿宋_GB2312" w:cs="仿宋_GB2312"/>
          <w:i w:val="0"/>
          <w:iCs w:val="0"/>
          <w:caps w:val="0"/>
          <w:color w:val="000000"/>
          <w:spacing w:val="0"/>
          <w:sz w:val="31"/>
          <w:szCs w:val="31"/>
          <w:shd w:val="clear" w:fill="FFFFFF"/>
          <w:lang w:val="zh-CN" w:eastAsia="zh-CN"/>
        </w:rPr>
        <w:t>年我</w:t>
      </w:r>
      <w:r>
        <w:rPr>
          <w:rFonts w:hint="eastAsia" w:ascii="仿宋_GB2312" w:hAnsi="宋体" w:eastAsia="仿宋_GB2312" w:cs="仿宋_GB2312"/>
          <w:i w:val="0"/>
          <w:iCs w:val="0"/>
          <w:caps w:val="0"/>
          <w:color w:val="000000"/>
          <w:spacing w:val="0"/>
          <w:sz w:val="31"/>
          <w:szCs w:val="31"/>
          <w:shd w:val="clear" w:fill="FFFFFF"/>
          <w:lang w:val="en-US" w:eastAsia="zh-CN"/>
        </w:rPr>
        <w:t>单位25</w:t>
      </w:r>
      <w:r>
        <w:rPr>
          <w:rFonts w:hint="eastAsia" w:ascii="仿宋_GB2312" w:hAnsi="宋体" w:eastAsia="仿宋_GB2312" w:cs="仿宋_GB2312"/>
          <w:i w:val="0"/>
          <w:iCs w:val="0"/>
          <w:caps w:val="0"/>
          <w:color w:val="000000"/>
          <w:spacing w:val="0"/>
          <w:sz w:val="31"/>
          <w:szCs w:val="31"/>
          <w:shd w:val="clear" w:fill="FFFFFF"/>
          <w:lang w:val="zh-CN" w:eastAsia="zh-CN"/>
        </w:rPr>
        <w:t>个项目共涉及数量指标</w:t>
      </w:r>
      <w:r>
        <w:rPr>
          <w:rFonts w:hint="eastAsia" w:ascii="仿宋_GB2312" w:hAnsi="宋体" w:eastAsia="仿宋_GB2312" w:cs="仿宋_GB2312"/>
          <w:i w:val="0"/>
          <w:iCs w:val="0"/>
          <w:caps w:val="0"/>
          <w:color w:val="000000"/>
          <w:spacing w:val="0"/>
          <w:sz w:val="31"/>
          <w:szCs w:val="31"/>
          <w:shd w:val="clear" w:fill="FFFFFF"/>
          <w:lang w:val="en-US" w:eastAsia="zh-CN"/>
        </w:rPr>
        <w:t>11</w:t>
      </w:r>
      <w:r>
        <w:rPr>
          <w:rFonts w:hint="eastAsia" w:ascii="仿宋_GB2312" w:hAnsi="宋体" w:eastAsia="仿宋_GB2312" w:cs="仿宋_GB2312"/>
          <w:i w:val="0"/>
          <w:iCs w:val="0"/>
          <w:caps w:val="0"/>
          <w:color w:val="000000"/>
          <w:spacing w:val="0"/>
          <w:sz w:val="31"/>
          <w:szCs w:val="31"/>
          <w:shd w:val="clear" w:fill="FFFFFF"/>
          <w:lang w:val="zh-CN" w:eastAsia="zh-CN"/>
        </w:rPr>
        <w:t>个，实际完成</w:t>
      </w:r>
      <w:r>
        <w:rPr>
          <w:rFonts w:hint="eastAsia" w:ascii="仿宋_GB2312" w:hAnsi="宋体" w:eastAsia="仿宋_GB2312" w:cs="仿宋_GB2312"/>
          <w:i w:val="0"/>
          <w:iCs w:val="0"/>
          <w:caps w:val="0"/>
          <w:color w:val="000000"/>
          <w:spacing w:val="0"/>
          <w:sz w:val="31"/>
          <w:szCs w:val="31"/>
          <w:shd w:val="clear" w:fill="FFFFFF"/>
          <w:lang w:val="en-US" w:eastAsia="zh-CN"/>
        </w:rPr>
        <w:t>11</w:t>
      </w:r>
      <w:r>
        <w:rPr>
          <w:rFonts w:hint="eastAsia" w:ascii="仿宋_GB2312" w:hAnsi="宋体" w:eastAsia="仿宋_GB2312" w:cs="仿宋_GB2312"/>
          <w:i w:val="0"/>
          <w:iCs w:val="0"/>
          <w:caps w:val="0"/>
          <w:color w:val="000000"/>
          <w:spacing w:val="0"/>
          <w:sz w:val="31"/>
          <w:szCs w:val="31"/>
          <w:shd w:val="clear" w:fill="FFFFFF"/>
          <w:lang w:val="zh-CN" w:eastAsia="zh-CN"/>
        </w:rPr>
        <w:t>个，完成率</w:t>
      </w:r>
      <w:r>
        <w:rPr>
          <w:rFonts w:hint="eastAsia" w:ascii="仿宋_GB2312" w:hAnsi="宋体" w:eastAsia="仿宋_GB2312" w:cs="仿宋_GB2312"/>
          <w:i w:val="0"/>
          <w:iCs w:val="0"/>
          <w:caps w:val="0"/>
          <w:color w:val="000000"/>
          <w:spacing w:val="0"/>
          <w:sz w:val="31"/>
          <w:szCs w:val="31"/>
          <w:shd w:val="clear" w:fill="FFFFFF"/>
          <w:lang w:val="en-US" w:eastAsia="zh-CN"/>
        </w:rPr>
        <w:t>100</w:t>
      </w:r>
      <w:r>
        <w:rPr>
          <w:rFonts w:hint="eastAsia" w:ascii="仿宋_GB2312" w:hAnsi="宋体" w:eastAsia="仿宋_GB2312" w:cs="仿宋_GB2312"/>
          <w:i w:val="0"/>
          <w:iCs w:val="0"/>
          <w:caps w:val="0"/>
          <w:color w:val="000000"/>
          <w:spacing w:val="0"/>
          <w:sz w:val="31"/>
          <w:szCs w:val="31"/>
          <w:shd w:val="clear" w:fill="FFFFFF"/>
          <w:lang w:val="zh-CN" w:eastAsia="zh-CN"/>
        </w:rPr>
        <w:t>%。</w:t>
      </w:r>
    </w:p>
    <w:p w14:paraId="208CBE25">
      <w:pPr>
        <w:keepNext w:val="0"/>
        <w:keepLines w:val="0"/>
        <w:pageBreakBefore w:val="0"/>
        <w:numPr>
          <w:ilvl w:val="0"/>
          <w:numId w:val="0"/>
        </w:numPr>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（2）目标偏离</w:t>
      </w:r>
    </w:p>
    <w:p w14:paraId="10597A9F">
      <w:pPr>
        <w:keepNext w:val="0"/>
        <w:keepLines w:val="0"/>
        <w:pageBreakBefore w:val="0"/>
        <w:kinsoku/>
        <w:wordWrap/>
        <w:overflowPunct/>
        <w:topLinePunct w:val="0"/>
        <w:bidi w:val="0"/>
        <w:adjustRightInd/>
        <w:snapToGrid/>
        <w:spacing w:line="578" w:lineRule="exact"/>
        <w:ind w:firstLine="620" w:firstLineChars="200"/>
        <w:jc w:val="both"/>
        <w:textAlignment w:val="auto"/>
        <w:rPr>
          <w:rFonts w:hint="eastAsia" w:ascii="仿宋_GB2312" w:hAnsi="宋体" w:eastAsia="仿宋_GB2312" w:cs="仿宋_GB2312"/>
          <w:i w:val="0"/>
          <w:iCs w:val="0"/>
          <w:caps w:val="0"/>
          <w:color w:val="000000"/>
          <w:spacing w:val="0"/>
          <w:sz w:val="31"/>
          <w:szCs w:val="31"/>
          <w:shd w:val="clear" w:fill="FFFFFF"/>
          <w:lang w:val="zh-CN" w:eastAsia="zh-CN"/>
        </w:rPr>
      </w:pPr>
      <w:r>
        <w:rPr>
          <w:rFonts w:hint="eastAsia" w:ascii="仿宋_GB2312" w:hAnsi="宋体" w:eastAsia="仿宋_GB2312" w:cs="仿宋_GB2312"/>
          <w:i w:val="0"/>
          <w:iCs w:val="0"/>
          <w:caps w:val="0"/>
          <w:color w:val="000000"/>
          <w:spacing w:val="0"/>
          <w:sz w:val="31"/>
          <w:szCs w:val="31"/>
          <w:shd w:val="clear" w:fill="FFFFFF"/>
          <w:lang w:val="zh-CN" w:eastAsia="zh-CN"/>
        </w:rPr>
        <w:t>202</w:t>
      </w:r>
      <w:r>
        <w:rPr>
          <w:rFonts w:hint="eastAsia" w:ascii="仿宋_GB2312" w:hAnsi="宋体" w:eastAsia="仿宋_GB2312" w:cs="仿宋_GB2312"/>
          <w:i w:val="0"/>
          <w:iCs w:val="0"/>
          <w:caps w:val="0"/>
          <w:color w:val="000000"/>
          <w:spacing w:val="0"/>
          <w:sz w:val="31"/>
          <w:szCs w:val="31"/>
          <w:shd w:val="clear" w:fill="FFFFFF"/>
          <w:lang w:val="en-US" w:eastAsia="zh-CN"/>
        </w:rPr>
        <w:t>4</w:t>
      </w:r>
      <w:r>
        <w:rPr>
          <w:rFonts w:hint="eastAsia" w:ascii="仿宋_GB2312" w:hAnsi="宋体" w:eastAsia="仿宋_GB2312" w:cs="仿宋_GB2312"/>
          <w:i w:val="0"/>
          <w:iCs w:val="0"/>
          <w:caps w:val="0"/>
          <w:color w:val="000000"/>
          <w:spacing w:val="0"/>
          <w:sz w:val="31"/>
          <w:szCs w:val="31"/>
          <w:shd w:val="clear" w:fill="FFFFFF"/>
          <w:lang w:val="zh-CN" w:eastAsia="zh-CN"/>
        </w:rPr>
        <w:t>年我</w:t>
      </w:r>
      <w:r>
        <w:rPr>
          <w:rFonts w:hint="eastAsia" w:ascii="仿宋_GB2312" w:hAnsi="宋体" w:eastAsia="仿宋_GB2312" w:cs="仿宋_GB2312"/>
          <w:i w:val="0"/>
          <w:iCs w:val="0"/>
          <w:caps w:val="0"/>
          <w:color w:val="000000"/>
          <w:spacing w:val="0"/>
          <w:sz w:val="31"/>
          <w:szCs w:val="31"/>
          <w:shd w:val="clear" w:fill="FFFFFF"/>
          <w:lang w:val="en-US" w:eastAsia="zh-CN"/>
        </w:rPr>
        <w:t>单位25</w:t>
      </w:r>
      <w:r>
        <w:rPr>
          <w:rFonts w:hint="eastAsia" w:ascii="仿宋_GB2312" w:hAnsi="宋体" w:eastAsia="仿宋_GB2312" w:cs="仿宋_GB2312"/>
          <w:i w:val="0"/>
          <w:iCs w:val="0"/>
          <w:caps w:val="0"/>
          <w:color w:val="000000"/>
          <w:spacing w:val="0"/>
          <w:sz w:val="31"/>
          <w:szCs w:val="31"/>
          <w:shd w:val="clear" w:fill="FFFFFF"/>
          <w:lang w:val="zh-CN" w:eastAsia="zh-CN"/>
        </w:rPr>
        <w:t>个项目共涉及完成数量指标</w:t>
      </w:r>
      <w:r>
        <w:rPr>
          <w:rFonts w:hint="eastAsia" w:ascii="仿宋_GB2312" w:hAnsi="宋体" w:eastAsia="仿宋_GB2312" w:cs="仿宋_GB2312"/>
          <w:i w:val="0"/>
          <w:iCs w:val="0"/>
          <w:caps w:val="0"/>
          <w:color w:val="000000"/>
          <w:spacing w:val="0"/>
          <w:sz w:val="31"/>
          <w:szCs w:val="31"/>
          <w:shd w:val="clear" w:fill="FFFFFF"/>
          <w:lang w:val="en-US" w:eastAsia="zh-CN"/>
        </w:rPr>
        <w:t>11</w:t>
      </w:r>
      <w:r>
        <w:rPr>
          <w:rFonts w:hint="eastAsia" w:ascii="仿宋_GB2312" w:hAnsi="宋体" w:eastAsia="仿宋_GB2312" w:cs="仿宋_GB2312"/>
          <w:i w:val="0"/>
          <w:iCs w:val="0"/>
          <w:caps w:val="0"/>
          <w:color w:val="000000"/>
          <w:spacing w:val="0"/>
          <w:sz w:val="31"/>
          <w:szCs w:val="31"/>
          <w:shd w:val="clear" w:fill="FFFFFF"/>
          <w:lang w:val="zh-CN" w:eastAsia="zh-CN"/>
        </w:rPr>
        <w:t>个，偏离度在30%以内的指标</w:t>
      </w:r>
      <w:r>
        <w:rPr>
          <w:rFonts w:hint="eastAsia" w:ascii="仿宋_GB2312" w:hAnsi="宋体" w:eastAsia="仿宋_GB2312" w:cs="仿宋_GB2312"/>
          <w:i w:val="0"/>
          <w:iCs w:val="0"/>
          <w:caps w:val="0"/>
          <w:color w:val="000000"/>
          <w:spacing w:val="0"/>
          <w:sz w:val="31"/>
          <w:szCs w:val="31"/>
          <w:shd w:val="clear" w:fill="FFFFFF"/>
          <w:lang w:val="en-US" w:eastAsia="zh-CN"/>
        </w:rPr>
        <w:t>11</w:t>
      </w:r>
      <w:r>
        <w:rPr>
          <w:rFonts w:hint="eastAsia" w:ascii="仿宋_GB2312" w:hAnsi="宋体" w:eastAsia="仿宋_GB2312" w:cs="仿宋_GB2312"/>
          <w:i w:val="0"/>
          <w:iCs w:val="0"/>
          <w:caps w:val="0"/>
          <w:color w:val="000000"/>
          <w:spacing w:val="0"/>
          <w:sz w:val="31"/>
          <w:szCs w:val="31"/>
          <w:shd w:val="clear" w:fill="FFFFFF"/>
          <w:lang w:val="zh-CN" w:eastAsia="zh-CN"/>
        </w:rPr>
        <w:t>个，占比</w:t>
      </w:r>
      <w:r>
        <w:rPr>
          <w:rFonts w:hint="eastAsia" w:ascii="仿宋_GB2312" w:hAnsi="宋体" w:eastAsia="仿宋_GB2312" w:cs="仿宋_GB2312"/>
          <w:i w:val="0"/>
          <w:iCs w:val="0"/>
          <w:caps w:val="0"/>
          <w:color w:val="000000"/>
          <w:spacing w:val="0"/>
          <w:sz w:val="31"/>
          <w:szCs w:val="31"/>
          <w:shd w:val="clear" w:fill="FFFFFF"/>
          <w:lang w:val="en-US" w:eastAsia="zh-CN"/>
        </w:rPr>
        <w:t>100</w:t>
      </w:r>
      <w:r>
        <w:rPr>
          <w:rFonts w:hint="eastAsia" w:ascii="仿宋_GB2312" w:hAnsi="宋体" w:eastAsia="仿宋_GB2312" w:cs="仿宋_GB2312"/>
          <w:i w:val="0"/>
          <w:iCs w:val="0"/>
          <w:caps w:val="0"/>
          <w:color w:val="000000"/>
          <w:spacing w:val="0"/>
          <w:sz w:val="31"/>
          <w:szCs w:val="31"/>
          <w:shd w:val="clear" w:fill="FFFFFF"/>
          <w:lang w:val="zh-CN" w:eastAsia="zh-CN"/>
        </w:rPr>
        <w:t>%；偏离度大于30%的指标</w:t>
      </w:r>
      <w:r>
        <w:rPr>
          <w:rFonts w:hint="eastAsia" w:ascii="仿宋_GB2312" w:hAnsi="宋体" w:eastAsia="仿宋_GB2312" w:cs="仿宋_GB2312"/>
          <w:i w:val="0"/>
          <w:iCs w:val="0"/>
          <w:caps w:val="0"/>
          <w:color w:val="000000"/>
          <w:spacing w:val="0"/>
          <w:sz w:val="31"/>
          <w:szCs w:val="31"/>
          <w:shd w:val="clear" w:fill="FFFFFF"/>
          <w:lang w:val="en-US" w:eastAsia="zh-CN"/>
        </w:rPr>
        <w:t>0</w:t>
      </w:r>
      <w:r>
        <w:rPr>
          <w:rFonts w:hint="eastAsia" w:ascii="仿宋_GB2312" w:hAnsi="宋体" w:eastAsia="仿宋_GB2312" w:cs="仿宋_GB2312"/>
          <w:i w:val="0"/>
          <w:iCs w:val="0"/>
          <w:caps w:val="0"/>
          <w:color w:val="000000"/>
          <w:spacing w:val="0"/>
          <w:sz w:val="31"/>
          <w:szCs w:val="31"/>
          <w:shd w:val="clear" w:fill="FFFFFF"/>
          <w:lang w:val="zh-CN" w:eastAsia="zh-CN"/>
        </w:rPr>
        <w:t>个，占比</w:t>
      </w:r>
      <w:r>
        <w:rPr>
          <w:rFonts w:hint="eastAsia" w:ascii="仿宋_GB2312" w:hAnsi="宋体" w:eastAsia="仿宋_GB2312" w:cs="仿宋_GB2312"/>
          <w:i w:val="0"/>
          <w:iCs w:val="0"/>
          <w:caps w:val="0"/>
          <w:color w:val="000000"/>
          <w:spacing w:val="0"/>
          <w:sz w:val="31"/>
          <w:szCs w:val="31"/>
          <w:shd w:val="clear" w:fill="FFFFFF"/>
          <w:lang w:val="en-US" w:eastAsia="zh-CN"/>
        </w:rPr>
        <w:t>0</w:t>
      </w:r>
      <w:r>
        <w:rPr>
          <w:rFonts w:hint="eastAsia" w:ascii="仿宋_GB2312" w:hAnsi="宋体" w:eastAsia="仿宋_GB2312" w:cs="仿宋_GB2312"/>
          <w:i w:val="0"/>
          <w:iCs w:val="0"/>
          <w:caps w:val="0"/>
          <w:color w:val="000000"/>
          <w:spacing w:val="0"/>
          <w:sz w:val="31"/>
          <w:szCs w:val="31"/>
          <w:shd w:val="clear" w:fill="FFFFFF"/>
          <w:lang w:val="zh-CN" w:eastAsia="zh-CN"/>
        </w:rPr>
        <w:t>%。</w:t>
      </w:r>
    </w:p>
    <w:p w14:paraId="56418C5A">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zh-CN" w:eastAsia="zh-CN"/>
        </w:rPr>
      </w:pPr>
      <w:r>
        <w:rPr>
          <w:rFonts w:hint="eastAsia" w:ascii="方正仿宋_GBK" w:hAnsi="方正仿宋_GBK" w:eastAsia="方正仿宋_GBK" w:cs="方正仿宋_GBK"/>
          <w:color w:val="auto"/>
          <w:sz w:val="32"/>
          <w:szCs w:val="32"/>
          <w:highlight w:val="none"/>
          <w:lang w:val="zh-CN" w:eastAsia="zh-CN"/>
        </w:rPr>
        <w:t>（3）实现效果</w:t>
      </w:r>
    </w:p>
    <w:p w14:paraId="58862BA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zh-CN" w:eastAsia="zh-CN"/>
        </w:rPr>
        <w:t>202</w:t>
      </w:r>
      <w:r>
        <w:rPr>
          <w:rFonts w:hint="eastAsia" w:ascii="方正仿宋_GBK" w:hAnsi="方正仿宋_GBK" w:eastAsia="方正仿宋_GBK" w:cs="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lang w:val="zh-CN" w:eastAsia="zh-CN"/>
        </w:rPr>
        <w:t>年我</w:t>
      </w:r>
      <w:r>
        <w:rPr>
          <w:rFonts w:hint="eastAsia" w:ascii="方正仿宋_GBK" w:hAnsi="方正仿宋_GBK" w:eastAsia="方正仿宋_GBK" w:cs="方正仿宋_GBK"/>
          <w:color w:val="auto"/>
          <w:sz w:val="32"/>
          <w:szCs w:val="32"/>
          <w:highlight w:val="none"/>
          <w:lang w:val="en-US" w:eastAsia="zh-CN"/>
        </w:rPr>
        <w:t>单位25</w:t>
      </w:r>
      <w:r>
        <w:rPr>
          <w:rFonts w:hint="eastAsia" w:ascii="方正仿宋_GBK" w:hAnsi="方正仿宋_GBK" w:eastAsia="方正仿宋_GBK" w:cs="方正仿宋_GBK"/>
          <w:color w:val="auto"/>
          <w:sz w:val="32"/>
          <w:szCs w:val="32"/>
          <w:highlight w:val="none"/>
          <w:lang w:val="zh-CN" w:eastAsia="zh-CN"/>
        </w:rPr>
        <w:t>个项目效益指标、成本指标、满意度指标的总体完成情况较好，但仍有个别项目效果未达预期，个别项目未设置效益指标或效益指标不够量化难以评判。</w:t>
      </w:r>
    </w:p>
    <w:p w14:paraId="51410159">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（三）重点领域绩效分析</w:t>
      </w:r>
    </w:p>
    <w:p w14:paraId="5E83E943">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default" w:ascii="方正仿宋_GBK" w:hAnsi="方正仿宋_GBK" w:eastAsia="方正仿宋_GBK" w:cs="方正仿宋_GBK"/>
          <w:b w:val="0"/>
          <w:color w:val="auto"/>
          <w:kern w:val="2"/>
          <w:sz w:val="32"/>
          <w:szCs w:val="32"/>
          <w:highlight w:val="none"/>
          <w:lang w:val="en-US" w:eastAsia="zh-CN" w:bidi="ar-SA"/>
        </w:rPr>
      </w:pPr>
      <w:r>
        <w:rPr>
          <w:rFonts w:hint="eastAsia" w:ascii="方正仿宋_GBK" w:hAnsi="方正仿宋_GBK" w:eastAsia="方正仿宋_GBK" w:cs="方正仿宋_GBK"/>
          <w:b w:val="0"/>
          <w:color w:val="auto"/>
          <w:kern w:val="2"/>
          <w:sz w:val="32"/>
          <w:szCs w:val="32"/>
          <w:highlight w:val="none"/>
          <w:lang w:val="en-US" w:eastAsia="zh-CN" w:bidi="ar-SA"/>
        </w:rPr>
        <w:t>2024年，我单位涉及政府采购项目1个，完成项目1个。绩效目标数量指标与预期目标完成率100%，绩效目标效益指标完成率100%。</w:t>
      </w:r>
    </w:p>
    <w:p w14:paraId="04CC4C91">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（四）绩效结果应用情况</w:t>
      </w:r>
    </w:p>
    <w:p w14:paraId="1BDA7CEB">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1.信息公开情况</w:t>
      </w:r>
    </w:p>
    <w:p w14:paraId="27FA4762">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（1）预算公开。按照预算公开的相关要求，我单位于2024年2月19日公开了2024年预算，并将部门项目支出绩效目标、部门整体绩效目标和预算绩效管理情况随同预算公开。</w:t>
      </w:r>
    </w:p>
    <w:p w14:paraId="6ACBFAEE">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（2）决算公开。按照决算公开的相关要求，我单位于2024年9月19日公开了2023年决算，并将部门整体绩效目标自评、项目支出绩效目标自评、部门整体绩效自评报告和项目绩效自评报告情况随同决算公开。</w:t>
      </w:r>
    </w:p>
    <w:p w14:paraId="207161EE">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2.整改反馈情况</w:t>
      </w:r>
    </w:p>
    <w:p w14:paraId="48B9DE57">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（1）结果整改。2024年，渠县财政局在2024年部门预算绩效目标审查、绩效监控和2023年重点绩效评价中，未对我单位提出整改意见。</w:t>
      </w:r>
    </w:p>
    <w:p w14:paraId="43BDE81E">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（2）应用反馈。我单位未收到整改意见，因此也不涉及反馈结果应用报告。</w:t>
      </w:r>
    </w:p>
    <w:p w14:paraId="456B2356">
      <w:pPr>
        <w:keepNext w:val="0"/>
        <w:keepLines w:val="0"/>
        <w:pageBreakBefore w:val="0"/>
        <w:kinsoku/>
        <w:wordWrap/>
        <w:overflowPunct/>
        <w:topLinePunct w:val="0"/>
        <w:bidi w:val="0"/>
        <w:adjustRightInd/>
        <w:snapToGrid/>
        <w:spacing w:line="578" w:lineRule="exact"/>
        <w:ind w:firstLine="643" w:firstLineChars="200"/>
        <w:jc w:val="both"/>
        <w:textAlignment w:val="auto"/>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lang w:eastAsia="zh-CN"/>
        </w:rPr>
        <w:t>四、评价结论及建议</w:t>
      </w:r>
    </w:p>
    <w:p w14:paraId="39D28A6B">
      <w:pPr>
        <w:keepNext w:val="0"/>
        <w:keepLines w:val="0"/>
        <w:pageBreakBefore w:val="0"/>
        <w:kinsoku/>
        <w:wordWrap/>
        <w:overflowPunct/>
        <w:topLinePunct w:val="0"/>
        <w:autoSpaceDE w:val="0"/>
        <w:autoSpaceDN w:val="0"/>
        <w:bidi w:val="0"/>
        <w:adjustRightInd/>
        <w:snapToGrid/>
        <w:spacing w:line="578" w:lineRule="exact"/>
        <w:ind w:left="0" w:leftChars="0" w:firstLine="617" w:firstLineChars="193"/>
        <w:textAlignment w:val="auto"/>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（一）评价结论</w:t>
      </w:r>
    </w:p>
    <w:p w14:paraId="54C307E7">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按照《2025年县级部门整体支出绩效评价指标体系》设定的绩效指标和评分标准，总体上看，我单位2024年部门整体支出绩效情况较好，预算编制较为科学和准确，预算执行进度有待提高；财务管理制度健全，财务工作岗位设置合理，资金使用规范；政府采购严格执行了促进中小企业发展相关管理办法；预算项目的设立基本履行了项目申报论证程序，项目绩效目标制定较为科学合理、规范完整、量化细化；重点履职绩效方面，较好的完成了部门的重点履职任务，积极发挥了部门的职能。我单位部门整体支出绩效自评得分96.7分。</w:t>
      </w:r>
    </w:p>
    <w:p w14:paraId="7CA07093">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（二）存在的问题</w:t>
      </w:r>
    </w:p>
    <w:p w14:paraId="6C44224C">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 w:eastAsia="zh-CN"/>
        </w:rPr>
      </w:pPr>
      <w:r>
        <w:rPr>
          <w:rFonts w:hint="eastAsia" w:ascii="方正仿宋_GBK" w:hAnsi="方正仿宋_GBK" w:eastAsia="方正仿宋_GBK" w:cs="方正仿宋_GBK"/>
          <w:color w:val="auto"/>
          <w:sz w:val="32"/>
          <w:szCs w:val="32"/>
          <w:highlight w:val="none"/>
          <w:lang w:val="en-US" w:eastAsia="zh-CN"/>
        </w:rPr>
        <w:t>1.</w:t>
      </w:r>
      <w:r>
        <w:rPr>
          <w:rFonts w:hint="eastAsia" w:ascii="方正仿宋_GBK" w:hAnsi="方正仿宋_GBK" w:eastAsia="方正仿宋_GBK" w:cs="方正仿宋_GBK"/>
          <w:color w:val="auto"/>
          <w:sz w:val="32"/>
          <w:szCs w:val="32"/>
          <w:highlight w:val="none"/>
          <w:lang w:val="en" w:eastAsia="zh-CN"/>
        </w:rPr>
        <w:t>预算编制质量不高。</w:t>
      </w:r>
      <w:r>
        <w:rPr>
          <w:rFonts w:hint="eastAsia" w:ascii="方正仿宋_GBK" w:hAnsi="方正仿宋_GBK" w:eastAsia="方正仿宋_GBK" w:cs="方正仿宋_GBK"/>
          <w:color w:val="auto"/>
          <w:sz w:val="32"/>
          <w:szCs w:val="32"/>
          <w:highlight w:val="none"/>
          <w:lang w:val="en-US" w:eastAsia="zh-CN"/>
        </w:rPr>
        <w:t>渠县机关事务服务中心</w:t>
      </w:r>
      <w:r>
        <w:rPr>
          <w:rFonts w:hint="eastAsia" w:ascii="方正仿宋_GBK" w:hAnsi="方正仿宋_GBK" w:eastAsia="方正仿宋_GBK" w:cs="方正仿宋_GBK"/>
          <w:color w:val="auto"/>
          <w:sz w:val="32"/>
          <w:szCs w:val="32"/>
          <w:highlight w:val="none"/>
          <w:lang w:val="en" w:eastAsia="zh-CN"/>
        </w:rPr>
        <w:t>202</w:t>
      </w:r>
      <w:r>
        <w:rPr>
          <w:rFonts w:hint="eastAsia" w:ascii="方正仿宋_GBK" w:hAnsi="方正仿宋_GBK" w:eastAsia="方正仿宋_GBK" w:cs="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lang w:val="en" w:eastAsia="zh-CN"/>
        </w:rPr>
        <w:t>年年初财政拨款预算数</w:t>
      </w:r>
      <w:r>
        <w:rPr>
          <w:rFonts w:hint="eastAsia" w:ascii="方正仿宋_GBK" w:hAnsi="方正仿宋_GBK" w:eastAsia="方正仿宋_GBK" w:cs="方正仿宋_GBK"/>
          <w:color w:val="auto"/>
          <w:sz w:val="32"/>
          <w:szCs w:val="32"/>
          <w:highlight w:val="none"/>
          <w:lang w:val="en-US" w:eastAsia="zh-CN"/>
        </w:rPr>
        <w:t>2078.96</w:t>
      </w:r>
      <w:r>
        <w:rPr>
          <w:rFonts w:hint="eastAsia" w:ascii="方正仿宋_GBK" w:hAnsi="方正仿宋_GBK" w:eastAsia="方正仿宋_GBK" w:cs="方正仿宋_GBK"/>
          <w:color w:val="auto"/>
          <w:sz w:val="32"/>
          <w:szCs w:val="32"/>
          <w:highlight w:val="none"/>
          <w:lang w:val="en" w:eastAsia="zh-CN"/>
        </w:rPr>
        <w:t>万元，决算数为2436.64万元，</w:t>
      </w:r>
      <w:r>
        <w:rPr>
          <w:rFonts w:hint="default" w:ascii="方正仿宋_GBK" w:hAnsi="方正仿宋_GBK" w:eastAsia="方正仿宋_GBK" w:cs="方正仿宋_GBK"/>
          <w:color w:val="auto"/>
          <w:sz w:val="32"/>
          <w:szCs w:val="32"/>
          <w:highlight w:val="none"/>
          <w:lang w:val="en" w:eastAsia="zh-CN"/>
        </w:rPr>
        <w:t>预算偏离度为17.2%。</w:t>
      </w:r>
    </w:p>
    <w:p w14:paraId="13608291">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2.支出执行进度缓慢，预算执行率不高。</w:t>
      </w:r>
    </w:p>
    <w:p w14:paraId="072D47CF">
      <w:pPr>
        <w:keepNext w:val="0"/>
        <w:keepLines w:val="0"/>
        <w:pageBreakBefore w:val="0"/>
        <w:kinsoku/>
        <w:wordWrap/>
        <w:overflowPunct/>
        <w:topLinePunct w:val="0"/>
        <w:bidi w:val="0"/>
        <w:adjustRightInd/>
        <w:snapToGrid/>
        <w:spacing w:line="578" w:lineRule="exact"/>
        <w:ind w:firstLine="640" w:firstLineChars="200"/>
        <w:jc w:val="both"/>
        <w:textAlignment w:val="auto"/>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（三）整改建议意见</w:t>
      </w:r>
    </w:p>
    <w:p w14:paraId="3E7244F6">
      <w:pPr>
        <w:spacing w:line="598" w:lineRule="exact"/>
        <w:ind w:firstLine="640" w:firstLineChars="200"/>
        <w:rPr>
          <w:rFonts w:hint="eastAsia" w:ascii="方正仿宋_GBK" w:hAnsi="方正仿宋_GBK" w:eastAsia="方正仿宋_GBK" w:cs="方正仿宋_GBK"/>
          <w:color w:val="auto"/>
          <w:sz w:val="32"/>
          <w:szCs w:val="32"/>
          <w:highlight w:val="none"/>
          <w:lang w:val="en" w:eastAsia="zh-CN"/>
        </w:rPr>
      </w:pPr>
      <w:r>
        <w:rPr>
          <w:rFonts w:hint="eastAsia" w:ascii="方正仿宋_GBK" w:hAnsi="方正仿宋_GBK" w:eastAsia="方正仿宋_GBK" w:cs="方正仿宋_GBK"/>
          <w:color w:val="auto"/>
          <w:sz w:val="32"/>
          <w:szCs w:val="32"/>
          <w:highlight w:val="none"/>
          <w:lang w:val="en-US" w:eastAsia="zh-CN"/>
        </w:rPr>
        <w:t>1.</w:t>
      </w:r>
      <w:bookmarkStart w:id="20" w:name="_Hlk110546638"/>
      <w:r>
        <w:rPr>
          <w:rFonts w:hint="eastAsia" w:ascii="方正仿宋_GBK" w:hAnsi="方正仿宋_GBK" w:eastAsia="方正仿宋_GBK" w:cs="方正仿宋_GBK"/>
          <w:color w:val="auto"/>
          <w:sz w:val="32"/>
          <w:szCs w:val="32"/>
          <w:highlight w:val="none"/>
          <w:lang w:val="en" w:eastAsia="zh-CN"/>
        </w:rPr>
        <w:t>提高预算编制质量。</w:t>
      </w:r>
      <w:r>
        <w:rPr>
          <w:rFonts w:hint="eastAsia" w:ascii="方正仿宋_GBK" w:hAnsi="方正仿宋_GBK" w:eastAsia="方正仿宋_GBK" w:cs="方正仿宋_GBK"/>
          <w:color w:val="auto"/>
          <w:sz w:val="32"/>
          <w:szCs w:val="32"/>
          <w:highlight w:val="none"/>
          <w:lang w:val="en-US" w:eastAsia="zh-CN"/>
        </w:rPr>
        <w:t>机关事务服务中心</w:t>
      </w:r>
      <w:r>
        <w:rPr>
          <w:rFonts w:hint="eastAsia" w:ascii="方正仿宋_GBK" w:hAnsi="方正仿宋_GBK" w:eastAsia="方正仿宋_GBK" w:cs="方正仿宋_GBK"/>
          <w:color w:val="auto"/>
          <w:sz w:val="32"/>
          <w:szCs w:val="32"/>
          <w:highlight w:val="none"/>
          <w:lang w:val="en" w:eastAsia="zh-CN"/>
        </w:rPr>
        <w:t>将继续加强项目预算管理，根据年度工作任务，合理预测、准确编制预算，提高预算编制质量。</w:t>
      </w:r>
    </w:p>
    <w:bookmarkEnd w:id="20"/>
    <w:p w14:paraId="60076A33">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2.加快资金执行进度，严格执行资金安排，对资金实施跟踪管理和预算控制，做到资金科学合理的安排和分配；</w:t>
      </w:r>
    </w:p>
    <w:p w14:paraId="2CF07FB9">
      <w:pPr>
        <w:rPr>
          <w:rFonts w:hint="default"/>
          <w:lang w:val="en-US" w:eastAsia="zh-CN"/>
        </w:rPr>
      </w:pPr>
    </w:p>
    <w:tbl>
      <w:tblPr>
        <w:tblStyle w:val="20"/>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09"/>
        <w:gridCol w:w="1347"/>
        <w:gridCol w:w="1273"/>
        <w:gridCol w:w="1100"/>
        <w:gridCol w:w="1144"/>
        <w:gridCol w:w="1"/>
        <w:gridCol w:w="1289"/>
        <w:gridCol w:w="1058"/>
        <w:gridCol w:w="926"/>
        <w:gridCol w:w="1113"/>
      </w:tblGrid>
      <w:tr w14:paraId="30CEC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2" w:hRule="exact"/>
          <w:jc w:val="center"/>
        </w:trPr>
        <w:tc>
          <w:tcPr>
            <w:tcW w:w="10560" w:type="dxa"/>
            <w:gridSpan w:val="10"/>
            <w:noWrap w:val="0"/>
            <w:vAlign w:val="center"/>
          </w:tcPr>
          <w:p w14:paraId="4D6DEF81">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000000"/>
                <w:sz w:val="28"/>
                <w:szCs w:val="28"/>
                <w:u w:val="none"/>
              </w:rPr>
            </w:pPr>
            <w:r>
              <w:rPr>
                <w:rFonts w:hint="default" w:ascii="Times New Roman" w:hAnsi="Times New Roman" w:eastAsia="方正小标宋简体" w:cs="Times New Roman"/>
                <w:i w:val="0"/>
                <w:color w:val="000000"/>
                <w:kern w:val="0"/>
                <w:sz w:val="44"/>
                <w:szCs w:val="44"/>
                <w:u w:val="none"/>
                <w:lang w:val="en-US" w:eastAsia="zh-CN" w:bidi="ar"/>
              </w:rPr>
              <w:t>部门整体绩效目标完成情况自评表</w:t>
            </w:r>
          </w:p>
        </w:tc>
      </w:tr>
      <w:tr w14:paraId="3DDD0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noWrap w:val="0"/>
            <w:vAlign w:val="center"/>
          </w:tcPr>
          <w:p w14:paraId="61152C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8"/>
                <w:szCs w:val="28"/>
                <w:u w:val="none"/>
              </w:rPr>
            </w:pPr>
            <w:r>
              <w:rPr>
                <w:rFonts w:hint="default" w:ascii="Times New Roman" w:hAnsi="Times New Roman" w:eastAsia="宋体" w:cs="Times New Roman"/>
                <w:i w:val="0"/>
                <w:color w:val="000000"/>
                <w:kern w:val="0"/>
                <w:sz w:val="28"/>
                <w:szCs w:val="28"/>
                <w:u w:val="none"/>
                <w:lang w:val="en-US" w:eastAsia="zh-CN" w:bidi="ar"/>
              </w:rPr>
              <w:t>（202</w:t>
            </w:r>
            <w:r>
              <w:rPr>
                <w:rFonts w:hint="eastAsia" w:eastAsia="宋体" w:cs="Times New Roman"/>
                <w:i w:val="0"/>
                <w:color w:val="000000"/>
                <w:kern w:val="0"/>
                <w:sz w:val="28"/>
                <w:szCs w:val="28"/>
                <w:u w:val="none"/>
                <w:lang w:val="en-US" w:eastAsia="zh-CN" w:bidi="ar"/>
              </w:rPr>
              <w:t>4</w:t>
            </w:r>
            <w:r>
              <w:rPr>
                <w:rFonts w:hint="default" w:ascii="Times New Roman" w:hAnsi="Times New Roman" w:eastAsia="宋体" w:cs="Times New Roman"/>
                <w:i w:val="0"/>
                <w:color w:val="000000"/>
                <w:kern w:val="0"/>
                <w:sz w:val="28"/>
                <w:szCs w:val="28"/>
                <w:u w:val="none"/>
                <w:lang w:val="en-US" w:eastAsia="zh-CN" w:bidi="ar"/>
              </w:rPr>
              <w:t>年度）</w:t>
            </w:r>
          </w:p>
        </w:tc>
      </w:tr>
      <w:tr w14:paraId="24FF8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tcBorders>
              <w:bottom w:val="single" w:color="000000" w:sz="4" w:space="0"/>
            </w:tcBorders>
            <w:noWrap w:val="0"/>
            <w:vAlign w:val="center"/>
          </w:tcPr>
          <w:p w14:paraId="023F816F">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单位：万元</w:t>
            </w:r>
          </w:p>
        </w:tc>
      </w:tr>
      <w:tr w14:paraId="583C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noWrap w:val="0"/>
            <w:vAlign w:val="center"/>
          </w:tcPr>
          <w:p w14:paraId="41D3EC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部门名称</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09BB7E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ascii="Times New Roman" w:hAnsi="Times New Roman" w:cs="Times New Roman"/>
                <w:i w:val="0"/>
                <w:color w:val="000000"/>
                <w:kern w:val="0"/>
                <w:sz w:val="24"/>
                <w:szCs w:val="24"/>
                <w:u w:val="none"/>
                <w:lang w:val="en-US" w:eastAsia="zh-CN" w:bidi="ar"/>
              </w:rPr>
              <w:t>渠县机关事务服务中心</w:t>
            </w:r>
          </w:p>
        </w:tc>
      </w:tr>
      <w:tr w14:paraId="61A5B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noWrap w:val="0"/>
            <w:vAlign w:val="center"/>
          </w:tcPr>
          <w:p w14:paraId="02EFFE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年度部门整体支出预算</w:t>
            </w: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7CC6E0F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资金总额</w:t>
            </w:r>
          </w:p>
        </w:tc>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14:paraId="75DBBE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财政拨款</w:t>
            </w:r>
          </w:p>
        </w:tc>
        <w:tc>
          <w:tcPr>
            <w:tcW w:w="4387" w:type="dxa"/>
            <w:gridSpan w:val="5"/>
            <w:tcBorders>
              <w:top w:val="single" w:color="000000" w:sz="4" w:space="0"/>
              <w:left w:val="single" w:color="000000" w:sz="4" w:space="0"/>
              <w:bottom w:val="single" w:color="000000" w:sz="4" w:space="0"/>
              <w:right w:val="single" w:color="000000" w:sz="4" w:space="0"/>
            </w:tcBorders>
            <w:noWrap w:val="0"/>
            <w:vAlign w:val="center"/>
          </w:tcPr>
          <w:p w14:paraId="62FF84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其他资金</w:t>
            </w:r>
          </w:p>
        </w:tc>
      </w:tr>
      <w:tr w14:paraId="302B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67D5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4BCDA0E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ascii="Times New Roman" w:hAnsi="Times New Roman" w:cs="Times New Roman"/>
                <w:i w:val="0"/>
                <w:color w:val="000000"/>
                <w:kern w:val="0"/>
                <w:sz w:val="24"/>
                <w:szCs w:val="24"/>
                <w:u w:val="none"/>
                <w:lang w:val="en-US" w:eastAsia="zh-CN" w:bidi="ar"/>
              </w:rPr>
              <w:t>2436.64</w:t>
            </w:r>
          </w:p>
        </w:tc>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14:paraId="13585D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ascii="Times New Roman" w:hAnsi="Times New Roman" w:cs="Times New Roman"/>
                <w:i w:val="0"/>
                <w:color w:val="000000"/>
                <w:kern w:val="0"/>
                <w:sz w:val="24"/>
                <w:szCs w:val="24"/>
                <w:u w:val="none"/>
                <w:lang w:val="en-US" w:eastAsia="zh-CN" w:bidi="ar"/>
              </w:rPr>
              <w:t>2436.64</w:t>
            </w:r>
          </w:p>
        </w:tc>
        <w:tc>
          <w:tcPr>
            <w:tcW w:w="4387" w:type="dxa"/>
            <w:gridSpan w:val="5"/>
            <w:tcBorders>
              <w:top w:val="single" w:color="000000" w:sz="4" w:space="0"/>
              <w:left w:val="single" w:color="000000" w:sz="4" w:space="0"/>
              <w:bottom w:val="single" w:color="000000" w:sz="4" w:space="0"/>
              <w:right w:val="single" w:color="000000" w:sz="4" w:space="0"/>
            </w:tcBorders>
            <w:noWrap w:val="0"/>
            <w:vAlign w:val="center"/>
          </w:tcPr>
          <w:p w14:paraId="640F2B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p>
        </w:tc>
      </w:tr>
      <w:tr w14:paraId="34DD3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80" w:hRule="atLeast"/>
          <w:jc w:val="center"/>
        </w:trPr>
        <w:tc>
          <w:tcPr>
            <w:tcW w:w="1309" w:type="dxa"/>
            <w:tcBorders>
              <w:top w:val="single" w:color="000000" w:sz="4" w:space="0"/>
              <w:left w:val="single" w:color="000000" w:sz="4" w:space="0"/>
              <w:bottom w:val="single" w:color="000000" w:sz="4" w:space="0"/>
              <w:right w:val="single" w:color="000000" w:sz="4" w:space="0"/>
            </w:tcBorders>
            <w:noWrap w:val="0"/>
            <w:vAlign w:val="center"/>
          </w:tcPr>
          <w:p w14:paraId="402DE9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年度总体</w:t>
            </w:r>
          </w:p>
          <w:p w14:paraId="65D317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目标</w:t>
            </w:r>
          </w:p>
        </w:tc>
        <w:tc>
          <w:tcPr>
            <w:tcW w:w="9251" w:type="dxa"/>
            <w:gridSpan w:val="9"/>
            <w:tcBorders>
              <w:top w:val="single" w:color="000000" w:sz="4" w:space="0"/>
              <w:left w:val="single" w:color="000000" w:sz="4" w:space="0"/>
              <w:bottom w:val="single" w:color="000000" w:sz="4" w:space="0"/>
              <w:right w:val="single" w:color="000000" w:sz="4" w:space="0"/>
            </w:tcBorders>
            <w:noWrap w:val="0"/>
            <w:vAlign w:val="center"/>
          </w:tcPr>
          <w:p w14:paraId="6D23FF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保障单位8名在职职工人员经费和公用经费支出；保障全县69辆公务用车正常运行；拟订全县公务用车、公务用房、公共机构节能管理制度‘负责公房、公车、公共机构节能管理工作；承担县委、人大、政府、政协机关后勤管理和服务保障；完成</w:t>
            </w:r>
            <w:r>
              <w:rPr>
                <w:rFonts w:hint="eastAsia" w:ascii="Times New Roman" w:hAnsi="Times New Roman" w:cs="Times New Roman"/>
                <w:i w:val="0"/>
                <w:color w:val="000000"/>
                <w:kern w:val="0"/>
                <w:sz w:val="24"/>
                <w:szCs w:val="24"/>
                <w:u w:val="none"/>
                <w:lang w:val="en-US" w:eastAsia="zh-CN" w:bidi="ar"/>
              </w:rPr>
              <w:t>县委、县政府</w:t>
            </w:r>
            <w:r>
              <w:rPr>
                <w:rFonts w:hint="default" w:ascii="Times New Roman" w:hAnsi="Times New Roman" w:eastAsia="宋体" w:cs="Times New Roman"/>
                <w:i w:val="0"/>
                <w:color w:val="000000"/>
                <w:kern w:val="0"/>
                <w:sz w:val="24"/>
                <w:szCs w:val="24"/>
                <w:u w:val="none"/>
                <w:lang w:val="en-US" w:eastAsia="zh-CN" w:bidi="ar"/>
              </w:rPr>
              <w:t>下达的各项目标任务。’</w:t>
            </w:r>
          </w:p>
        </w:tc>
      </w:tr>
      <w:tr w14:paraId="01A4F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5" w:hRule="atLeast"/>
          <w:jc w:val="center"/>
        </w:trPr>
        <w:tc>
          <w:tcPr>
            <w:tcW w:w="1309" w:type="dxa"/>
            <w:vMerge w:val="restart"/>
            <w:tcBorders>
              <w:top w:val="single" w:color="000000" w:sz="4" w:space="0"/>
              <w:left w:val="single" w:color="000000" w:sz="4" w:space="0"/>
              <w:right w:val="single" w:color="000000" w:sz="4" w:space="0"/>
            </w:tcBorders>
            <w:noWrap w:val="0"/>
            <w:vAlign w:val="center"/>
          </w:tcPr>
          <w:p w14:paraId="5BB29A2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年度主要</w:t>
            </w:r>
          </w:p>
          <w:p w14:paraId="47AAC6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w:t>
            </w: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0F79DCE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任务名称</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460F95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主要内容</w:t>
            </w:r>
          </w:p>
        </w:tc>
      </w:tr>
      <w:tr w14:paraId="2C7E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noWrap w:val="0"/>
            <w:vAlign w:val="center"/>
          </w:tcPr>
          <w:p w14:paraId="7ECD59A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4993652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保障单位8名在职职工人员经费和公用经费支出</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6469FC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保障单位8名在职职工人员经费和公用经费支出</w:t>
            </w:r>
          </w:p>
        </w:tc>
      </w:tr>
      <w:tr w14:paraId="5B994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noWrap w:val="0"/>
            <w:vAlign w:val="center"/>
          </w:tcPr>
          <w:p w14:paraId="5ABFCC9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0FED87F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保障全县69辆公务用车正常运行，确保党政机关公务出行</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5E40665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保障全县69辆公务用车正常运行，确保党政机关公务出行</w:t>
            </w:r>
          </w:p>
        </w:tc>
      </w:tr>
      <w:tr w14:paraId="0E6DA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noWrap w:val="0"/>
            <w:vAlign w:val="center"/>
          </w:tcPr>
          <w:p w14:paraId="5B639619">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5F85740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拟订公务用车、办公用房、公共机构节能管理制度，负责公房、公车、公共机构节能管理工作</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2293773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拟订公务用车、办公用房、公共机构节能管理制度，负责公房、公车、公共机构节能管理工作</w:t>
            </w:r>
          </w:p>
        </w:tc>
      </w:tr>
      <w:tr w14:paraId="72D3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bottom w:val="single" w:color="000000" w:sz="4" w:space="0"/>
              <w:right w:val="single" w:color="000000" w:sz="4" w:space="0"/>
            </w:tcBorders>
            <w:noWrap w:val="0"/>
            <w:vAlign w:val="center"/>
          </w:tcPr>
          <w:p w14:paraId="3F77171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17B4A19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承担县委、人大、政府、政协机关后勤管理和服务保障</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07A7DC9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承担县委、人大、政府、政协机关后勤管理和服务保障</w:t>
            </w:r>
          </w:p>
        </w:tc>
      </w:tr>
      <w:tr w14:paraId="70F8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noWrap w:val="0"/>
            <w:vAlign w:val="center"/>
          </w:tcPr>
          <w:p w14:paraId="70922CA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年度绩效</w:t>
            </w:r>
          </w:p>
          <w:p w14:paraId="31675A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221216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35B252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3243E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269AB8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绩效指标</w:t>
            </w:r>
          </w:p>
          <w:p w14:paraId="691D60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性质</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6D7D25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绩效指标值</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30C38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绩效度量单位</w:t>
            </w:r>
          </w:p>
        </w:tc>
        <w:tc>
          <w:tcPr>
            <w:tcW w:w="926" w:type="dxa"/>
            <w:tcBorders>
              <w:top w:val="single" w:color="000000" w:sz="4" w:space="0"/>
              <w:left w:val="single" w:color="000000" w:sz="4" w:space="0"/>
              <w:bottom w:val="single" w:color="000000" w:sz="4" w:space="0"/>
            </w:tcBorders>
            <w:noWrap w:val="0"/>
            <w:vAlign w:val="center"/>
          </w:tcPr>
          <w:p w14:paraId="6E39CA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EA6F39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实际完成</w:t>
            </w:r>
          </w:p>
          <w:p w14:paraId="0A39F98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r>
      <w:tr w14:paraId="1E791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E8008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B546D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273" w:type="dxa"/>
            <w:vMerge w:val="restart"/>
            <w:tcBorders>
              <w:top w:val="single" w:color="000000" w:sz="4" w:space="0"/>
              <w:left w:val="single" w:color="000000" w:sz="4" w:space="0"/>
              <w:right w:val="single" w:color="000000" w:sz="4" w:space="0"/>
            </w:tcBorders>
            <w:noWrap w:val="0"/>
            <w:vAlign w:val="center"/>
          </w:tcPr>
          <w:p w14:paraId="4E7C17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ABC9C4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保障公务用车车辆数</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2506C0F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419834C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69</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436B1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辆</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0E66D4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kern w:val="0"/>
                <w:sz w:val="24"/>
                <w:szCs w:val="24"/>
                <w:u w:val="none"/>
                <w:lang w:val="en-US" w:eastAsia="zh-CN" w:bidi="ar"/>
              </w:rPr>
              <w:t>5</w:t>
            </w:r>
            <w:r>
              <w:rPr>
                <w:rFonts w:hint="default" w:ascii="Times New Roman" w:hAnsi="Times New Roman" w:eastAsia="宋体" w:cs="Times New Roman"/>
                <w:i w:val="0"/>
                <w:color w:val="000000"/>
                <w:kern w:val="0"/>
                <w:sz w:val="24"/>
                <w:szCs w:val="24"/>
                <w:u w:val="none"/>
                <w:lang w:val="en-US" w:eastAsia="zh-CN" w:bidi="ar"/>
              </w:rPr>
              <w:t>%</w:t>
            </w:r>
          </w:p>
        </w:tc>
        <w:tc>
          <w:tcPr>
            <w:tcW w:w="1113" w:type="dxa"/>
            <w:tcBorders>
              <w:left w:val="single" w:color="000000" w:sz="4" w:space="0"/>
              <w:bottom w:val="single" w:color="000000" w:sz="4" w:space="0"/>
              <w:right w:val="single" w:color="000000" w:sz="4" w:space="0"/>
            </w:tcBorders>
            <w:noWrap w:val="0"/>
            <w:vAlign w:val="center"/>
          </w:tcPr>
          <w:p w14:paraId="0D42BB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rPr>
            </w:pPr>
            <w:r>
              <w:rPr>
                <w:rFonts w:hint="eastAsia" w:ascii="Times New Roman" w:hAnsi="Times New Roman" w:cs="Times New Roman"/>
                <w:i w:val="0"/>
                <w:color w:val="000000"/>
                <w:kern w:val="0"/>
                <w:sz w:val="24"/>
                <w:szCs w:val="24"/>
                <w:u w:val="none"/>
                <w:lang w:val="en-US" w:eastAsia="zh-CN" w:bidi="ar"/>
              </w:rPr>
              <w:t>69辆</w:t>
            </w:r>
          </w:p>
        </w:tc>
      </w:tr>
      <w:tr w14:paraId="56CC9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9922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01C1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right w:val="single" w:color="000000" w:sz="4" w:space="0"/>
            </w:tcBorders>
            <w:noWrap w:val="0"/>
            <w:vAlign w:val="center"/>
          </w:tcPr>
          <w:p w14:paraId="43F0056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2BE5908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服务集中办公区物业管理面积</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FD56EFE">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31FF1635">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5000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7851835">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平方米</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4F65973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kern w:val="0"/>
                <w:sz w:val="24"/>
                <w:szCs w:val="24"/>
                <w:u w:val="none"/>
                <w:lang w:val="en-US" w:eastAsia="zh-CN" w:bidi="ar"/>
              </w:rPr>
              <w:t>5</w:t>
            </w:r>
            <w:r>
              <w:rPr>
                <w:rFonts w:hint="default" w:ascii="Times New Roman" w:hAnsi="Times New Roman" w:eastAsia="宋体" w:cs="Times New Roman"/>
                <w:i w:val="0"/>
                <w:color w:val="000000"/>
                <w:kern w:val="0"/>
                <w:sz w:val="24"/>
                <w:szCs w:val="24"/>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86AB35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5000平方米</w:t>
            </w:r>
          </w:p>
        </w:tc>
      </w:tr>
      <w:tr w14:paraId="75ED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50"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0A92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D30A2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bottom w:val="single" w:color="000000" w:sz="4" w:space="0"/>
              <w:right w:val="single" w:color="000000" w:sz="4" w:space="0"/>
            </w:tcBorders>
            <w:noWrap w:val="0"/>
            <w:vAlign w:val="center"/>
          </w:tcPr>
          <w:p w14:paraId="60CD1BA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671A648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工资发放人数及经费保障人数</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19D0226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09F9DE7C">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8</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4351EDC">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eastAsia="zh-CN"/>
              </w:rPr>
            </w:pPr>
            <w:r>
              <w:rPr>
                <w:rFonts w:hint="eastAsia" w:ascii="Times New Roman" w:hAnsi="Times New Roman" w:cs="Times New Roman"/>
                <w:i w:val="0"/>
                <w:color w:val="000000"/>
                <w:sz w:val="24"/>
                <w:szCs w:val="24"/>
                <w:u w:val="none"/>
                <w:lang w:eastAsia="zh-CN"/>
              </w:rPr>
              <w:t>人</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3328BE99">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kern w:val="0"/>
                <w:sz w:val="24"/>
                <w:szCs w:val="24"/>
                <w:u w:val="none"/>
                <w:lang w:val="en-US" w:eastAsia="zh-CN" w:bidi="ar"/>
              </w:rPr>
              <w:t>5</w:t>
            </w:r>
            <w:r>
              <w:rPr>
                <w:rFonts w:hint="default" w:ascii="Times New Roman" w:hAnsi="Times New Roman" w:eastAsia="宋体" w:cs="Times New Roman"/>
                <w:i w:val="0"/>
                <w:color w:val="000000"/>
                <w:kern w:val="0"/>
                <w:sz w:val="24"/>
                <w:szCs w:val="24"/>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08CCFFA">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8人</w:t>
            </w:r>
          </w:p>
        </w:tc>
      </w:tr>
      <w:tr w14:paraId="4658A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532B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FE01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5E9381A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数量指标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23370CD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开展节能宣传推广活动次数</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27CBA99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2D874B26">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3</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10C0EE5">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次</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30D1C08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kern w:val="0"/>
                <w:sz w:val="24"/>
                <w:szCs w:val="24"/>
                <w:u w:val="none"/>
                <w:lang w:val="en-US" w:eastAsia="zh-CN" w:bidi="ar"/>
              </w:rPr>
              <w:t>5</w:t>
            </w:r>
            <w:r>
              <w:rPr>
                <w:rFonts w:hint="default" w:ascii="Times New Roman" w:hAnsi="Times New Roman" w:eastAsia="宋体" w:cs="Times New Roman"/>
                <w:i w:val="0"/>
                <w:color w:val="000000"/>
                <w:kern w:val="0"/>
                <w:sz w:val="24"/>
                <w:szCs w:val="24"/>
                <w:u w:val="none"/>
                <w:lang w:val="en-US" w:eastAsia="zh-CN" w:bidi="ar"/>
              </w:rPr>
              <w:t>%</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ED7015E">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3次</w:t>
            </w:r>
          </w:p>
        </w:tc>
      </w:tr>
      <w:tr w14:paraId="4A27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759EA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D8CBE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restart"/>
            <w:tcBorders>
              <w:top w:val="single" w:color="000000" w:sz="4" w:space="0"/>
              <w:left w:val="single" w:color="000000" w:sz="4" w:space="0"/>
              <w:right w:val="single" w:color="000000" w:sz="4" w:space="0"/>
            </w:tcBorders>
            <w:noWrap w:val="0"/>
            <w:vAlign w:val="center"/>
          </w:tcPr>
          <w:p w14:paraId="44EE18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CA6D4D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公务出行、后勤服务保障率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2615822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0288615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4927C057">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72900B32">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F73BD6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r>
      <w:tr w14:paraId="3CD7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A90B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0367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right w:val="single" w:color="000000" w:sz="4" w:space="0"/>
            </w:tcBorders>
            <w:noWrap w:val="0"/>
            <w:vAlign w:val="center"/>
          </w:tcPr>
          <w:p w14:paraId="073CB5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5E399F6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日常工作达标率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7F3174F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304FE2F0">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A7F9D3B">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4F7EB16B">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60FEA4E">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r>
      <w:tr w14:paraId="4F75E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42CE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6A95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bottom w:val="single" w:color="000000" w:sz="4" w:space="0"/>
              <w:right w:val="single" w:color="000000" w:sz="4" w:space="0"/>
            </w:tcBorders>
            <w:noWrap w:val="0"/>
            <w:vAlign w:val="center"/>
          </w:tcPr>
          <w:p w14:paraId="7774ECB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DC9573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宣传推广活动参与率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1B1D9A1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7130CC47">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99DC2B8">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47035963">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21BC60D">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r>
      <w:tr w14:paraId="1155D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3FF1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E7FA8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restart"/>
            <w:tcBorders>
              <w:top w:val="single" w:color="000000" w:sz="4" w:space="0"/>
              <w:left w:val="single" w:color="000000" w:sz="4" w:space="0"/>
              <w:right w:val="single" w:color="000000" w:sz="4" w:space="0"/>
            </w:tcBorders>
            <w:noWrap w:val="0"/>
            <w:vAlign w:val="center"/>
          </w:tcPr>
          <w:p w14:paraId="22579F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时效指标</w:t>
            </w:r>
          </w:p>
          <w:p w14:paraId="36515B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2F4E7BA7">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车辆调度及时率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5F3E0AE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定性</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63AE5CF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及时</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DE9F4A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03DF9BF2">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EA17892">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及时</w:t>
            </w:r>
          </w:p>
        </w:tc>
      </w:tr>
      <w:tr w14:paraId="5542E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65FB7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nil"/>
              <w:right w:val="single" w:color="000000" w:sz="4" w:space="0"/>
            </w:tcBorders>
            <w:noWrap w:val="0"/>
            <w:vAlign w:val="center"/>
          </w:tcPr>
          <w:p w14:paraId="0A5D291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right w:val="single" w:color="000000" w:sz="4" w:space="0"/>
            </w:tcBorders>
            <w:noWrap w:val="0"/>
            <w:vAlign w:val="center"/>
          </w:tcPr>
          <w:p w14:paraId="191B62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A382EB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各项工作任务完成时限</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7311FA4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5AE51A2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12</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9FEBAEF">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月</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4BD85E9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284EE9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12月</w:t>
            </w:r>
          </w:p>
        </w:tc>
      </w:tr>
      <w:tr w14:paraId="03A0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3E575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nil"/>
              <w:left w:val="single" w:color="000000" w:sz="4" w:space="0"/>
              <w:bottom w:val="single" w:color="000000" w:sz="4" w:space="0"/>
              <w:right w:val="single" w:color="000000" w:sz="4" w:space="0"/>
            </w:tcBorders>
            <w:noWrap w:val="0"/>
            <w:vAlign w:val="center"/>
          </w:tcPr>
          <w:p w14:paraId="612C58AE">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left w:val="single" w:color="000000" w:sz="4" w:space="0"/>
              <w:bottom w:val="single" w:color="000000" w:sz="4" w:space="0"/>
              <w:right w:val="single" w:color="000000" w:sz="4" w:space="0"/>
            </w:tcBorders>
            <w:noWrap w:val="0"/>
            <w:vAlign w:val="center"/>
          </w:tcPr>
          <w:p w14:paraId="3172A1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8A2C212">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工作完成及时率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5402F8D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4E0EE33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4B732E61">
            <w:pPr>
              <w:keepNext w:val="0"/>
              <w:keepLines w:val="0"/>
              <w:pageBreakBefore w:val="0"/>
              <w:widowControl/>
              <w:kinsoku/>
              <w:wordWrap/>
              <w:overflowPunct/>
              <w:topLinePunct w:val="0"/>
              <w:autoSpaceDE/>
              <w:autoSpaceDN/>
              <w:bidi w:val="0"/>
              <w:adjustRightInd/>
              <w:snapToGrid/>
              <w:spacing w:line="300" w:lineRule="exact"/>
              <w:ind w:firstLine="457" w:firstLineChars="0"/>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71ACDC0B">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BEC30BA">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100%</w:t>
            </w:r>
          </w:p>
        </w:tc>
      </w:tr>
      <w:tr w14:paraId="6EF84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01E3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97A0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273" w:type="dxa"/>
            <w:vMerge w:val="restart"/>
            <w:tcBorders>
              <w:top w:val="single" w:color="000000" w:sz="4" w:space="0"/>
              <w:left w:val="single" w:color="000000" w:sz="4" w:space="0"/>
              <w:right w:val="single" w:color="000000" w:sz="4" w:space="0"/>
            </w:tcBorders>
            <w:noWrap w:val="0"/>
            <w:vAlign w:val="center"/>
          </w:tcPr>
          <w:p w14:paraId="1DC55E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社会效益</w:t>
            </w:r>
          </w:p>
          <w:p w14:paraId="64B72C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57F5AFF9">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降低运行成本</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52948655">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定性</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5A1610B5">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降低</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0CEBB3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6FB6AE1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D5EFDB0">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降低</w:t>
            </w:r>
          </w:p>
        </w:tc>
      </w:tr>
      <w:tr w14:paraId="01A8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CDBAA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9BEC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vMerge w:val="continue"/>
            <w:tcBorders>
              <w:top w:val="single" w:color="000000" w:sz="4" w:space="0"/>
              <w:left w:val="single" w:color="000000" w:sz="4" w:space="0"/>
              <w:right w:val="single" w:color="000000" w:sz="4" w:space="0"/>
            </w:tcBorders>
            <w:noWrap w:val="0"/>
            <w:vAlign w:val="center"/>
          </w:tcPr>
          <w:p w14:paraId="25DA989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2BD522C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有效保障公务出行</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9768B6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定性</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6275F90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有效</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44A7A59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546DCB9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55FE7C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有效</w:t>
            </w:r>
          </w:p>
        </w:tc>
      </w:tr>
      <w:tr w14:paraId="009B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C60A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2759B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25F43E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可持续发展指标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11552285">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工作长效机制健全性</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38EE9E6">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定性</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120F69CE">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健全</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8AB10E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7D8A900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EB3FE4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健全</w:t>
            </w:r>
          </w:p>
        </w:tc>
      </w:tr>
      <w:tr w14:paraId="49BFF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B3DE2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right w:val="single" w:color="000000" w:sz="4" w:space="0"/>
            </w:tcBorders>
            <w:noWrap w:val="0"/>
            <w:vAlign w:val="center"/>
          </w:tcPr>
          <w:p w14:paraId="3E3EF2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6ECE4D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3147F530">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群众满意度</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0658D3C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01C3E13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98</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28FBEC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4E574E3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672AF3E">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98%</w:t>
            </w:r>
          </w:p>
        </w:tc>
      </w:tr>
      <w:tr w14:paraId="6C0E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jc w:val="center"/>
        </w:trPr>
        <w:tc>
          <w:tcPr>
            <w:tcW w:w="1309" w:type="dxa"/>
            <w:tcBorders>
              <w:top w:val="single" w:color="000000" w:sz="4" w:space="0"/>
              <w:left w:val="single" w:color="000000" w:sz="4" w:space="0"/>
              <w:bottom w:val="single" w:color="000000" w:sz="4" w:space="0"/>
              <w:right w:val="single" w:color="000000" w:sz="4" w:space="0"/>
            </w:tcBorders>
            <w:noWrap w:val="0"/>
            <w:vAlign w:val="center"/>
          </w:tcPr>
          <w:p w14:paraId="63C35DB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left w:val="single" w:color="000000" w:sz="4" w:space="0"/>
              <w:bottom w:val="single" w:color="000000" w:sz="4" w:space="0"/>
              <w:right w:val="single" w:color="000000" w:sz="4" w:space="0"/>
            </w:tcBorders>
            <w:noWrap w:val="0"/>
            <w:vAlign w:val="center"/>
          </w:tcPr>
          <w:p w14:paraId="078CAF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66571C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4A8954BB">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上级部门和相关单位满意度</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3843887">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7F74F68F">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98</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B9EF253">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60491EAB">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8008FBA">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cs="Times New Roman"/>
                <w:i w:val="0"/>
                <w:color w:val="000000"/>
                <w:sz w:val="24"/>
                <w:szCs w:val="24"/>
                <w:u w:val="none"/>
                <w:lang w:val="en-US" w:eastAsia="zh-CN"/>
              </w:rPr>
            </w:pPr>
            <w:r>
              <w:rPr>
                <w:rFonts w:hint="eastAsia" w:ascii="Times New Roman" w:hAnsi="Times New Roman" w:cs="Times New Roman"/>
                <w:i w:val="0"/>
                <w:color w:val="000000"/>
                <w:sz w:val="24"/>
                <w:szCs w:val="24"/>
                <w:u w:val="none"/>
                <w:lang w:val="en-US" w:eastAsia="zh-CN"/>
              </w:rPr>
              <w:t>98%</w:t>
            </w:r>
          </w:p>
        </w:tc>
      </w:tr>
    </w:tbl>
    <w:p w14:paraId="6C1F7E42">
      <w:pPr>
        <w:pStyle w:val="2"/>
        <w:rPr>
          <w:rFonts w:hint="default"/>
          <w:lang w:val="en-US" w:eastAsia="zh-CN"/>
        </w:rPr>
      </w:pPr>
    </w:p>
    <w:p w14:paraId="14A7F7C8">
      <w:pPr>
        <w:rPr>
          <w:rFonts w:hint="default"/>
          <w:lang w:val="en-US" w:eastAsia="zh-CN"/>
        </w:rPr>
      </w:pPr>
    </w:p>
    <w:p w14:paraId="6E70870F">
      <w:pPr>
        <w:pStyle w:val="39"/>
        <w:keepNext w:val="0"/>
        <w:keepLines w:val="0"/>
        <w:pageBreakBefore w:val="0"/>
        <w:widowControl w:val="0"/>
        <w:kinsoku/>
        <w:wordWrap/>
        <w:overflowPunct/>
        <w:topLinePunct w:val="0"/>
        <w:autoSpaceDE/>
        <w:autoSpaceDN/>
        <w:bidi w:val="0"/>
        <w:spacing w:line="578" w:lineRule="exact"/>
        <w:ind w:left="0" w:leftChars="0"/>
        <w:jc w:val="both"/>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19FDC9FF">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3D878DCF">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（2024年公车运行经费）</w:t>
      </w:r>
    </w:p>
    <w:p w14:paraId="58501F2D">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0B2D56F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5AFA859B">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机关事务服务中心自2021年成立以来，承接了全县公务用车管理</w:t>
      </w:r>
      <w:r>
        <w:rPr>
          <w:rFonts w:hint="eastAsia" w:ascii="方正仿宋_GBK" w:hAnsi="方正仿宋_GBK" w:eastAsia="方正仿宋_GBK" w:cs="方正仿宋_GBK"/>
          <w:color w:val="000000"/>
          <w:kern w:val="0"/>
          <w:sz w:val="32"/>
          <w:szCs w:val="32"/>
          <w:highlight w:val="none"/>
          <w:lang w:val="en-US" w:eastAsia="zh-CN" w:bidi="ar"/>
        </w:rPr>
        <w:t>工作。为全面推进公务用车制度改革，规范公务用车运行管理，有效降低运行成本，按照省市公车改革文件精神，积极组建公务用车平台，切实保障公务用车有效出行。</w:t>
      </w:r>
    </w:p>
    <w:p w14:paraId="2A1537E9">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default" w:ascii="方正楷体_GBK" w:hAnsi="方正楷体_GBK" w:eastAsia="方正楷体_GBK" w:cs="方正楷体_GBK"/>
          <w:b/>
          <w:color w:val="auto"/>
          <w:sz w:val="32"/>
          <w:szCs w:val="32"/>
          <w:highlight w:val="none"/>
          <w:u w:val="none"/>
          <w:lang w:val="en-US" w:eastAsia="zh-CN"/>
        </w:rPr>
        <w:t>实施目的及支持方向</w:t>
      </w:r>
      <w:r>
        <w:rPr>
          <w:rFonts w:hint="eastAsia" w:ascii="方正楷体_GBK" w:hAnsi="方正楷体_GBK" w:eastAsia="方正楷体_GBK" w:cs="方正楷体_GBK"/>
          <w:b/>
          <w:color w:val="auto"/>
          <w:sz w:val="32"/>
          <w:szCs w:val="32"/>
          <w:highlight w:val="none"/>
          <w:u w:val="none"/>
          <w:lang w:val="en-US" w:eastAsia="zh-CN"/>
        </w:rPr>
        <w:t>。</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21A7DF9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default"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eastAsia="zh-CN"/>
        </w:rPr>
        <w:t>（三）</w:t>
      </w:r>
      <w:r>
        <w:rPr>
          <w:rFonts w:hint="default"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sz w:val="32"/>
          <w:szCs w:val="32"/>
          <w:highlight w:val="none"/>
          <w:lang w:val="zh-CN" w:eastAsia="zh-CN"/>
        </w:rPr>
        <w:t>项目预算安排</w:t>
      </w:r>
      <w:r>
        <w:rPr>
          <w:rFonts w:hint="eastAsia" w:ascii="方正仿宋_GBK" w:hAnsi="方正仿宋_GBK" w:eastAsia="方正仿宋_GBK" w:cs="方正仿宋_GBK"/>
          <w:sz w:val="32"/>
          <w:szCs w:val="32"/>
          <w:highlight w:val="none"/>
          <w:lang w:val="en-US" w:eastAsia="zh-CN"/>
        </w:rPr>
        <w:t>县级财政资金580.63万元</w:t>
      </w:r>
      <w:r>
        <w:rPr>
          <w:rFonts w:hint="eastAsia" w:ascii="方正仿宋_GBK" w:hAnsi="方正仿宋_GBK" w:eastAsia="方正仿宋_GBK" w:cs="方正仿宋_GBK"/>
          <w:sz w:val="32"/>
          <w:szCs w:val="32"/>
          <w:highlight w:val="none"/>
          <w:lang w:val="zh-CN" w:eastAsia="zh-CN"/>
        </w:rPr>
        <w:t>，</w:t>
      </w:r>
      <w:r>
        <w:rPr>
          <w:rFonts w:hint="eastAsia" w:ascii="方正仿宋_GBK" w:hAnsi="方正仿宋_GBK" w:eastAsia="方正仿宋_GBK" w:cs="方正仿宋_GBK"/>
          <w:sz w:val="32"/>
          <w:szCs w:val="32"/>
          <w:highlight w:val="none"/>
          <w:lang w:val="en-US" w:eastAsia="zh-CN"/>
        </w:rPr>
        <w:t>主要用于公务用车燃油费、维修费、保险费等。</w:t>
      </w:r>
    </w:p>
    <w:p w14:paraId="641A3C3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17AB4D0D">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项目整体</w:t>
      </w:r>
      <w:r>
        <w:rPr>
          <w:rFonts w:hint="eastAsia" w:ascii="方正仿宋_GBK" w:hAnsi="方正仿宋_GBK" w:eastAsia="方正仿宋_GBK" w:cs="方正仿宋_GBK"/>
          <w:sz w:val="32"/>
          <w:szCs w:val="32"/>
          <w:highlight w:val="none"/>
          <w:lang w:val="en-US" w:eastAsia="zh-CN"/>
        </w:rPr>
        <w:t>目标：确保全县69辆公务用车正常运行及党政机关公务出行。</w:t>
      </w:r>
    </w:p>
    <w:p w14:paraId="7C80B03D">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2.产出数量：公务用车运行车辆69辆；</w:t>
      </w:r>
    </w:p>
    <w:p w14:paraId="770BB8A3">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3.产出质量：工资发放率、车辆运转率100%；</w:t>
      </w:r>
    </w:p>
    <w:p w14:paraId="5794800E">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4.产出时效：车辆调度及时率100%；</w:t>
      </w:r>
    </w:p>
    <w:p w14:paraId="41F75743">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5.社会效益：车辆利用率100%；</w:t>
      </w:r>
    </w:p>
    <w:p w14:paraId="61472A8D">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6.可持续影响：提高工作质量、建立保障标准；</w:t>
      </w:r>
    </w:p>
    <w:p w14:paraId="38A8DABA">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7.满意度：上级部门和相关单位满意度：达98%以上；</w:t>
      </w:r>
    </w:p>
    <w:p w14:paraId="034C066B">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8.经济成本控制范围小于580.63万元。</w:t>
      </w:r>
    </w:p>
    <w:p w14:paraId="60778812">
      <w:pPr>
        <w:keepNext w:val="0"/>
        <w:keepLines w:val="0"/>
        <w:pageBreakBefore w:val="0"/>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zh-CN" w:eastAsia="zh-CN"/>
        </w:rPr>
        <w:t>项目自评工作开展情况：</w:t>
      </w:r>
      <w:r>
        <w:rPr>
          <w:rFonts w:hint="eastAsia" w:ascii="方正仿宋_GBK" w:hAnsi="方正仿宋_GBK" w:eastAsia="方正仿宋_GBK" w:cs="方正仿宋_GBK"/>
          <w:sz w:val="32"/>
          <w:szCs w:val="32"/>
          <w:highlight w:val="none"/>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sz w:val="32"/>
          <w:szCs w:val="32"/>
          <w:highlight w:val="none"/>
          <w:lang w:val="zh-CN" w:eastAsia="zh-CN"/>
        </w:rPr>
        <w:t>成立绩效目标自评小组，评价小组根据</w:t>
      </w:r>
      <w:r>
        <w:rPr>
          <w:rFonts w:hint="eastAsia" w:ascii="方正仿宋_GBK" w:hAnsi="方正仿宋_GBK" w:eastAsia="方正仿宋_GBK" w:cs="方正仿宋_GBK"/>
          <w:sz w:val="32"/>
          <w:szCs w:val="32"/>
          <w:highlight w:val="none"/>
          <w:lang w:val="en-US" w:eastAsia="zh-CN"/>
        </w:rPr>
        <w:t>专项预算项目绩效评价体系</w:t>
      </w:r>
      <w:r>
        <w:rPr>
          <w:rFonts w:hint="eastAsia" w:ascii="方正仿宋_GBK" w:hAnsi="方正仿宋_GBK" w:eastAsia="方正仿宋_GBK" w:cs="方正仿宋_GBK"/>
          <w:sz w:val="32"/>
          <w:szCs w:val="32"/>
          <w:highlight w:val="none"/>
          <w:lang w:val="zh-CN" w:eastAsia="zh-CN"/>
        </w:rPr>
        <w:t>开展分析评价，确保自评结果真实、客观、准确，最后归纳问题，分析原因，提出建议，形成最终自评报告。</w:t>
      </w:r>
    </w:p>
    <w:p w14:paraId="7B1471A4">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6CDC39A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78E6AB1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bCs/>
          <w:sz w:val="32"/>
          <w:szCs w:val="32"/>
          <w:lang w:val="zh-CN" w:eastAsia="zh-CN"/>
        </w:rPr>
        <w:t>（二）</w:t>
      </w:r>
      <w:r>
        <w:rPr>
          <w:rFonts w:hint="eastAsia" w:ascii="方正楷体_GBK" w:hAnsi="方正楷体_GBK" w:eastAsia="方正楷体_GBK" w:cs="方正楷体_GBK"/>
          <w:b/>
          <w:bCs/>
          <w:sz w:val="32"/>
          <w:szCs w:val="32"/>
          <w:lang w:val="en-US" w:eastAsia="zh-CN"/>
        </w:rPr>
        <w:t>预设问题及</w:t>
      </w:r>
      <w:r>
        <w:rPr>
          <w:rFonts w:hint="eastAsia" w:ascii="方正楷体_GBK" w:hAnsi="方正楷体_GBK" w:eastAsia="方正楷体_GBK" w:cs="方正楷体_GBK"/>
          <w:b/>
          <w:bCs/>
          <w:sz w:val="32"/>
          <w:szCs w:val="32"/>
          <w:lang w:val="zh-CN" w:eastAsia="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1273D7EE">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52230421">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5DF06FCA">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325B22C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0AA225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5BE93CD2">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6DE8E251">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5F612390">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21299EC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该项目通过年初预算批复后，根据项目推进情况申请资金下达，截至2024年底，资金到位580.63万元，已支出580.63万元，预算执行率100%。项目运行成本在可控制范围内。</w:t>
      </w:r>
    </w:p>
    <w:p w14:paraId="0AF8D32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通过该项目的实施，确保了全县重大会议及重大活动的顺利开展以及69辆公务用车的运行维护，达到了预期目标。提高了</w:t>
      </w:r>
      <w:r>
        <w:rPr>
          <w:rFonts w:hint="eastAsia" w:ascii="方正仿宋_GBK" w:hAnsi="方正仿宋_GBK" w:eastAsia="方正仿宋_GBK" w:cs="方正仿宋_GBK"/>
          <w:sz w:val="32"/>
          <w:szCs w:val="32"/>
          <w:highlight w:val="none"/>
        </w:rPr>
        <w:t>广大人民群众</w:t>
      </w:r>
      <w:r>
        <w:rPr>
          <w:rFonts w:hint="eastAsia" w:ascii="方正仿宋_GBK" w:hAnsi="方正仿宋_GBK" w:eastAsia="方正仿宋_GBK" w:cs="方正仿宋_GBK"/>
          <w:sz w:val="32"/>
          <w:szCs w:val="32"/>
          <w:highlight w:val="none"/>
          <w:lang w:val="en-US" w:eastAsia="zh-CN"/>
        </w:rPr>
        <w:t>对党和国家政策的知晓度，提高了工作质量，建立了保障标准，切实提升了群众的获得感与满意度。</w:t>
      </w:r>
    </w:p>
    <w:p w14:paraId="169C764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71026AA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2024年公务用车运行经费项目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34A3D0D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2024年我单位公务用车运行经费严格按规定用途、适用范围进行本单位专项资金分配，资金管理和资金分配符合专项资金管理要求。</w:t>
      </w:r>
    </w:p>
    <w:p w14:paraId="4CB4D97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18993B2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2024年我单位公务用车运行正常，日常调度及时，有效保障了机关公务出行。</w:t>
      </w:r>
    </w:p>
    <w:p w14:paraId="2A71E295">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815584D">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6FE705A8">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9A19525">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37121569">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078BE57B">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DBC093A">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方正仿宋_GBK" w:hAnsi="方正仿宋_GBK" w:eastAsia="方正仿宋_GBK" w:cs="方正仿宋_GBK"/>
          <w:b w:val="0"/>
          <w:bCs/>
          <w:color w:val="auto"/>
          <w:sz w:val="32"/>
          <w:szCs w:val="32"/>
          <w:highlight w:val="none"/>
          <w:lang w:val="en-US" w:eastAsia="zh-CN"/>
        </w:rPr>
      </w:pPr>
      <w:r>
        <w:rPr>
          <w:rFonts w:hint="eastAsia" w:ascii="方正仿宋_GBK" w:hAnsi="方正仿宋_GBK" w:eastAsia="方正仿宋_GBK" w:cs="方正仿宋_GBK"/>
          <w:b w:val="0"/>
          <w:bCs/>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158E7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54169965">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hint="eastAsia" w:ascii="方正小标宋简体" w:hAnsi="方正小标宋简体" w:eastAsia="方正小标宋简体" w:cs="方正小标宋简体"/>
                <w:i w:val="0"/>
                <w:color w:val="000000"/>
                <w:kern w:val="0"/>
                <w:sz w:val="40"/>
                <w:szCs w:val="40"/>
                <w:u w:val="none"/>
                <w:lang w:val="en-US" w:eastAsia="zh-CN" w:bidi="ar"/>
              </w:rPr>
            </w:pPr>
          </w:p>
          <w:p w14:paraId="6D7DCAC2">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37F66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EAB30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01FD52">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2024年公车运行经费</w:t>
            </w:r>
          </w:p>
        </w:tc>
      </w:tr>
      <w:tr w14:paraId="40B0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064B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64E95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0F185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B5880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CB8FF8">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09A0A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DA34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1E217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27A8B4E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8C398A">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60420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3070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72EAD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18F7B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244F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FBB1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0E5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8AE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88D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0C8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1AD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11A6B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730E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8B52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0DD584">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25CE8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8F37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556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2063D6">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党政机关公务用车运行维护</w:t>
            </w:r>
          </w:p>
        </w:tc>
      </w:tr>
      <w:tr w14:paraId="1F118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B28A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8B0A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BCCCF3">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64146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843F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23FF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09E5E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65CE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7A8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24D748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CAC8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2E98F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580.63</w:t>
            </w:r>
          </w:p>
        </w:tc>
      </w:tr>
      <w:tr w14:paraId="5E862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01C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C881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BB55C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580.63</w:t>
            </w:r>
          </w:p>
        </w:tc>
      </w:tr>
      <w:tr w14:paraId="5DF4D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F972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66E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0FCE0A">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649E7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94A8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461A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17E0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71FF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3EEAA4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确保全县69辆公务用车正常运行及党政机关公务出行，保障管理人员工资正常发放。</w:t>
            </w:r>
          </w:p>
        </w:tc>
      </w:tr>
      <w:tr w14:paraId="6C61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3CBDF11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63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3C5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03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514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209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31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0E2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05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42BE4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D2EB4B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EA8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4176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2C5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公务用车运行车辆数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CB8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CF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69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142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辆</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5BF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307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69</w:t>
            </w:r>
          </w:p>
        </w:tc>
      </w:tr>
      <w:tr w14:paraId="1EEF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E5AFF2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F267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900F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E93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公务用车管理人员数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EE6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456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7F6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人数</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AD4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C1B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27</w:t>
            </w:r>
          </w:p>
        </w:tc>
      </w:tr>
      <w:tr w14:paraId="3BA4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42447F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EA7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AC5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409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工资发放率、车辆运转率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ADB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D76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DE5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7DC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2AE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7B37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8E7791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2B5265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C2C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816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车辆调度及时率、工资发放及时率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594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620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C15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B58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D66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08EA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480440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15601D8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7F0AF18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4EC2DB3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E9A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车辆利用率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12A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83A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23C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163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EE0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22EF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2B20D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75B8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B21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674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提高工作质量，建立保障标准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B2B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6F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高质量</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5EE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A3F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0BB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提高</w:t>
            </w:r>
          </w:p>
        </w:tc>
      </w:tr>
      <w:tr w14:paraId="7301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AA14D3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3DF928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1F4DED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3320FEC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3D9992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B43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上级部门和相关单位满意度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8F2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543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6A2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624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8AA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E02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9F77E9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E9E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75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085BD3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3A35D33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3D4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8A3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580.63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D02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27A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BED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580.63</w:t>
            </w:r>
          </w:p>
        </w:tc>
      </w:tr>
    </w:tbl>
    <w:p w14:paraId="2C7FBFF9">
      <w:pPr>
        <w:rPr>
          <w:rFonts w:hint="eastAsia"/>
        </w:rPr>
      </w:pPr>
    </w:p>
    <w:p w14:paraId="37D35305">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3E399DE0">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（公务用车购置费）</w:t>
      </w:r>
    </w:p>
    <w:p w14:paraId="5EAE01DE">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0E32668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33C42817">
      <w:pPr>
        <w:keepNext w:val="0"/>
        <w:keepLines w:val="0"/>
        <w:widowControl/>
        <w:suppressLineNumbers w:val="0"/>
        <w:ind w:firstLine="643" w:firstLineChars="200"/>
        <w:jc w:val="left"/>
        <w:rPr>
          <w:rFonts w:hint="default" w:ascii="仿宋_GB2312" w:hAnsi="仿宋_GB2312" w:eastAsia="仿宋_GB2312" w:cs="仿宋_GB2312"/>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color w:val="000000"/>
          <w:kern w:val="0"/>
          <w:sz w:val="31"/>
          <w:szCs w:val="31"/>
          <w:lang w:val="en-US" w:eastAsia="zh-CN" w:bidi="ar"/>
        </w:rPr>
        <w:t>单位</w:t>
      </w:r>
      <w:r>
        <w:rPr>
          <w:rFonts w:ascii="方正仿宋_GBK" w:hAnsi="方正仿宋_GBK" w:eastAsia="方正仿宋_GBK" w:cs="方正仿宋_GBK"/>
          <w:color w:val="000000"/>
          <w:kern w:val="0"/>
          <w:sz w:val="31"/>
          <w:szCs w:val="31"/>
          <w:lang w:val="en-US" w:eastAsia="zh-CN" w:bidi="ar"/>
        </w:rPr>
        <w:t>部分车辆使用年限较长、车况较差、安全性能较低</w:t>
      </w:r>
      <w:r>
        <w:rPr>
          <w:rFonts w:hint="eastAsia" w:ascii="方正仿宋_GBK" w:hAnsi="方正仿宋_GBK" w:eastAsia="方正仿宋_GBK" w:cs="方正仿宋_GBK"/>
          <w:color w:val="000000"/>
          <w:kern w:val="0"/>
          <w:sz w:val="31"/>
          <w:szCs w:val="31"/>
          <w:lang w:val="en-US" w:eastAsia="zh-CN" w:bidi="ar"/>
        </w:rPr>
        <w:t>，</w:t>
      </w:r>
      <w:r>
        <w:rPr>
          <w:rFonts w:hint="eastAsia" w:ascii="方正仿宋_GBK" w:hAnsi="方正仿宋_GBK" w:eastAsia="方正仿宋_GBK" w:cs="方正仿宋_GBK"/>
          <w:sz w:val="32"/>
          <w:szCs w:val="32"/>
          <w:highlight w:val="none"/>
          <w:lang w:val="en-US" w:eastAsia="zh-CN"/>
        </w:rPr>
        <w:t>为切实保障公务出行，购置10辆公务用车。</w:t>
      </w:r>
    </w:p>
    <w:p w14:paraId="101D199E">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项目实施目的是切实改善公务用车安全性能低、车况差的问题，有效保障公务出行。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0690319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县级财政资金194万元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主要用于公务用车的购置费以及车辆上户、税费以及保险费等。</w:t>
      </w:r>
    </w:p>
    <w:p w14:paraId="7ACD1F1E">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2AFA4B7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目标：严格执行相关政策，购置更新8台1.8L以下国产新能源轿车和2台3.5L以下国产新能源越野车。</w:t>
      </w:r>
    </w:p>
    <w:p w14:paraId="388518C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2.产出数量：购置更新车辆数10辆；</w:t>
      </w:r>
    </w:p>
    <w:p w14:paraId="011DC0F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3.产出质量：质量合格率100%；验收合格率100%；</w:t>
      </w:r>
    </w:p>
    <w:p w14:paraId="4BB6637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4.产出时效：车辆更新及时率100%；</w:t>
      </w:r>
    </w:p>
    <w:p w14:paraId="5F77567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5.社会效益：保障公务出行、提高公车使用效能；</w:t>
      </w:r>
    </w:p>
    <w:p w14:paraId="6FF97BE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6.可持续影响：强化公车运行监管；</w:t>
      </w:r>
    </w:p>
    <w:p w14:paraId="7FE5E14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7.满意度：相关单位和服务对象满意度达98%以上；</w:t>
      </w:r>
    </w:p>
    <w:p w14:paraId="61CC7EB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8.经济成本控制范围小于194万元。</w:t>
      </w:r>
    </w:p>
    <w:p w14:paraId="7F2CAA5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17A1F42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666D7F8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2752F73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4AEA61D3">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263B1203">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10BD3B3D">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634E2DF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62D9D05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20D45CF6">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6E80310E">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37D50C1B">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16006C3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该项目通过年初预算批复后，根据项目推进情况申请资金下达，截至2024年底，资金到位194万元，已支出193.04万元，预算执行率99.51%。年末收回剩余额度。项目运行成本在可控制范围内。</w:t>
      </w:r>
    </w:p>
    <w:p w14:paraId="65DC653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通过该项目的实施，有效保障了公务出行，达到了预期目标。截至评价日，该项目已完工。</w:t>
      </w:r>
    </w:p>
    <w:p w14:paraId="5E27E6A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4995765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2024年公务用车购置费项目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468C8EB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2024年我单位公务用车购置费严格按规定用途、适用范围进行本单位专项资金分配，资金管理和资金分配符合专项资金管理要求。</w:t>
      </w:r>
    </w:p>
    <w:p w14:paraId="0286BF7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2579CD6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2024年我单位购置公务用车10辆，严格按照采购流程购置公务用车，控制在车辆正常编制范围内，配备标准符合公务用车配备标准。公务用车运行正常，日常调度及时，有效保障了机关公务出行。</w:t>
      </w:r>
    </w:p>
    <w:p w14:paraId="6BDD1B88">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3BE9673">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01A9E917">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60A6FF9B">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583F45DF">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1E15E67B">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A38E839">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p w14:paraId="6E1521DF">
      <w:pPr>
        <w:bidi w:val="0"/>
        <w:rPr>
          <w:rFonts w:hint="default" w:asciiTheme="minorHAnsi" w:hAnsiTheme="minorHAnsi" w:eastAsiaTheme="minorEastAsia" w:cstheme="minorBidi"/>
          <w:kern w:val="2"/>
          <w:sz w:val="21"/>
          <w:szCs w:val="24"/>
          <w:lang w:val="en-US" w:eastAsia="zh-CN" w:bidi="ar-SA"/>
        </w:rPr>
      </w:pPr>
    </w:p>
    <w:p w14:paraId="413566D9">
      <w:pPr>
        <w:rPr>
          <w:rFonts w:hint="default"/>
          <w:lang w:val="en-US" w:eastAsia="zh-CN"/>
        </w:rPr>
      </w:pPr>
      <w:r>
        <w:rPr>
          <w:rFonts w:hint="eastAsia"/>
          <w:lang w:val="en-US" w:eastAsia="zh-CN"/>
        </w:rPr>
        <w:tab/>
      </w:r>
    </w:p>
    <w:p w14:paraId="649BC3FD">
      <w:pPr>
        <w:tabs>
          <w:tab w:val="left" w:pos="711"/>
        </w:tabs>
        <w:bidi w:val="0"/>
        <w:jc w:val="left"/>
        <w:rPr>
          <w:rFonts w:hint="default"/>
          <w:lang w:val="en-US" w:eastAsia="zh-CN"/>
        </w:rPr>
      </w:pP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383B7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2D084222">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44CCF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80DF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DE233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公务用车购置费</w:t>
            </w:r>
          </w:p>
        </w:tc>
      </w:tr>
      <w:tr w14:paraId="07A4F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815D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1DE761">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32DF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8E03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F6A700">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5B514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58E9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6CA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7DDA47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E70533">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D821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13FA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E9E75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567B7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2023</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109号</w:t>
            </w:r>
          </w:p>
        </w:tc>
      </w:tr>
      <w:tr w14:paraId="5EB4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2C7B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EE451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40C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4FCE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66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CDF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535CE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3CF6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492F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F52A3B">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2023</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109号</w:t>
            </w:r>
          </w:p>
        </w:tc>
      </w:tr>
      <w:tr w14:paraId="0BA0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753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36D4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961174">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公务用车购置、车辆入户、税费及保险费</w:t>
            </w:r>
          </w:p>
        </w:tc>
      </w:tr>
      <w:tr w14:paraId="7A3B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C073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B4571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44A39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95F1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6C4B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770E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909829">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12379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957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2B74DD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161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E88FF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194</w:t>
            </w:r>
          </w:p>
        </w:tc>
      </w:tr>
      <w:tr w14:paraId="7CBD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D077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FC35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B0192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194</w:t>
            </w:r>
          </w:p>
        </w:tc>
      </w:tr>
      <w:tr w14:paraId="1B473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AA51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1FE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1291C3">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633F0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632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EA39C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34D1F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82ED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DB24D1">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购置公务用车10辆，保障公务出行。</w:t>
            </w:r>
          </w:p>
        </w:tc>
      </w:tr>
      <w:tr w14:paraId="6EA4F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056B42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5A0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9A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C3B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E3F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5C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0F8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D5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86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1812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13F499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B2BD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F0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00D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购置更新车辆数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23E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991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CD8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辆</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E40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0AF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r>
      <w:tr w14:paraId="46A2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F67865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2C67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D1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6476">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质量合格率</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lang w:val="en-US" w:eastAsia="zh-CN"/>
              </w:rPr>
              <w:t>验收合格率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538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A9B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19B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22F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2F4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BCDD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4B3080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731336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00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5D1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车辆更新及时率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6A1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646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541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07F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680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3613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0B1A4B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5DDA56F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6F8991B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41FED6A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736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保障公务出行、提高公车使用效能</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C63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789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BF2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ABB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437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48F3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EFDB25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A51D33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2E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B83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强化公车运行监管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B93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12F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2A9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463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10D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5A59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CD871B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3E86854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428B0A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5F033A5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38FF10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EDB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相关单位和服务对象满意度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1C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212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88E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5FB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916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r>
      <w:tr w14:paraId="67828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60A959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06F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DD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3F0A227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4554AA7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A39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692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AF9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90A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54A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194</w:t>
            </w:r>
          </w:p>
        </w:tc>
      </w:tr>
    </w:tbl>
    <w:p w14:paraId="511349F1">
      <w:pPr>
        <w:pStyle w:val="2"/>
        <w:rPr>
          <w:rFonts w:hint="default"/>
          <w:lang w:val="en-US" w:eastAsia="zh-CN"/>
        </w:rPr>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pPr>
    </w:p>
    <w:p w14:paraId="39286497">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443F592B">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（2024年会议费）</w:t>
      </w:r>
    </w:p>
    <w:p w14:paraId="030FC2A0">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F8F2697">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73419DD6">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Fonts w:hint="eastAsia" w:ascii="方正仿宋_GBK" w:hAnsi="方正仿宋_GBK" w:eastAsia="方正仿宋_GBK" w:cs="方正仿宋_GBK"/>
          <w:sz w:val="32"/>
          <w:szCs w:val="32"/>
          <w:highlight w:val="none"/>
          <w:lang w:val="zh-CN"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会议费专项资金项目为一般行政管理事务，每年均有发生，确保全县各项会议正常运转。</w:t>
      </w:r>
    </w:p>
    <w:p w14:paraId="2BF5FEFF">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0ED47DE0">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sz w:val="32"/>
          <w:szCs w:val="32"/>
          <w:highlight w:val="none"/>
          <w:lang w:val="en-US" w:eastAsia="zh-CN"/>
        </w:rPr>
        <w:t>按照日常工作任务安排，在预算范围内向县财政部门申请资金计划，在财政资金计划批复后，及时按预算下达项目开展日常工作。</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县级财政资金350万元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主要用于会议布置，后勤保障、印发会议资料、发放务工补助等。</w:t>
      </w:r>
    </w:p>
    <w:p w14:paraId="65E33D78">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177D8D4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w:t>
      </w:r>
      <w:r>
        <w:rPr>
          <w:rFonts w:hint="eastAsia" w:ascii="方正仿宋_GBK" w:hAnsi="方正仿宋_GBK" w:eastAsia="方正仿宋_GBK" w:cs="方正仿宋_GBK"/>
          <w:sz w:val="32"/>
          <w:szCs w:val="32"/>
          <w:highlight w:val="none"/>
          <w:lang w:val="en-US" w:eastAsia="zh-CN"/>
        </w:rPr>
        <w:t>会议费项目的整体目标为维持全县各项会议工作良好的推进，确保各项会议正常运转，完善工作人员的工作环境。</w:t>
      </w:r>
    </w:p>
    <w:p w14:paraId="7294238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2.产出数量：会议召开次数3次，会议参加人数1500人；</w:t>
      </w:r>
    </w:p>
    <w:p w14:paraId="13C5564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3.产出质量：代表参会率90%，按计划完成各项会议议程100%；</w:t>
      </w:r>
    </w:p>
    <w:p w14:paraId="61E7203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4.产出时效：会议召开及时率100%；</w:t>
      </w:r>
    </w:p>
    <w:p w14:paraId="56C453B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5.社会效益：促进重大决策落实到位，推动经济、社会协调发展100%；</w:t>
      </w:r>
    </w:p>
    <w:p w14:paraId="26B1146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6.可持续影响：提高工作质量、建立保障标准；</w:t>
      </w:r>
    </w:p>
    <w:p w14:paraId="039E5A1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7.满意度：意见和建议答复、反馈，来信、来访接待达98%以上；</w:t>
      </w:r>
    </w:p>
    <w:p w14:paraId="57072B8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8.经济成本控制范围小于350万元。</w:t>
      </w:r>
    </w:p>
    <w:p w14:paraId="19651ED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7910850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C97F0B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szCs w:val="32"/>
          <w:lang w:val="en-US" w:eastAsia="zh-CN"/>
        </w:rPr>
        <w:t>一</w:t>
      </w: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lang w:eastAsia="zh-CN"/>
        </w:rPr>
        <w:t>通过绩效评价，考察项目的真实性、项目资金的到位率和使用率、项目执行的经济效益和社会效益，同时看到项目的问题及不足，不断调整和改进工作方法，查漏补缺，提高项目实施单位工作效率，为今后的项目实施提供参考，以制定更合理的项目计划方案。</w:t>
      </w:r>
    </w:p>
    <w:p w14:paraId="444E6008">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7A35F30F">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33AB8845">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68F61BD4">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4545468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EB1571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5205211B">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14A2BDF7">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1D0E7FF1">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7340947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该项目通过年初预算批复后，根据项目推进情况申请资金下达，截至2024年底，资金到位350万元，已支出350万元，预算执行率100%。项目运行成本在可控制范围内。</w:t>
      </w:r>
    </w:p>
    <w:p w14:paraId="11325FA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通过该项目的实施，确保了全县重大会议及重大活动的顺利开展，达到了预期目标。提高了</w:t>
      </w:r>
      <w:r>
        <w:rPr>
          <w:rFonts w:hint="eastAsia" w:ascii="方正仿宋_GBK" w:hAnsi="方正仿宋_GBK" w:eastAsia="方正仿宋_GBK" w:cs="方正仿宋_GBK"/>
          <w:sz w:val="32"/>
          <w:szCs w:val="32"/>
          <w:highlight w:val="none"/>
        </w:rPr>
        <w:t>广大人民群众</w:t>
      </w:r>
      <w:r>
        <w:rPr>
          <w:rFonts w:hint="eastAsia" w:ascii="方正仿宋_GBK" w:hAnsi="方正仿宋_GBK" w:eastAsia="方正仿宋_GBK" w:cs="方正仿宋_GBK"/>
          <w:sz w:val="32"/>
          <w:szCs w:val="32"/>
          <w:highlight w:val="none"/>
          <w:lang w:val="en-US" w:eastAsia="zh-CN"/>
        </w:rPr>
        <w:t>对党和国家政策的知晓度，提高了工作质量，建立了保障标准，切实提升了群众的获得感与满意度。</w:t>
      </w:r>
    </w:p>
    <w:p w14:paraId="36D257C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65E83B5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2024年会议费项目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235253F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2024年我单位会议费严格按规定用途、适用范围进行本单位专项资金分配，资金管理和资金分配符合专项资金管理要求。</w:t>
      </w:r>
    </w:p>
    <w:p w14:paraId="1B30986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73FC168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color w:val="auto"/>
          <w:sz w:val="32"/>
          <w:szCs w:val="32"/>
          <w:lang w:val="zh-CN" w:eastAsia="zh-CN"/>
        </w:rPr>
        <w:t>根据项目个性指标，</w:t>
      </w:r>
      <w:r>
        <w:rPr>
          <w:rFonts w:hint="eastAsia" w:ascii="方正仿宋_GBK" w:hAnsi="方正仿宋_GBK" w:eastAsia="方正仿宋_GBK" w:cs="方正仿宋_GBK"/>
          <w:color w:val="auto"/>
          <w:sz w:val="32"/>
          <w:szCs w:val="32"/>
          <w:lang w:val="en-US" w:eastAsia="zh-CN"/>
        </w:rPr>
        <w:t>2024年顺利召开全县人代会、政协会、代表出席率占90%，达到了预期目标，资金拨付也已到位。</w:t>
      </w:r>
    </w:p>
    <w:p w14:paraId="6AEC8D8A">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9E764A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3B7AE720">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3E764C8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zh-CN"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09EE017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zh-CN" w:eastAsia="zh-CN"/>
        </w:rPr>
      </w:pP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lang w:val="zh-CN" w:eastAsia="zh-CN"/>
        </w:rPr>
        <w:t>绩效指标编制不理想，绩效目标没有完全、完整反映项目的绩效目标，个别绩效指标量化程度不高，可考核性不强。</w:t>
      </w:r>
    </w:p>
    <w:p w14:paraId="24118255">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EBF14CB">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p w14:paraId="03C0E88F">
      <w:pPr>
        <w:bidi w:val="0"/>
        <w:rPr>
          <w:rFonts w:hint="default" w:asciiTheme="minorHAnsi" w:hAnsiTheme="minorHAnsi" w:eastAsiaTheme="minorEastAsia" w:cstheme="minorBidi"/>
          <w:kern w:val="2"/>
          <w:sz w:val="21"/>
          <w:szCs w:val="24"/>
          <w:lang w:val="en-US" w:eastAsia="zh-CN" w:bidi="ar-SA"/>
        </w:rPr>
      </w:pPr>
    </w:p>
    <w:p w14:paraId="61FF8E90">
      <w:pPr>
        <w:bidi w:val="0"/>
        <w:rPr>
          <w:rFonts w:hint="default"/>
          <w:lang w:val="en-US" w:eastAsia="zh-CN"/>
        </w:rPr>
      </w:pPr>
    </w:p>
    <w:p w14:paraId="3CA65377">
      <w:pPr>
        <w:tabs>
          <w:tab w:val="left" w:pos="1146"/>
        </w:tabs>
        <w:bidi w:val="0"/>
        <w:jc w:val="left"/>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lang w:val="en-US" w:eastAsia="zh-CN"/>
        </w:rPr>
        <w:tab/>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A5B8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2C9DA9C7">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872F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57EF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1514D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2024年会议费</w:t>
            </w:r>
          </w:p>
        </w:tc>
      </w:tr>
      <w:tr w14:paraId="2FBB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B60A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E36C1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0DAF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1DB7B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2D4177">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2D051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D04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0A3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290768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4E7D56">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0128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50A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0FF4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D27E01">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1D87E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D6A9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91DF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DC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A19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39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5B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2BCD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E14F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E2A27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C429D8">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0B70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10AC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B288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7573A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人大会、政协会会务费</w:t>
            </w:r>
          </w:p>
        </w:tc>
      </w:tr>
      <w:tr w14:paraId="255B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651B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C6BA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5F7BB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43FD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8649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AA37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7905C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2286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610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25E91F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C40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8CD3E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350</w:t>
            </w:r>
          </w:p>
        </w:tc>
      </w:tr>
      <w:tr w14:paraId="17F5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8BAF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808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9962D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350</w:t>
            </w:r>
          </w:p>
        </w:tc>
      </w:tr>
      <w:tr w14:paraId="1956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E39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7DE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3DAE79">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338EB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E3D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162A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7F84E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2B6E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693CA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保障全县人大会议、政协会议的顺利召开及重大活动的开展。</w:t>
            </w:r>
          </w:p>
        </w:tc>
      </w:tr>
      <w:tr w14:paraId="78E06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26C797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77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46A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F55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99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6B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AE6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78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AB0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459D1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E3DEB9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9DB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A6B7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0E3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会议参会人数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522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BB7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2CB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人数</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587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DC7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1500</w:t>
            </w:r>
          </w:p>
        </w:tc>
      </w:tr>
      <w:tr w14:paraId="56623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3B483E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249D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967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3B0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会议召开次数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9FD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598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38A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14D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CB3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3</w:t>
            </w:r>
          </w:p>
        </w:tc>
      </w:tr>
      <w:tr w14:paraId="29BDC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40FF64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936C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restart"/>
            <w:tcBorders>
              <w:top w:val="single" w:color="000000" w:sz="4" w:space="0"/>
              <w:left w:val="single" w:color="000000" w:sz="4" w:space="0"/>
              <w:right w:val="single" w:color="000000" w:sz="4" w:space="0"/>
            </w:tcBorders>
            <w:shd w:val="clear" w:color="auto" w:fill="auto"/>
            <w:vAlign w:val="center"/>
          </w:tcPr>
          <w:p w14:paraId="45D9196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923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代表参会率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0CB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BB4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319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F91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0A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7180E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D044CA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12A2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bottom w:val="single" w:color="000000" w:sz="4" w:space="0"/>
              <w:right w:val="single" w:color="000000" w:sz="4" w:space="0"/>
            </w:tcBorders>
            <w:shd w:val="clear" w:color="auto" w:fill="auto"/>
            <w:vAlign w:val="center"/>
          </w:tcPr>
          <w:p w14:paraId="22F275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01B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按计划完成各项会议议程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7D5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6B9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787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E1F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583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1DE8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580CA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D863B3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1E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024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会议召开及时率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655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759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E5C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BB4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1E1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FEA6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2003E8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1C6554D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370438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E5809B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C30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促进重大决策落实到位，推动经济、社会协调发展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F89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4BA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E22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B4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CA6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F5E3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3AC442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FEE3DC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2E8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588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提高工作质量，建立保障标准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036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0EC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46B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B25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337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104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EE2D9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4E5A15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20B941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5B6FC1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06A9E26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753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ascii="Segoe UI" w:hAnsi="Segoe UI" w:eastAsia="Segoe UI" w:cs="Segoe UI"/>
                <w:i w:val="0"/>
                <w:iCs w:val="0"/>
                <w:caps w:val="0"/>
                <w:color w:val="0F1115"/>
                <w:spacing w:val="0"/>
                <w:sz w:val="24"/>
                <w:szCs w:val="24"/>
                <w:shd w:val="clear" w:fill="FFFFFF"/>
              </w:rPr>
              <w:t>与会代表对会务组织工作的满意度≥98%。</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743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ACE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A26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1B3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BD7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3E11E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1B408E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F8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87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0F01B0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0FDAF38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会议活动经费控制范围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66B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691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350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EAF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8A0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A1F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350</w:t>
            </w:r>
          </w:p>
        </w:tc>
      </w:tr>
    </w:tbl>
    <w:p w14:paraId="5FB55DF1">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3886E5A4">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0E8BFA65">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（2024年集中办公区物业管理费）</w:t>
      </w:r>
    </w:p>
    <w:p w14:paraId="1AAEE45B">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541630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19EB94C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机关事务服务中心自2021年成立以来，承接了县委、县政府、县人大常委会、县政协集中办公区物业安保</w:t>
      </w:r>
      <w:r>
        <w:rPr>
          <w:rFonts w:hint="eastAsia" w:ascii="方正仿宋_GBK" w:hAnsi="方正仿宋_GBK" w:eastAsia="方正仿宋_GBK" w:cs="方正仿宋_GBK"/>
          <w:color w:val="000000"/>
          <w:kern w:val="0"/>
          <w:sz w:val="32"/>
          <w:szCs w:val="32"/>
          <w:highlight w:val="none"/>
          <w:lang w:val="en-US" w:eastAsia="zh-CN" w:bidi="ar"/>
        </w:rPr>
        <w:t>工作。为</w:t>
      </w:r>
      <w:r>
        <w:rPr>
          <w:rFonts w:hint="eastAsia" w:ascii="方正仿宋_GBK" w:hAnsi="方正仿宋_GBK" w:eastAsia="方正仿宋_GBK" w:cs="方正仿宋_GBK"/>
          <w:sz w:val="32"/>
          <w:szCs w:val="32"/>
          <w:highlight w:val="none"/>
          <w:lang w:val="en-US" w:eastAsia="zh-CN"/>
        </w:rPr>
        <w:t>保障县委、县政府集中办公区物业及安保人员工资及时、足额发放，确保县委、县政府、县人大常委会、县政协相对集中办公区域物业安保工作正常运转。</w:t>
      </w:r>
    </w:p>
    <w:p w14:paraId="4C63C068">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44E35C53">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zh-CN"/>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县级财政资金347.17万元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主要用于发放</w:t>
      </w:r>
      <w:r>
        <w:rPr>
          <w:rFonts w:hint="eastAsia" w:ascii="方正仿宋_GBK" w:hAnsi="方正仿宋_GBK" w:eastAsia="方正仿宋_GBK" w:cs="方正仿宋_GBK"/>
          <w:sz w:val="32"/>
          <w:szCs w:val="32"/>
          <w:highlight w:val="none"/>
          <w:lang w:val="en-US" w:eastAsia="zh-CN"/>
        </w:rPr>
        <w:t>物业人员的工资、办公费、管理费、水电气费及消防维护维保</w:t>
      </w:r>
      <w:r>
        <w:rPr>
          <w:rFonts w:hint="eastAsia" w:ascii="方正仿宋_GBK" w:hAnsi="方正仿宋_GBK" w:eastAsia="方正仿宋_GBK" w:cs="方正仿宋_GBK"/>
          <w:sz w:val="32"/>
          <w:szCs w:val="32"/>
          <w:highlight w:val="none"/>
        </w:rPr>
        <w:t>等</w:t>
      </w:r>
      <w:r>
        <w:rPr>
          <w:rFonts w:hint="eastAsia" w:ascii="方正仿宋_GBK" w:hAnsi="方正仿宋_GBK" w:eastAsia="方正仿宋_GBK" w:cs="方正仿宋_GBK"/>
          <w:sz w:val="32"/>
          <w:szCs w:val="32"/>
          <w:highlight w:val="none"/>
          <w:lang w:val="en-US" w:eastAsia="zh-CN"/>
        </w:rPr>
        <w:t>。</w:t>
      </w:r>
    </w:p>
    <w:p w14:paraId="446D27A5">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5AFDCC6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目标：确保县委、县政府、县人大常委会、县政协相对集中办公区域物业安保工作正常运转，发放物业人员工资及机关大院的消防维护维保等。</w:t>
      </w:r>
    </w:p>
    <w:p w14:paraId="51B5373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2.产出数量：物业管理面积10000平方米，物业人员91人；</w:t>
      </w:r>
    </w:p>
    <w:p w14:paraId="7251966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3.产出质量：安全保卫覆盖率100%；</w:t>
      </w:r>
    </w:p>
    <w:p w14:paraId="78F657A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4.产出时效：安全维稳及处理问题及时率100%；</w:t>
      </w:r>
    </w:p>
    <w:p w14:paraId="3FBC5E8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5.社会效益：100%保障县委、县政府的正常工作秩序；</w:t>
      </w:r>
    </w:p>
    <w:p w14:paraId="373B46A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6.可持续影响：100%提升办事效率，保障工作正常运转；</w:t>
      </w:r>
    </w:p>
    <w:p w14:paraId="6703881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7.满意度：上级部门和相关单位、群众满意度100%</w:t>
      </w:r>
    </w:p>
    <w:p w14:paraId="4DFD630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8.经济成本控制范围小于347.17万元。</w:t>
      </w:r>
    </w:p>
    <w:p w14:paraId="7CDB732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1C4B784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19527E4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eastAsia="仿宋_GB2312" w:cs="Times New Roman"/>
          <w:szCs w:val="32"/>
        </w:rPr>
      </w:pP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szCs w:val="32"/>
          <w:lang w:val="en-US" w:eastAsia="zh-CN"/>
        </w:rPr>
        <w:t>一</w:t>
      </w: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45D15DE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001DE6E7">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1D961912">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6B80AFA2">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Times New Roman" w:hAnsi="Times New Roman" w:eastAsia="仿宋_GB2312" w:cs="Times New Roman"/>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7A50191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15FD011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38F640DE">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70AA95EB">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2E17D199">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6028BB7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该项目通过年初预算批复后，根据项目推进情况申请资金下达，截至2024年底，资金到位347.17万元，已支出347.17万元，预算执行率100%。项目运行成本在可控制范围内。</w:t>
      </w:r>
    </w:p>
    <w:p w14:paraId="6EB9416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县委、县政府、县人大常委会、县政协相对集中办公区域物业安保工作正常运转，发放物业人员工资及机关大院的消防维护维保等。</w:t>
      </w:r>
      <w:r>
        <w:rPr>
          <w:rFonts w:hint="eastAsia" w:ascii="方正仿宋_GBK" w:hAnsi="方正仿宋_GBK" w:eastAsia="方正仿宋_GBK" w:cs="方正仿宋_GBK"/>
          <w:sz w:val="32"/>
          <w:szCs w:val="32"/>
          <w:highlight w:val="none"/>
          <w:lang w:val="en-US" w:eastAsia="zh-CN"/>
        </w:rPr>
        <w:t>提高了</w:t>
      </w:r>
      <w:r>
        <w:rPr>
          <w:rFonts w:hint="eastAsia" w:ascii="方正仿宋_GBK" w:hAnsi="方正仿宋_GBK" w:eastAsia="方正仿宋_GBK" w:cs="方正仿宋_GBK"/>
          <w:sz w:val="32"/>
          <w:szCs w:val="32"/>
          <w:highlight w:val="none"/>
        </w:rPr>
        <w:t>广大人民群众</w:t>
      </w:r>
      <w:r>
        <w:rPr>
          <w:rFonts w:hint="eastAsia" w:ascii="方正仿宋_GBK" w:hAnsi="方正仿宋_GBK" w:eastAsia="方正仿宋_GBK" w:cs="方正仿宋_GBK"/>
          <w:sz w:val="32"/>
          <w:szCs w:val="32"/>
          <w:highlight w:val="none"/>
          <w:lang w:val="en-US" w:eastAsia="zh-CN"/>
        </w:rPr>
        <w:t>对党和国家政策的知晓度，提高了工作质量，建立了保障标准，切实提升了群众的获得感与满意度。</w:t>
      </w:r>
    </w:p>
    <w:p w14:paraId="6339582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259094C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2024年集中办公区物业管理费项目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2C0019B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2024年我单位集中办公区物业管理费严格按规定用途、适用范围进行本单位专项资金分配，资金管理和资金分配符合专项资金管理要求。</w:t>
      </w:r>
    </w:p>
    <w:p w14:paraId="6DB3BFF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7D78DD8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2024年我单位物业服务覆盖率达100%，物业人员工资拨付及时，安全保卫工作正常运转，资金管理符合专项资金管理要求。</w:t>
      </w:r>
    </w:p>
    <w:p w14:paraId="586C2A6A">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D606F90">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15C843AC">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60D4B48">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737D0C25">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6C3D2362">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C4D73EB">
      <w:pPr>
        <w:pStyle w:val="2"/>
        <w:ind w:firstLine="640" w:firstLineChars="200"/>
        <w:rPr>
          <w:rFonts w:hint="eastAsia" w:ascii="方正仿宋_GBK" w:hAnsi="方正仿宋_GBK" w:eastAsia="方正仿宋_GBK" w:cs="方正仿宋_GBK"/>
          <w:b w:val="0"/>
          <w:bCs/>
          <w:color w:val="auto"/>
          <w:sz w:val="32"/>
          <w:szCs w:val="32"/>
          <w:highlight w:val="none"/>
          <w:lang w:val="en-US" w:eastAsia="zh-CN"/>
        </w:rPr>
      </w:pPr>
      <w:r>
        <w:rPr>
          <w:rFonts w:hint="eastAsia" w:ascii="方正仿宋_GBK" w:hAnsi="方正仿宋_GBK" w:eastAsia="方正仿宋_GBK" w:cs="方正仿宋_GBK"/>
          <w:b w:val="0"/>
          <w:bCs/>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93B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4E0E6A32">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3FA4B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49AF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DE63E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2024年集中办公区物业管理费</w:t>
            </w:r>
          </w:p>
        </w:tc>
      </w:tr>
      <w:tr w14:paraId="1B18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108D9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E5B97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6DFF3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0447A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C880E5">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72947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E75A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4FD32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46A50D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20A6A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3EA0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C770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A5DB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D0452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1142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48FA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1421C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5D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C13B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37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2E4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1FF8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28A3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391E1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48598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336C4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1DBD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6619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02BAE3">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集中办公区物业管理</w:t>
            </w:r>
          </w:p>
        </w:tc>
      </w:tr>
      <w:tr w14:paraId="4B523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0D74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6B89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6618B6">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5BB4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ED73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FBFF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24E3B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6255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DEA1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4DECE0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9F27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9C940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347.17</w:t>
            </w:r>
          </w:p>
        </w:tc>
      </w:tr>
      <w:tr w14:paraId="273A3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5711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B2CB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76C37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347.17</w:t>
            </w:r>
          </w:p>
        </w:tc>
      </w:tr>
      <w:tr w14:paraId="4E4E1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54F7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63E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C72FCD">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11A9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C3E2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D5CA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0F13E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87F6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D25A5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确保</w:t>
            </w:r>
            <w:r>
              <w:rPr>
                <w:rFonts w:hint="eastAsia" w:ascii="宋体" w:hAnsi="宋体" w:cs="宋体"/>
                <w:i w:val="0"/>
                <w:color w:val="000000"/>
                <w:sz w:val="24"/>
                <w:szCs w:val="24"/>
                <w:u w:val="none"/>
                <w:lang w:eastAsia="zh-CN"/>
              </w:rPr>
              <w:t>县委、县政府、县人大常委会、县政协</w:t>
            </w:r>
            <w:r>
              <w:rPr>
                <w:rFonts w:hint="eastAsia" w:ascii="宋体" w:hAnsi="宋体" w:eastAsia="宋体" w:cs="宋体"/>
                <w:i w:val="0"/>
                <w:color w:val="000000"/>
                <w:sz w:val="24"/>
                <w:szCs w:val="24"/>
                <w:u w:val="none"/>
              </w:rPr>
              <w:t>相对集中办公区域物业安保工作正常运转，发放物业人员工资及机关大院的消防维护维保等。</w:t>
            </w:r>
          </w:p>
        </w:tc>
      </w:tr>
      <w:tr w14:paraId="47357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56C654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8C8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0AE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85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F5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7D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3C7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2C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17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7C5F6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2944EF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DBA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36D4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0DED">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物业管理面积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60D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C39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BC9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平方米</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BD3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5C0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10000</w:t>
            </w:r>
          </w:p>
        </w:tc>
      </w:tr>
      <w:tr w14:paraId="0F39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C1FB40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717D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8AAF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63F2">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物业管理人数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91F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C36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B0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人数</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334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832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91</w:t>
            </w:r>
          </w:p>
        </w:tc>
      </w:tr>
      <w:tr w14:paraId="68BE9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7AA841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B428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5D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030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安全保卫覆盖率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01D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578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10A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5A7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727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D68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140944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A8C655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6C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C4B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安全维稳及处理问题及时率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900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EDD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D76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82C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95F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337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CA7DBB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15D4B5F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222157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342E24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B52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w:t>
            </w:r>
            <w:r>
              <w:rPr>
                <w:rFonts w:hint="eastAsia" w:ascii="宋体" w:hAnsi="宋体" w:cs="宋体"/>
                <w:i w:val="0"/>
                <w:color w:val="000000"/>
                <w:sz w:val="24"/>
                <w:szCs w:val="24"/>
                <w:u w:val="none"/>
                <w:lang w:eastAsia="zh-CN"/>
              </w:rPr>
              <w:t>县委、县政府</w:t>
            </w:r>
            <w:r>
              <w:rPr>
                <w:rFonts w:hint="eastAsia" w:ascii="宋体" w:hAnsi="宋体" w:eastAsia="宋体" w:cs="宋体"/>
                <w:i w:val="0"/>
                <w:color w:val="000000"/>
                <w:sz w:val="24"/>
                <w:szCs w:val="24"/>
                <w:u w:val="none"/>
              </w:rPr>
              <w:t>的正常工作秩序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757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BB9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ED5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DA5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EBA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7903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FF69DB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99C541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988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D83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提升办事效率，保障工作正常运转</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73F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1D4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139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DD0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B97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21223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FD5EB2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0F603B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7208DBD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6BA25F5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5AC348D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62C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上级部门和相关单位、群众满意度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DA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A5A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09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1A8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E76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8F0B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0A3BEF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B7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80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5FAA76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3DB1693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E69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40D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347.17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36E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622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BF7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347.17</w:t>
            </w:r>
          </w:p>
        </w:tc>
      </w:tr>
    </w:tbl>
    <w:p w14:paraId="0AADA8DF">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1832D231">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专项预算项目绩效评价报告</w:t>
      </w:r>
    </w:p>
    <w:p w14:paraId="2FD2AF27">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（2024年建设项目经费）</w:t>
      </w:r>
    </w:p>
    <w:p w14:paraId="4641351C">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4F860AE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3401A1B9">
      <w:pPr>
        <w:keepNext w:val="0"/>
        <w:keepLines w:val="0"/>
        <w:widowControl/>
        <w:suppressLineNumbers w:val="0"/>
        <w:ind w:firstLine="643" w:firstLineChars="200"/>
        <w:jc w:val="left"/>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充电桩建设资金的设立背景是《达州市公共机构节能工作协调小组办公室关于2023年公共机构节约能源资源和生态环境保护工作安排的通知》（达市公节办〔2023〕1号）文件，</w:t>
      </w:r>
      <w:r>
        <w:rPr>
          <w:rFonts w:hint="eastAsia" w:ascii="方正仿宋_GBK" w:hAnsi="方正仿宋_GBK" w:eastAsia="方正仿宋_GBK" w:cs="方正仿宋_GBK"/>
          <w:color w:val="000000"/>
          <w:kern w:val="0"/>
          <w:sz w:val="32"/>
          <w:szCs w:val="32"/>
          <w:lang w:val="en-US" w:eastAsia="zh-CN" w:bidi="ar"/>
        </w:rPr>
        <w:t>聚焦公共机构绿色低碳转型，实施全面节约战略，倡导绿色消费理念，开展绿色低碳行动，培育绿色低碳生产方式和生活方式，稳步推进公共机构能源资源节约和生态环境保护工作高质量发展，充分发挥公共机构的示范引领作用。</w:t>
      </w:r>
      <w:r>
        <w:rPr>
          <w:rFonts w:hint="eastAsia" w:ascii="方正仿宋_GBK" w:hAnsi="方正仿宋_GBK" w:eastAsia="方正仿宋_GBK" w:cs="方正仿宋_GBK"/>
          <w:sz w:val="32"/>
          <w:szCs w:val="32"/>
          <w:highlight w:val="none"/>
          <w:lang w:val="en-US" w:eastAsia="zh-CN"/>
        </w:rPr>
        <w:t>下达任务在全县建成充电桩50个。</w:t>
      </w:r>
    </w:p>
    <w:p w14:paraId="4AE6C858">
      <w:pPr>
        <w:keepNext w:val="0"/>
        <w:keepLines w:val="0"/>
        <w:widowControl/>
        <w:suppressLineNumbers w:val="0"/>
        <w:ind w:firstLine="643" w:firstLineChars="200"/>
        <w:jc w:val="left"/>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color w:val="000000"/>
          <w:kern w:val="0"/>
          <w:sz w:val="32"/>
          <w:szCs w:val="32"/>
          <w:lang w:val="en-US" w:eastAsia="zh-CN" w:bidi="ar"/>
        </w:rPr>
        <w:t>建成一批节约型机关、节约型示范单位、节水型单位，积极争创能效领跑者、绿色低碳示范单位</w:t>
      </w:r>
      <w:r>
        <w:rPr>
          <w:rFonts w:hint="eastAsia"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color w:val="000000"/>
          <w:kern w:val="0"/>
          <w:sz w:val="32"/>
          <w:szCs w:val="32"/>
          <w:lang w:val="en-US" w:eastAsia="zh-CN" w:bidi="ar"/>
        </w:rPr>
        <w:t>超额完成人均综合能耗、单位建筑面积能耗、人均用水量、单位建筑面积碳排放同比下降1.1%、1.1%、1.6%、1.6%的节能目标。</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374811CD">
      <w:pPr>
        <w:keepNext w:val="0"/>
        <w:keepLines w:val="0"/>
        <w:pageBreakBefore w:val="0"/>
        <w:kinsoku/>
        <w:wordWrap/>
        <w:overflowPunct/>
        <w:topLinePunct w:val="0"/>
        <w:autoSpaceDE/>
        <w:autoSpaceDN/>
        <w:bidi w:val="0"/>
        <w:adjustRightInd w:val="0"/>
        <w:snapToGrid w:val="0"/>
        <w:spacing w:line="578" w:lineRule="exact"/>
        <w:ind w:firstLine="720"/>
        <w:textAlignment w:val="auto"/>
        <w:rPr>
          <w:rFonts w:hint="eastAsia" w:ascii="方正仿宋_GBK" w:hAnsi="方正仿宋_GBK" w:eastAsia="方正仿宋_GBK" w:cs="方正仿宋_GBK"/>
          <w:sz w:val="32"/>
          <w:szCs w:val="32"/>
          <w:highlight w:val="none"/>
          <w:lang w:eastAsia="zh-CN"/>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县级财政资金29.62万元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w:t>
      </w:r>
      <w:r>
        <w:rPr>
          <w:rFonts w:hint="eastAsia" w:ascii="方正仿宋_GBK" w:hAnsi="方正仿宋_GBK" w:eastAsia="方正仿宋_GBK" w:cs="方正仿宋_GBK"/>
          <w:sz w:val="32"/>
          <w:szCs w:val="32"/>
          <w:highlight w:val="none"/>
          <w:lang w:val="en-US" w:eastAsia="zh-CN"/>
        </w:rPr>
        <w:t>采购电表箱、采集箱、远传水表以及能耗监测平台软件、系统调试费等。</w:t>
      </w:r>
      <w:r>
        <w:rPr>
          <w:rFonts w:hint="eastAsia" w:ascii="方正仿宋_GBK" w:hAnsi="方正仿宋_GBK" w:eastAsia="方正仿宋_GBK" w:cs="方正仿宋_GBK"/>
          <w:sz w:val="32"/>
          <w:szCs w:val="32"/>
          <w:highlight w:val="none"/>
        </w:rPr>
        <w:t>资金严格按照规范程序申请、管理、使用，资金支付范围、支付标准、支付进度、支付依据合规合法、与预算相符</w:t>
      </w:r>
      <w:r>
        <w:rPr>
          <w:rFonts w:hint="eastAsia" w:ascii="方正仿宋_GBK" w:hAnsi="方正仿宋_GBK" w:eastAsia="方正仿宋_GBK" w:cs="方正仿宋_GBK"/>
          <w:sz w:val="32"/>
          <w:szCs w:val="32"/>
          <w:highlight w:val="none"/>
          <w:lang w:eastAsia="zh-CN"/>
        </w:rPr>
        <w:t>。</w:t>
      </w:r>
    </w:p>
    <w:p w14:paraId="569D7CC1">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2C0A2AA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w:t>
      </w:r>
      <w:r>
        <w:rPr>
          <w:rFonts w:hint="eastAsia" w:ascii="方正仿宋_GBK" w:hAnsi="方正仿宋_GBK" w:eastAsia="方正仿宋_GBK" w:cs="方正仿宋_GBK"/>
          <w:sz w:val="32"/>
          <w:szCs w:val="32"/>
          <w:highlight w:val="none"/>
          <w:lang w:val="en-US" w:eastAsia="zh-CN"/>
        </w:rPr>
        <w:t>加快新能源汽车充电桩建设，完成市机关事务管理局下达的年度任务。在机关大院建成集中充电桩50个，推动绿色出行，聚焦碳达峰，碳中和，节约能源资源重任。</w:t>
      </w:r>
    </w:p>
    <w:p w14:paraId="63E3834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2.产出数量：充电桩建设个数50个；</w:t>
      </w:r>
    </w:p>
    <w:p w14:paraId="0DE4763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3.产出质量：项目质量验收达标率100%；</w:t>
      </w:r>
    </w:p>
    <w:p w14:paraId="3CF44283">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4.产出时效：充电桩建成时间12个月；</w:t>
      </w:r>
    </w:p>
    <w:p w14:paraId="692711B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5.经济效益：降低消耗成本5%；</w:t>
      </w:r>
    </w:p>
    <w:p w14:paraId="63ED683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6.社会效益：降低环境污染，推动绿色环保</w:t>
      </w:r>
    </w:p>
    <w:p w14:paraId="52B2DDD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7.满意度：相关部门和群众满意度98%；</w:t>
      </w:r>
    </w:p>
    <w:p w14:paraId="0D00E64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8.经济成本控制范围小于29.62万元。</w:t>
      </w:r>
    </w:p>
    <w:p w14:paraId="6489644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6135A11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D5F1A4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3FC1F188">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46D77A1B">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1F86DDA2">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05568D49">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Times New Roman" w:hAnsi="Times New Roman" w:eastAsia="仿宋_GB2312" w:cs="Times New Roman"/>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3BB9330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1F5197C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00DF63E7">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4DDD7C7A">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7D458F79">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0DC7021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该项目通过年初预算批复后，根据项目推进情况申请资金下达，截至2024年底，资金到位29.62万元，已支出29.62万元，预算执行率100%。项目运行成本在可控制范围内。</w:t>
      </w:r>
    </w:p>
    <w:p w14:paraId="2EFA2755">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通过该项目的实施，完成了市下达的2024年公共机构节约能源资源政务目标任务，在全县建设充电桩15个。</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人均综合能耗下降率1.1%，单位建筑面积碳排放下降率、人均水耗下降率1.6%。</w:t>
      </w:r>
      <w:r>
        <w:rPr>
          <w:rFonts w:hint="eastAsia" w:ascii="方正仿宋_GBK" w:hAnsi="方正仿宋_GBK" w:eastAsia="方正仿宋_GBK" w:cs="方正仿宋_GBK"/>
          <w:sz w:val="32"/>
          <w:szCs w:val="32"/>
          <w:highlight w:val="none"/>
        </w:rPr>
        <w:t>切实提升了</w:t>
      </w:r>
      <w:r>
        <w:rPr>
          <w:rFonts w:hint="eastAsia" w:ascii="方正仿宋_GBK" w:hAnsi="方正仿宋_GBK" w:eastAsia="方正仿宋_GBK" w:cs="方正仿宋_GBK"/>
          <w:sz w:val="32"/>
          <w:szCs w:val="32"/>
          <w:highlight w:val="none"/>
          <w:lang w:val="en-US" w:eastAsia="zh-CN"/>
        </w:rPr>
        <w:t>上级部门和相关单位、群众的满意度</w:t>
      </w:r>
      <w:r>
        <w:rPr>
          <w:rFonts w:hint="eastAsia" w:ascii="方正仿宋_GBK" w:hAnsi="方正仿宋_GBK" w:eastAsia="方正仿宋_GBK" w:cs="方正仿宋_GBK"/>
          <w:sz w:val="32"/>
          <w:szCs w:val="32"/>
          <w:highlight w:val="none"/>
        </w:rPr>
        <w:t>。</w:t>
      </w:r>
    </w:p>
    <w:p w14:paraId="59BAD498">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43B525A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2024年充电桩建设资金项目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3948042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w:t>
      </w:r>
      <w:r>
        <w:rPr>
          <w:rFonts w:hint="eastAsia" w:ascii="方正仿宋_GBK" w:hAnsi="方正仿宋_GBK" w:eastAsia="方正仿宋_GBK" w:cs="方正仿宋_GBK"/>
          <w:color w:val="auto"/>
          <w:kern w:val="2"/>
          <w:sz w:val="32"/>
          <w:szCs w:val="32"/>
          <w:lang w:val="en-US" w:eastAsia="zh-CN" w:bidi="ar-SA"/>
        </w:rPr>
        <w:t>充电桩建设资金</w:t>
      </w:r>
      <w:r>
        <w:rPr>
          <w:rFonts w:hint="eastAsia" w:ascii="方正仿宋_GBK" w:hAnsi="方正仿宋_GBK" w:eastAsia="方正仿宋_GBK" w:cs="方正仿宋_GBK"/>
          <w:sz w:val="32"/>
          <w:szCs w:val="32"/>
          <w:lang w:val="en-US" w:eastAsia="zh-CN"/>
        </w:rPr>
        <w:t>严格按规定用途、适用范围进行本单位专项资金分配，资金管理和资金分配符合专项资金管理要求。</w:t>
      </w:r>
    </w:p>
    <w:p w14:paraId="65A9BAB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b w:val="0"/>
          <w:bCs w:val="0"/>
          <w:color w:val="auto"/>
          <w:kern w:val="2"/>
          <w:sz w:val="32"/>
          <w:szCs w:val="32"/>
          <w:lang w:val="en-US" w:eastAsia="zh-CN" w:bidi="ar-SA"/>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3B9DEF6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在全县建成充电桩50个。人均综合能耗实现了下降率1.1%，单位建筑面积碳排放下降率、人均水耗下降率均达到1.6%。项目资金符合专项资金管理要求。</w:t>
      </w:r>
    </w:p>
    <w:p w14:paraId="6BD1ED08">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771FAE6">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730B275F">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400F154">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6A3AA6BA">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5B07EFCE">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27C52CB8">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p w14:paraId="093195B9">
      <w:pPr>
        <w:bidi w:val="0"/>
        <w:rPr>
          <w:rFonts w:hint="default" w:asciiTheme="minorHAnsi" w:hAnsiTheme="minorHAnsi" w:eastAsiaTheme="minorEastAsia" w:cstheme="minorBidi"/>
          <w:kern w:val="2"/>
          <w:sz w:val="21"/>
          <w:szCs w:val="24"/>
          <w:lang w:val="en-US" w:eastAsia="zh-CN" w:bidi="ar-SA"/>
        </w:rPr>
      </w:pPr>
    </w:p>
    <w:p w14:paraId="0F365CAF">
      <w:pPr>
        <w:bidi w:val="0"/>
        <w:rPr>
          <w:rFonts w:hint="default"/>
          <w:lang w:val="en-US" w:eastAsia="zh-CN"/>
        </w:rPr>
      </w:pPr>
    </w:p>
    <w:p w14:paraId="42A5559E">
      <w:pPr>
        <w:tabs>
          <w:tab w:val="left" w:pos="1161"/>
        </w:tabs>
        <w:bidi w:val="0"/>
        <w:jc w:val="left"/>
        <w:rPr>
          <w:rFonts w:hint="default"/>
          <w:lang w:val="en-US" w:eastAsia="zh-CN"/>
        </w:rPr>
      </w:pP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8FC9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0DA4832C">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500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16F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CF98FC">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2024年建设项目经费</w:t>
            </w:r>
          </w:p>
        </w:tc>
      </w:tr>
      <w:tr w14:paraId="5530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4C09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FD94C2">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79B8B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976C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0C284E">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基本建设类</w:t>
            </w:r>
          </w:p>
        </w:tc>
      </w:tr>
      <w:tr w14:paraId="46033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CC1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9E306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1A8062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8BB746">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E302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FF88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A63D5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4EA8D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4号</w:t>
            </w:r>
          </w:p>
        </w:tc>
      </w:tr>
      <w:tr w14:paraId="73B85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7BCC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497F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D2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BAA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A18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A3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7E5B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148B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357B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DD5C40">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《达州市公共机构节能工作协调小组办公室</w:t>
            </w:r>
            <w:r>
              <w:rPr>
                <w:rFonts w:hint="default" w:ascii="宋体" w:hAnsi="宋体" w:eastAsia="宋体" w:cs="宋体"/>
                <w:i w:val="0"/>
                <w:color w:val="000000"/>
                <w:sz w:val="24"/>
                <w:szCs w:val="24"/>
                <w:u w:val="none"/>
                <w:lang w:val="en-US" w:eastAsia="zh-CN"/>
              </w:rPr>
              <w:t>关于2023年公共机构节约能源资源和生态环境保护工作安排的通知</w:t>
            </w:r>
            <w:r>
              <w:rPr>
                <w:rFonts w:hint="eastAsia" w:ascii="宋体" w:hAnsi="宋体" w:eastAsia="宋体" w:cs="宋体"/>
                <w:i w:val="0"/>
                <w:color w:val="000000"/>
                <w:sz w:val="24"/>
                <w:szCs w:val="24"/>
                <w:u w:val="none"/>
                <w:lang w:val="en-US" w:eastAsia="zh-CN"/>
              </w:rPr>
              <w:t>》（达市公节办〔</w:t>
            </w:r>
            <w:r>
              <w:rPr>
                <w:rFonts w:hint="default" w:ascii="宋体" w:hAnsi="宋体" w:eastAsia="宋体" w:cs="宋体"/>
                <w:i w:val="0"/>
                <w:color w:val="000000"/>
                <w:sz w:val="24"/>
                <w:szCs w:val="24"/>
                <w:u w:val="none"/>
                <w:lang w:val="en-US" w:eastAsia="zh-CN"/>
              </w:rPr>
              <w:t>202</w:t>
            </w:r>
            <w:r>
              <w:rPr>
                <w:rFonts w:hint="eastAsia" w:ascii="宋体" w:hAnsi="宋体" w:eastAsia="宋体" w:cs="宋体"/>
                <w:i w:val="0"/>
                <w:color w:val="000000"/>
                <w:sz w:val="24"/>
                <w:szCs w:val="24"/>
                <w:u w:val="none"/>
                <w:lang w:val="en-US" w:eastAsia="zh-CN"/>
              </w:rPr>
              <w:t>3</w:t>
            </w:r>
            <w:r>
              <w:rPr>
                <w:rFonts w:hint="default" w:ascii="宋体" w:hAnsi="宋体" w:eastAsia="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1</w:t>
            </w:r>
            <w:r>
              <w:rPr>
                <w:rFonts w:hint="default" w:ascii="宋体" w:hAnsi="宋体" w:eastAsia="宋体" w:cs="宋体"/>
                <w:i w:val="0"/>
                <w:color w:val="000000"/>
                <w:sz w:val="24"/>
                <w:szCs w:val="24"/>
                <w:u w:val="none"/>
                <w:lang w:val="en-US" w:eastAsia="zh-CN"/>
              </w:rPr>
              <w:t>号</w:t>
            </w:r>
            <w:r>
              <w:rPr>
                <w:rFonts w:hint="eastAsia" w:ascii="宋体" w:hAnsi="宋体" w:eastAsia="宋体" w:cs="宋体"/>
                <w:i w:val="0"/>
                <w:color w:val="000000"/>
                <w:sz w:val="24"/>
                <w:szCs w:val="24"/>
                <w:u w:val="none"/>
                <w:lang w:val="en-US" w:eastAsia="zh-CN"/>
              </w:rPr>
              <w:t>）</w:t>
            </w:r>
          </w:p>
        </w:tc>
      </w:tr>
      <w:tr w14:paraId="191E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2D90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53FA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C9AFB2">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充电桩建设</w:t>
            </w:r>
          </w:p>
        </w:tc>
      </w:tr>
      <w:tr w14:paraId="2721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378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8FE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D6916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7AF7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9CF2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37A4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D6532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4CF09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694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3C10C7E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21F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296D0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29.62</w:t>
            </w:r>
          </w:p>
        </w:tc>
      </w:tr>
      <w:tr w14:paraId="5D687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2703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BF0F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04C8A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29.62</w:t>
            </w:r>
          </w:p>
        </w:tc>
      </w:tr>
      <w:tr w14:paraId="7C31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14D0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A2511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C33386">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0FDA3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14AA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5E40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7C89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5CF2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3EDB1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顺利完成市下达的202</w:t>
            </w:r>
            <w:r>
              <w:rPr>
                <w:rFonts w:hint="eastAsia" w:ascii="宋体" w:hAnsi="宋体" w:eastAsia="宋体" w:cs="宋体"/>
                <w:i w:val="0"/>
                <w:color w:val="000000"/>
                <w:sz w:val="24"/>
                <w:szCs w:val="24"/>
                <w:u w:val="none"/>
                <w:lang w:val="en-US" w:eastAsia="zh-CN"/>
              </w:rPr>
              <w:t>4</w:t>
            </w:r>
            <w:r>
              <w:rPr>
                <w:rFonts w:hint="eastAsia" w:ascii="宋体" w:hAnsi="宋体" w:eastAsia="宋体" w:cs="宋体"/>
                <w:i w:val="0"/>
                <w:color w:val="000000"/>
                <w:sz w:val="24"/>
                <w:szCs w:val="24"/>
                <w:u w:val="none"/>
              </w:rPr>
              <w:t>年公共机构节约能源资源政务目标任务，在全县建设</w:t>
            </w:r>
            <w:r>
              <w:rPr>
                <w:rFonts w:hint="eastAsia" w:ascii="宋体" w:hAnsi="宋体" w:eastAsia="宋体" w:cs="宋体"/>
                <w:i w:val="0"/>
                <w:color w:val="000000"/>
                <w:sz w:val="24"/>
                <w:szCs w:val="24"/>
                <w:u w:val="none"/>
                <w:lang w:val="en-US" w:eastAsia="zh-CN"/>
              </w:rPr>
              <w:t>充电桩50</w:t>
            </w:r>
            <w:r>
              <w:rPr>
                <w:rFonts w:hint="eastAsia" w:ascii="宋体" w:hAnsi="宋体" w:eastAsia="宋体" w:cs="宋体"/>
                <w:i w:val="0"/>
                <w:color w:val="000000"/>
                <w:sz w:val="24"/>
                <w:szCs w:val="24"/>
                <w:u w:val="none"/>
              </w:rPr>
              <w:t>个。</w:t>
            </w:r>
          </w:p>
        </w:tc>
      </w:tr>
      <w:tr w14:paraId="57B6E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7706C2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9B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AFA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BE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A6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5CC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B2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DB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35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32A56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926157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left w:val="single" w:color="000000" w:sz="4" w:space="0"/>
              <w:right w:val="single" w:color="000000" w:sz="4" w:space="0"/>
            </w:tcBorders>
            <w:shd w:val="clear" w:color="auto" w:fill="auto"/>
            <w:vAlign w:val="center"/>
          </w:tcPr>
          <w:p w14:paraId="736EC3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250" w:type="dxa"/>
            <w:tcBorders>
              <w:left w:val="single" w:color="000000" w:sz="4" w:space="0"/>
              <w:bottom w:val="single" w:color="000000" w:sz="4" w:space="0"/>
              <w:right w:val="single" w:color="000000" w:sz="4" w:space="0"/>
            </w:tcBorders>
            <w:shd w:val="clear" w:color="auto" w:fill="auto"/>
            <w:vAlign w:val="center"/>
          </w:tcPr>
          <w:p w14:paraId="70EEFC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EF2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建成充电桩个数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A72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4F7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2A0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87A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A58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50</w:t>
            </w:r>
          </w:p>
        </w:tc>
      </w:tr>
      <w:tr w14:paraId="31F3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0502FE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79B7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right w:val="single" w:color="000000" w:sz="4" w:space="0"/>
            </w:tcBorders>
            <w:shd w:val="clear" w:color="auto" w:fill="auto"/>
            <w:vAlign w:val="center"/>
          </w:tcPr>
          <w:p w14:paraId="0055D3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D68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项目质量验收达标率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695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161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ECD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B63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090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D484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8F6649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3E6F72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638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A6F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充电桩建成时间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FB4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08D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14D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月</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51E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EE3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w:t>
            </w:r>
          </w:p>
        </w:tc>
      </w:tr>
      <w:tr w14:paraId="56A22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1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A82CC3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295A723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48C180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社会</w:t>
            </w:r>
            <w:r>
              <w:rPr>
                <w:rFonts w:ascii="宋体" w:hAnsi="宋体" w:eastAsia="宋体" w:cs="宋体"/>
                <w:i w:val="0"/>
                <w:color w:val="000000"/>
                <w:kern w:val="0"/>
                <w:sz w:val="24"/>
                <w:szCs w:val="24"/>
                <w:u w:val="none"/>
                <w:lang w:val="en-US" w:eastAsia="zh-CN" w:bidi="ar"/>
              </w:rPr>
              <w:t>效益</w:t>
            </w:r>
          </w:p>
          <w:p w14:paraId="54040C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807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有效降低运行成本</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A3A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183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有效</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CCF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498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8C0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有效</w:t>
            </w:r>
          </w:p>
        </w:tc>
      </w:tr>
      <w:tr w14:paraId="0F0DA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5"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8DAFE0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left w:val="single" w:color="000000" w:sz="4" w:space="0"/>
              <w:bottom w:val="single" w:color="auto" w:sz="4" w:space="0"/>
              <w:right w:val="single" w:color="000000" w:sz="4" w:space="0"/>
            </w:tcBorders>
            <w:shd w:val="clear" w:color="auto" w:fill="auto"/>
            <w:vAlign w:val="center"/>
          </w:tcPr>
          <w:p w14:paraId="101E753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p>
        </w:tc>
        <w:tc>
          <w:tcPr>
            <w:tcW w:w="1250" w:type="dxa"/>
            <w:tcBorders>
              <w:top w:val="single" w:color="000000" w:sz="4" w:space="0"/>
              <w:left w:val="single" w:color="000000" w:sz="4" w:space="0"/>
              <w:bottom w:val="single" w:color="auto" w:sz="4" w:space="0"/>
              <w:right w:val="single" w:color="000000" w:sz="4" w:space="0"/>
            </w:tcBorders>
            <w:shd w:val="clear" w:color="auto" w:fill="auto"/>
            <w:vAlign w:val="center"/>
          </w:tcPr>
          <w:p w14:paraId="50F4FA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可持续发展指标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D2E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推动环保、绿色能源高质量发展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6F2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538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高质量</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7BC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FD1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85C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高质量</w:t>
            </w:r>
          </w:p>
        </w:tc>
      </w:tr>
      <w:tr w14:paraId="2EEF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865EEC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bottom w:val="single" w:color="auto" w:sz="4" w:space="0"/>
              <w:right w:val="single" w:color="000000" w:sz="4" w:space="0"/>
            </w:tcBorders>
            <w:shd w:val="clear" w:color="auto" w:fill="auto"/>
            <w:vAlign w:val="center"/>
          </w:tcPr>
          <w:p w14:paraId="44766B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5BCF322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14:paraId="2BDA2BE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141A935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75C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相关部门和群众满意度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D72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EA9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B4D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E78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152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r>
      <w:tr w14:paraId="5CB89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tcBorders>
              <w:top w:val="single" w:color="000000" w:sz="4" w:space="0"/>
              <w:left w:val="single" w:color="000000" w:sz="4" w:space="0"/>
              <w:bottom w:val="single" w:color="000000" w:sz="4" w:space="0"/>
            </w:tcBorders>
            <w:shd w:val="clear" w:color="auto" w:fill="auto"/>
            <w:vAlign w:val="center"/>
          </w:tcPr>
          <w:p w14:paraId="0394F34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bottom w:val="single" w:color="auto" w:sz="4" w:space="0"/>
              <w:right w:val="single" w:color="000000" w:sz="4" w:space="0"/>
            </w:tcBorders>
            <w:shd w:val="clear" w:color="auto" w:fill="auto"/>
            <w:vAlign w:val="center"/>
          </w:tcPr>
          <w:p w14:paraId="7429D8D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auto" w:sz="4" w:space="0"/>
              <w:right w:val="single" w:color="000000" w:sz="4" w:space="0"/>
            </w:tcBorders>
            <w:shd w:val="clear" w:color="auto" w:fill="auto"/>
            <w:vAlign w:val="center"/>
          </w:tcPr>
          <w:p w14:paraId="50F843E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经济成本指标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0674">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3B8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B2F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29.62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20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3DB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DF1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29.62</w:t>
            </w:r>
          </w:p>
        </w:tc>
      </w:tr>
    </w:tbl>
    <w:p w14:paraId="61EDC197">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4782E9AF">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4653A3B7">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（2024年节能监管工作经费）</w:t>
      </w:r>
    </w:p>
    <w:p w14:paraId="63071BD6">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9F6BD57">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08DAA483">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节能监管工作经费的设立背景是我单位三定方案中明确的职能职责包括做好全县公共机构节能宣传及监测工作，大力推进节约型机关建设，控制和降低资源消费增长。</w:t>
      </w:r>
    </w:p>
    <w:p w14:paraId="3C071868">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4651F82C">
      <w:pPr>
        <w:keepNext w:val="0"/>
        <w:keepLines w:val="0"/>
        <w:pageBreakBefore w:val="0"/>
        <w:kinsoku/>
        <w:wordWrap/>
        <w:overflowPunct/>
        <w:topLinePunct w:val="0"/>
        <w:autoSpaceDE/>
        <w:autoSpaceDN/>
        <w:bidi w:val="0"/>
        <w:adjustRightInd w:val="0"/>
        <w:snapToGrid w:val="0"/>
        <w:spacing w:line="578" w:lineRule="exact"/>
        <w:ind w:firstLine="720"/>
        <w:textAlignment w:val="auto"/>
        <w:rPr>
          <w:rFonts w:hint="eastAsia" w:ascii="方正仿宋_GBK" w:hAnsi="方正仿宋_GBK" w:eastAsia="方正仿宋_GBK" w:cs="方正仿宋_GBK"/>
          <w:sz w:val="32"/>
          <w:szCs w:val="32"/>
          <w:highlight w:val="none"/>
          <w:lang w:eastAsia="zh-CN"/>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县级财政资金20万元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w:t>
      </w:r>
      <w:r>
        <w:rPr>
          <w:rFonts w:hint="eastAsia" w:ascii="方正仿宋_GBK" w:hAnsi="方正仿宋_GBK" w:eastAsia="方正仿宋_GBK" w:cs="方正仿宋_GBK"/>
          <w:sz w:val="32"/>
          <w:szCs w:val="32"/>
          <w:highlight w:val="none"/>
          <w:lang w:val="en-US" w:eastAsia="zh-CN"/>
        </w:rPr>
        <w:t>监管平台运维费、政策宣传的印刷费、培训费以及差旅费</w:t>
      </w:r>
      <w:r>
        <w:rPr>
          <w:rFonts w:hint="eastAsia" w:ascii="方正仿宋_GBK" w:hAnsi="方正仿宋_GBK" w:eastAsia="方正仿宋_GBK" w:cs="方正仿宋_GBK"/>
          <w:sz w:val="32"/>
          <w:szCs w:val="32"/>
          <w:highlight w:val="none"/>
        </w:rPr>
        <w:t>等。资金严格按照规范程序申请、管理、使用，资金支付范围、支付标准、支付进度、支付依据合规合法、与预算相符</w:t>
      </w:r>
      <w:r>
        <w:rPr>
          <w:rFonts w:hint="eastAsia" w:ascii="方正仿宋_GBK" w:hAnsi="方正仿宋_GBK" w:eastAsia="方正仿宋_GBK" w:cs="方正仿宋_GBK"/>
          <w:sz w:val="32"/>
          <w:szCs w:val="32"/>
          <w:highlight w:val="none"/>
          <w:lang w:eastAsia="zh-CN"/>
        </w:rPr>
        <w:t>。</w:t>
      </w:r>
    </w:p>
    <w:p w14:paraId="092967E5">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7C57E65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w:t>
      </w:r>
      <w:r>
        <w:rPr>
          <w:rFonts w:hint="eastAsia" w:ascii="方正仿宋_GBK" w:hAnsi="方正仿宋_GBK" w:eastAsia="方正仿宋_GBK" w:cs="方正仿宋_GBK"/>
          <w:sz w:val="32"/>
          <w:szCs w:val="32"/>
          <w:highlight w:val="none"/>
          <w:lang w:val="en-US" w:eastAsia="zh-CN"/>
        </w:rPr>
        <w:t>严格执行相关政策，建设节能监管平台，保障全县公共机构节能宣传及监测工作，提高节能意识，推进节约型机关建设。提高节能意识，绿色、低碳发展。</w:t>
      </w:r>
    </w:p>
    <w:p w14:paraId="0414259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2.产出数量：印发宣传手册5000册，节能宣传推广活动次数2次；</w:t>
      </w:r>
    </w:p>
    <w:p w14:paraId="20F65A9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3.产出质量：活动参与率100%；</w:t>
      </w:r>
    </w:p>
    <w:p w14:paraId="6263A62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4.产出时效：宣传推广活动及时率100%；</w:t>
      </w:r>
    </w:p>
    <w:p w14:paraId="609B92F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5.社会效益：提高人民群众的节能意识100%；</w:t>
      </w:r>
    </w:p>
    <w:p w14:paraId="3885DB9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6.可持续影响：节约能源资源，提高节能意识；</w:t>
      </w:r>
    </w:p>
    <w:p w14:paraId="2645460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7.满意度：相关部门和群众满意度达98%以上；</w:t>
      </w:r>
    </w:p>
    <w:p w14:paraId="13A7C91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8.经济成本控制范围小于20万元。</w:t>
      </w:r>
    </w:p>
    <w:p w14:paraId="0A9666C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1986F80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365CF25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eastAsia="仿宋_GB2312" w:cs="Times New Roman"/>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08BA9B5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7E58397C">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269DD5BD">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6C5CB2C2">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626ACFF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21C6662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4A663889">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0B006811">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031611FD">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6DDC013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该项目通过年初预算批复后，根据项目推进情况申请资金下达，截至2024年底，资金到位20万元，已支出20万元，预算执行率100%。项目运行成本在可控制范围内。</w:t>
      </w:r>
    </w:p>
    <w:p w14:paraId="3F8418AB">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通过该项目的实施，完成了监管平台的技术支持2次，政策咨询及培训2次，达到了预期目标。宣传覆盖率100%，培训及时率100%。</w:t>
      </w:r>
      <w:r>
        <w:rPr>
          <w:rFonts w:hint="eastAsia" w:ascii="方正仿宋_GBK" w:hAnsi="方正仿宋_GBK" w:eastAsia="方正仿宋_GBK" w:cs="方正仿宋_GBK"/>
          <w:sz w:val="32"/>
          <w:szCs w:val="32"/>
          <w:highlight w:val="none"/>
        </w:rPr>
        <w:t>切实提升了</w:t>
      </w:r>
      <w:r>
        <w:rPr>
          <w:rFonts w:hint="eastAsia" w:ascii="方正仿宋_GBK" w:hAnsi="方正仿宋_GBK" w:eastAsia="方正仿宋_GBK" w:cs="方正仿宋_GBK"/>
          <w:sz w:val="32"/>
          <w:szCs w:val="32"/>
          <w:highlight w:val="none"/>
          <w:lang w:val="en-US" w:eastAsia="zh-CN"/>
        </w:rPr>
        <w:t>上级部门和相关单位、群众的满意度</w:t>
      </w:r>
      <w:r>
        <w:rPr>
          <w:rFonts w:hint="eastAsia" w:ascii="方正仿宋_GBK" w:hAnsi="方正仿宋_GBK" w:eastAsia="方正仿宋_GBK" w:cs="方正仿宋_GBK"/>
          <w:sz w:val="32"/>
          <w:szCs w:val="32"/>
          <w:highlight w:val="none"/>
        </w:rPr>
        <w:t>。</w:t>
      </w:r>
    </w:p>
    <w:p w14:paraId="7BC39C49">
      <w:pPr>
        <w:keepNext w:val="0"/>
        <w:keepLines w:val="0"/>
        <w:pageBreakBefore w:val="0"/>
        <w:widowControl w:val="0"/>
        <w:kinsoku/>
        <w:wordWrap/>
        <w:overflowPunct/>
        <w:topLinePunct w:val="0"/>
        <w:autoSpaceDE/>
        <w:autoSpaceDN/>
        <w:bidi w:val="0"/>
        <w:adjustRightInd/>
        <w:snapToGrid/>
        <w:spacing w:line="578" w:lineRule="exact"/>
        <w:ind w:firstLine="321" w:firstLineChars="10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640824F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2024年节能监管经费项目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2E0AF60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2024年我单位节能监管工作经费严格按规定用途、适用范围进行本单位专项资金分配，资金管理和资金分配符合专项资金管理要求。</w:t>
      </w:r>
    </w:p>
    <w:p w14:paraId="6128290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31072F4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2024年我单位开展节能宣传推广活动2次，公众参与率达90%以上，很大程度上提高了人民群众的节能意识。资金管理符合专项资金要求。</w:t>
      </w:r>
    </w:p>
    <w:p w14:paraId="5D2D54CF">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348ED64">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4D049B75">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4FD0FC4E">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0BF6E78F">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124EA083">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97AFE50">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p w14:paraId="4D1938FC">
      <w:pPr>
        <w:pStyle w:val="2"/>
        <w:rPr>
          <w:rFonts w:hint="eastAsia" w:ascii="方正仿宋_GBK" w:hAnsi="方正仿宋_GBK" w:eastAsia="方正仿宋_GBK" w:cs="方正仿宋_GBK"/>
          <w:color w:val="auto"/>
          <w:sz w:val="32"/>
          <w:szCs w:val="32"/>
          <w:highlight w:val="none"/>
          <w:lang w:val="en-US" w:eastAsia="zh-CN"/>
        </w:rPr>
      </w:pP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6E7A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008F44B9">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1686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D940E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6D2781">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2024年节能监管工作经费</w:t>
            </w:r>
          </w:p>
        </w:tc>
      </w:tr>
      <w:tr w14:paraId="12F5B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AA38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2D6225">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392D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D074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9D985C">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55C45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F3B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3A1F7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4E7B42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024040">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5526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8D01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8287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0A7974">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46C98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BEEC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AF2C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8E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982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9CD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D02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4C07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F859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4EB7E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E5228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7316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4004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2E83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AE3CD4">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公共机构节能宣传、推广</w:t>
            </w:r>
          </w:p>
        </w:tc>
      </w:tr>
      <w:tr w14:paraId="31F9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6C3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2FE6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D57977">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2D4A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2A51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3BEC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4152A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31A93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69B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448239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B96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A070C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0DB9B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4F4B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07F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C69D1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r w14:paraId="23725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8508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9F7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E6B59B">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66AF9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3383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37481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26F86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ECA2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1A849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保障全县公共机构节能宣传及监测工作，提高节能意识，绿色、低碳发展。</w:t>
            </w:r>
          </w:p>
        </w:tc>
      </w:tr>
      <w:tr w14:paraId="55BF7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261672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42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C0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952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A4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3E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1B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3A8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B9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73C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816C7C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1707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4377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CAE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印发宣传手册</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3D4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E6D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262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册</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355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745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1000</w:t>
            </w:r>
          </w:p>
        </w:tc>
      </w:tr>
      <w:tr w14:paraId="03B7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E3FED7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C593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699A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DB1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节能宣传推广活动次数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F5A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57E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488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574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4E9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2</w:t>
            </w:r>
          </w:p>
        </w:tc>
      </w:tr>
      <w:tr w14:paraId="20EE3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7D153C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3BAA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2E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08E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活动参与率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705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C6D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E93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AE6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797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084B1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23480D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5BF65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C67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5BD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宣传推广活动及时率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229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6B3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FDE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4D3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E65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0743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38BA70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64D80E0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5636E1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2F0D75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3B4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提高人民群众的节能意识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2C6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D6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2B4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B9B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1FC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r>
      <w:tr w14:paraId="0C0C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52E62C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20E129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C3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867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节约能源资源，提高节能意识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438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4CE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C3C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BAA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C47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90</w:t>
            </w:r>
          </w:p>
        </w:tc>
      </w:tr>
      <w:tr w14:paraId="3846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23DA97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3D6C7C5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1ACC735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48CD3E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3A2242C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FDD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相关部门和群众满意度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3A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CA5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14C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615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983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35D74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E7E917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FF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A09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463118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75F311C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D90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14E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A1B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8D5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260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r>
    </w:tbl>
    <w:p w14:paraId="5E58D218">
      <w:pPr>
        <w:rPr>
          <w:rFonts w:hint="default"/>
          <w:lang w:val="en-US" w:eastAsia="zh-CN"/>
        </w:rPr>
      </w:pPr>
    </w:p>
    <w:p w14:paraId="59522782">
      <w:pPr>
        <w:pStyle w:val="2"/>
        <w:rPr>
          <w:rFonts w:hint="default"/>
          <w:lang w:val="en-US" w:eastAsia="zh-CN"/>
        </w:rPr>
      </w:pPr>
    </w:p>
    <w:p w14:paraId="7DD056F4">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384F42C8">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（2024年劳务费）</w:t>
      </w:r>
    </w:p>
    <w:p w14:paraId="6C0D95A8">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4DA25C0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777D1C3E">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机关事务服务中心劳务费的设立背景主要是我单位三定方案中明确规定的职能职责包括严格执行相关政策，保障机关两院的后勤服务以及接待、大型活动、会议的劳务服务以及劳务用工的管理和培训。</w:t>
      </w:r>
    </w:p>
    <w:p w14:paraId="205A4572">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361FABA4">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zh-CN"/>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县级财政资金45万元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w:t>
      </w:r>
      <w:r>
        <w:rPr>
          <w:rFonts w:hint="eastAsia" w:ascii="方正仿宋_GBK" w:hAnsi="方正仿宋_GBK" w:eastAsia="方正仿宋_GBK" w:cs="方正仿宋_GBK"/>
          <w:sz w:val="32"/>
          <w:szCs w:val="32"/>
          <w:highlight w:val="none"/>
          <w:lang w:val="en-US" w:eastAsia="zh-CN"/>
        </w:rPr>
        <w:t>机关两院的后勤服务以及接待、大型活动、会议的劳务服务以及劳务用工的管理和培训。</w:t>
      </w:r>
    </w:p>
    <w:p w14:paraId="5B6589FC">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39FEB56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w:t>
      </w:r>
      <w:r>
        <w:rPr>
          <w:rFonts w:hint="eastAsia" w:ascii="方正仿宋_GBK" w:hAnsi="方正仿宋_GBK" w:eastAsia="方正仿宋_GBK" w:cs="方正仿宋_GBK"/>
          <w:sz w:val="32"/>
          <w:szCs w:val="32"/>
          <w:highlight w:val="none"/>
          <w:lang w:val="en-US" w:eastAsia="zh-CN"/>
        </w:rPr>
        <w:t>严格执行相关政策，保障机关两院的后勤服务以及接待、大型活动、会议的劳务服务以及劳务用工的管理和培训。</w:t>
      </w:r>
    </w:p>
    <w:p w14:paraId="08D53FB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2.产出数量：劳务培训人数86人；</w:t>
      </w:r>
    </w:p>
    <w:p w14:paraId="32ABE1A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3.产出质量：劳务服务效率100%；</w:t>
      </w:r>
    </w:p>
    <w:p w14:paraId="40B51F8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4.产出时效：劳务服务工作完成及时率100%；</w:t>
      </w:r>
    </w:p>
    <w:p w14:paraId="18E59C9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5.社会效益：100%提升机关大院整体形象；</w:t>
      </w:r>
    </w:p>
    <w:p w14:paraId="4FD303B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6.满意度：上级部门和相关单位100%</w:t>
      </w:r>
    </w:p>
    <w:p w14:paraId="3041022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7.经济成本控制范围小于45万元。</w:t>
      </w:r>
    </w:p>
    <w:p w14:paraId="5C85B3D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732E504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075A0EB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0FF1611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1842A31C">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1D2AC806">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34907CED">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152F7D1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2B72D5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54FDACA7">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16F50D9A">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630F385A">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0B9637D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该项目通过年初预算批复后，根据项目推进情况申请资金下达，截至2024年底，资金到位45万元，已支出45万元，预算执行率100%。项目运行成本在可控制范围内。</w:t>
      </w:r>
    </w:p>
    <w:p w14:paraId="4B2F3BB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保障机关两院的后勤服务以及接待、大型活动、会议的劳务服务以及劳务用工的管理和培训。提升了机关大院整体形象。达到了预期目标。劳务培训人数86人，劳务服务保障率100%，劳务培训次数2次。</w:t>
      </w:r>
      <w:r>
        <w:rPr>
          <w:rFonts w:hint="eastAsia" w:ascii="方正仿宋_GBK" w:hAnsi="方正仿宋_GBK" w:eastAsia="方正仿宋_GBK" w:cs="方正仿宋_GBK"/>
          <w:sz w:val="32"/>
          <w:szCs w:val="32"/>
          <w:highlight w:val="none"/>
        </w:rPr>
        <w:t>切实提升了</w:t>
      </w:r>
      <w:r>
        <w:rPr>
          <w:rFonts w:hint="eastAsia" w:ascii="方正仿宋_GBK" w:hAnsi="方正仿宋_GBK" w:eastAsia="方正仿宋_GBK" w:cs="方正仿宋_GBK"/>
          <w:sz w:val="32"/>
          <w:szCs w:val="32"/>
          <w:highlight w:val="none"/>
          <w:lang w:val="en-US" w:eastAsia="zh-CN"/>
        </w:rPr>
        <w:t>机关大院整体形象。</w:t>
      </w:r>
    </w:p>
    <w:p w14:paraId="25B3176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7772383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2024年劳务费项目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3637540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2024年我单位劳务费严格按规定用途、适用范围进行本单位专项资金分配，资金管理和资金分配符合专项资金管理要求。</w:t>
      </w:r>
    </w:p>
    <w:p w14:paraId="0F37CA0A">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个性指标绩效分析。</w:t>
      </w:r>
    </w:p>
    <w:p w14:paraId="12553BAA">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lang w:val="en-US" w:eastAsia="zh-CN"/>
        </w:rPr>
      </w:pPr>
      <w:r>
        <w:rPr>
          <w:rFonts w:hint="eastAsia" w:ascii="方正仿宋_GBK" w:hAnsi="方正仿宋_GBK" w:eastAsia="方正仿宋_GBK" w:cs="方正仿宋_GBK"/>
          <w:sz w:val="32"/>
          <w:szCs w:val="32"/>
          <w:lang w:val="en-US" w:eastAsia="zh-CN"/>
        </w:rPr>
        <w:t>2024年我单位劳务培训人数达86人，劳务培训次数2次，达到了预期目标。</w:t>
      </w:r>
    </w:p>
    <w:p w14:paraId="2C147183">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C10D30C">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24446B14">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4B3A1F59">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095828AB">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1E8F0386">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61D51E2">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p w14:paraId="0C728085">
      <w:pPr>
        <w:pStyle w:val="2"/>
        <w:rPr>
          <w:rFonts w:hint="eastAsia" w:ascii="方正仿宋_GBK" w:hAnsi="方正仿宋_GBK" w:eastAsia="方正仿宋_GBK" w:cs="方正仿宋_GBK"/>
          <w:color w:val="auto"/>
          <w:sz w:val="32"/>
          <w:szCs w:val="32"/>
          <w:highlight w:val="none"/>
          <w:lang w:val="en-US" w:eastAsia="zh-CN"/>
        </w:rPr>
      </w:pP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711A5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4712562D">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EAFC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E80F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C32D0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2024年劳务费</w:t>
            </w:r>
          </w:p>
        </w:tc>
      </w:tr>
      <w:tr w14:paraId="02398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C248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A8288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7B7FF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9D029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CFB086">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273CD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D37C2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D83C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01A6BCD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65C7AF">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2EDEC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3331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0DC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FFB551">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2570E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4DA7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C2FE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0A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C5A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D5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BA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344F2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3AF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16DFD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CBE262">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4DEE3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5D6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CED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A9941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机关两院的后勤服务以及接待、大型活动、会议的劳务服务以及劳务用工的管理和培训</w:t>
            </w:r>
          </w:p>
        </w:tc>
      </w:tr>
      <w:tr w14:paraId="123E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9552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E685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15B2A9">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17A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6879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713B9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32C02C">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4979F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DCC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7E694D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3BB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A59C4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45</w:t>
            </w:r>
          </w:p>
        </w:tc>
      </w:tr>
      <w:tr w14:paraId="6103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F72F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659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6410B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45</w:t>
            </w:r>
          </w:p>
        </w:tc>
      </w:tr>
      <w:tr w14:paraId="4D42C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FCCE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2DFC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3C1C45">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215B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16B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DC1A0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634AF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F9C2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DF1F6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完成劳务派遣人员</w:t>
            </w:r>
            <w:r>
              <w:rPr>
                <w:rFonts w:hint="eastAsia" w:ascii="宋体" w:hAnsi="宋体" w:eastAsia="宋体" w:cs="宋体"/>
                <w:i w:val="0"/>
                <w:color w:val="000000"/>
                <w:sz w:val="24"/>
                <w:szCs w:val="24"/>
                <w:u w:val="none"/>
                <w:lang w:val="en-US" w:eastAsia="zh-CN"/>
              </w:rPr>
              <w:t>86</w:t>
            </w:r>
            <w:r>
              <w:rPr>
                <w:rFonts w:hint="eastAsia" w:ascii="宋体" w:hAnsi="宋体" w:eastAsia="宋体" w:cs="宋体"/>
                <w:i w:val="0"/>
                <w:color w:val="000000"/>
                <w:sz w:val="24"/>
                <w:szCs w:val="24"/>
                <w:u w:val="none"/>
              </w:rPr>
              <w:t>人的劳务培训，提高劳务服务效率，确保劳务服务和劳务用工的管理和培训。</w:t>
            </w:r>
          </w:p>
        </w:tc>
      </w:tr>
      <w:tr w14:paraId="451D2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6BAC1E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761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49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01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0F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6A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2A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0B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F7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61734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703B2C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0C6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FC4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0E43">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劳务培训人数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99B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D19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86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4F9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E67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EB1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86人</w:t>
            </w:r>
          </w:p>
        </w:tc>
      </w:tr>
      <w:tr w14:paraId="6D12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5719DE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D25B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6DBC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627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劳务培训次数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063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6C8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BFA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797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DF6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2次</w:t>
            </w:r>
          </w:p>
        </w:tc>
      </w:tr>
      <w:tr w14:paraId="3EEC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E1DCFE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5585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8E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EA9A">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劳务服务效率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CC7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FD2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3C7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BD5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F12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B9FF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F34D0F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FDBBD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79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7EB4">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劳务服务工作完成及时率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3F5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B73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6D8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FF8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B97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3E9B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7E7012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22D53CD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3ACEB7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AAAF2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4A9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提升机关大院整体形象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BEE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026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863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D32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68D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166F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F578FA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710D474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7DE61D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364C2DE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2057A9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81DA">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上级领导和相关单位满意度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21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EDB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100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CDC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F02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2986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53EF52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291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321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044EEA5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1578B23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3BD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38A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411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A8E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E05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45</w:t>
            </w:r>
          </w:p>
        </w:tc>
      </w:tr>
    </w:tbl>
    <w:p w14:paraId="4A543853">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ECDC7DB">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67E0E6C9">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（2024年维护费）</w:t>
      </w:r>
    </w:p>
    <w:p w14:paraId="19CCC5F9">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54EBE48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4E8184A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维修维护费的设立背景主要是我单位三定方案中明确规定的职能职责包括办公用房的管理、配置、维修、改造以及相对集中办公区设施设备维修。以保障县委、县政府、县人大常委会、县政协公共区域干部职工的办公环境。</w:t>
      </w:r>
    </w:p>
    <w:p w14:paraId="7CC78941">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677DAB07">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仿宋_GBK" w:hAnsi="方正仿宋_GBK" w:eastAsia="方正仿宋_GBK" w:cs="方正仿宋_GBK"/>
          <w:sz w:val="32"/>
          <w:szCs w:val="32"/>
          <w:highlight w:val="none"/>
          <w:lang w:val="zh-CN"/>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县级财政资金168万元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主要用于县委、县政府、县人大常委会、县政协等相对集中办公区域以及设施设备的日常维修维护</w:t>
      </w:r>
      <w:r>
        <w:rPr>
          <w:rFonts w:hint="eastAsia" w:ascii="方正仿宋_GBK" w:hAnsi="方正仿宋_GBK" w:eastAsia="方正仿宋_GBK" w:cs="方正仿宋_GBK"/>
          <w:sz w:val="32"/>
          <w:szCs w:val="32"/>
          <w:highlight w:val="none"/>
          <w:lang w:val="en-US" w:eastAsia="zh-CN"/>
        </w:rPr>
        <w:t>。</w:t>
      </w:r>
    </w:p>
    <w:p w14:paraId="2C5BF3DA">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72041D6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目标：保障县委、县政府、县人大常委会、县政协等相对集中办公区域以及设施设备正常运转。</w:t>
      </w:r>
    </w:p>
    <w:p w14:paraId="037B806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2.产出数量：电梯维修维保次数不低于16次，消防维保次数每年不低于12次；</w:t>
      </w:r>
    </w:p>
    <w:p w14:paraId="2A5330C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3.产出质量：安全达标率、运行保值率100%；</w:t>
      </w:r>
    </w:p>
    <w:p w14:paraId="16640BC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4.产出时效：维修及时率100%；</w:t>
      </w:r>
    </w:p>
    <w:p w14:paraId="587D74C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5.社会效益：100%保障办公环境，提高服务质量；</w:t>
      </w:r>
    </w:p>
    <w:p w14:paraId="67FD869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6.满意度：上级部门和相关单位、群众满意度100%</w:t>
      </w:r>
    </w:p>
    <w:p w14:paraId="632ABAE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7.经济成本控制范围小于168万元。</w:t>
      </w:r>
    </w:p>
    <w:p w14:paraId="3597C37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1B0A040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16804D9C">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26CE5AD7">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6940D768">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57DDC080">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7F9DB7AD">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2A3F8FF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63D2ABB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1164603D">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3077BA73">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606687EC">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4F2D2EE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该项目通过年初预算批复后，根据项目推进情况申请资金下达，截至2024年底，资金到位168万元，已支出168万元，预算执行率100%。项目运行成本在可控制范围内。</w:t>
      </w:r>
    </w:p>
    <w:p w14:paraId="12B9947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县委、县政府、县人大常委会、县政协相对集中办公区域以及设施设备的正常运转，</w:t>
      </w:r>
      <w:r>
        <w:rPr>
          <w:rFonts w:hint="eastAsia" w:ascii="方正仿宋_GBK" w:hAnsi="方正仿宋_GBK" w:eastAsia="方正仿宋_GBK" w:cs="方正仿宋_GBK"/>
          <w:sz w:val="32"/>
          <w:szCs w:val="32"/>
          <w:highlight w:val="none"/>
          <w:lang w:val="en-US" w:eastAsia="zh-CN"/>
        </w:rPr>
        <w:t>提高了工作质量，建立了保障标准，切实提升了群众的获得感与满意度。</w:t>
      </w:r>
    </w:p>
    <w:p w14:paraId="66E5065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1E523C7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2024年维修维护费项目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060242C7">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2024年我单位维修维护费严格按规定用途、适用范围进行本单位专项资金分配，资金管理和资金分配符合专项资金管理要求。</w:t>
      </w:r>
    </w:p>
    <w:p w14:paraId="7BBFA44B">
      <w:pPr>
        <w:keepNext w:val="0"/>
        <w:keepLines w:val="0"/>
        <w:pageBreakBefore w:val="0"/>
        <w:numPr>
          <w:ilvl w:val="0"/>
          <w:numId w:val="5"/>
        </w:numPr>
        <w:kinsoku/>
        <w:wordWrap/>
        <w:overflowPunct/>
        <w:topLinePunct w:val="0"/>
        <w:bidi w:val="0"/>
        <w:adjustRightInd/>
        <w:snapToGrid/>
        <w:spacing w:line="578" w:lineRule="exact"/>
        <w:ind w:firstLine="643" w:firstLineChars="200"/>
        <w:jc w:val="left"/>
        <w:textAlignment w:val="auto"/>
        <w:outlineLvl w:val="1"/>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个性指标绩效分析。</w:t>
      </w:r>
    </w:p>
    <w:p w14:paraId="669DEB90">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2024年我单位办公用房日常维修上，协助县委宣传部、县就业局对办公区及时进行修缮；对政府大院办公楼公用厕所污水倒灌、臭味四溢等突出问题进行了彻底整治。</w:t>
      </w:r>
    </w:p>
    <w:p w14:paraId="28B670C6">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B867058">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2910657F">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5DA9E83">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316BB31A">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368D2F3B">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958ABC6">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default" w:ascii="方正仿宋_GBK" w:hAnsi="方正仿宋_GBK" w:eastAsia="方正仿宋_GBK" w:cs="方正仿宋_GBK"/>
          <w:color w:val="auto"/>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657D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608F49B1">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597A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CE14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8272A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2024年维修费</w:t>
            </w:r>
          </w:p>
        </w:tc>
      </w:tr>
      <w:tr w14:paraId="614D4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4C45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757CC6">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4669E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C89B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8FCC12">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32C1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F40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CB5A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5AB9D8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957512">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7B42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ACD4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3159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C3AE2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28FA8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8830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8B77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10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8196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66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8B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7D079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F1C6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89A1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4A7197">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61A7D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C8D5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1FBC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E92EEF">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集中办公区域日常维修及设施设备的维修维保</w:t>
            </w:r>
          </w:p>
        </w:tc>
      </w:tr>
      <w:tr w14:paraId="28A8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74F7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1B43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C0502F">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27B2D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6BA3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5AA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4F83C5">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1A171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B73B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53CACE5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F4B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00B4B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168</w:t>
            </w:r>
          </w:p>
        </w:tc>
      </w:tr>
      <w:tr w14:paraId="6866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1912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BED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8A624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168</w:t>
            </w:r>
          </w:p>
        </w:tc>
      </w:tr>
      <w:tr w14:paraId="4C27D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1E6F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2D37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86A557">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5F3E9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F1E0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F0D1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6DBCB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BEC2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C0B4B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确保</w:t>
            </w:r>
            <w:r>
              <w:rPr>
                <w:rFonts w:hint="eastAsia" w:ascii="宋体" w:hAnsi="宋体" w:cs="宋体"/>
                <w:i w:val="0"/>
                <w:color w:val="000000"/>
                <w:sz w:val="24"/>
                <w:szCs w:val="24"/>
                <w:u w:val="none"/>
                <w:lang w:eastAsia="zh-CN"/>
              </w:rPr>
              <w:t>县委、县政府、县人大常委会、县政协</w:t>
            </w:r>
            <w:r>
              <w:rPr>
                <w:rFonts w:hint="eastAsia" w:ascii="宋体" w:hAnsi="宋体" w:eastAsia="宋体" w:cs="宋体"/>
                <w:i w:val="0"/>
                <w:color w:val="000000"/>
                <w:sz w:val="24"/>
                <w:szCs w:val="24"/>
                <w:u w:val="none"/>
              </w:rPr>
              <w:t>相对集中办公区域</w:t>
            </w:r>
            <w:r>
              <w:rPr>
                <w:rFonts w:hint="eastAsia" w:ascii="宋体" w:hAnsi="宋体" w:eastAsia="宋体" w:cs="宋体"/>
                <w:i w:val="0"/>
                <w:color w:val="000000"/>
                <w:sz w:val="24"/>
                <w:szCs w:val="24"/>
                <w:u w:val="none"/>
                <w:lang w:val="en-US" w:eastAsia="zh-CN"/>
              </w:rPr>
              <w:t>以及设施设备正常运转</w:t>
            </w:r>
          </w:p>
        </w:tc>
      </w:tr>
      <w:tr w14:paraId="17003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23893C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F7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EB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68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58B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E73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1D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8D0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F48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03E49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CE2B0D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483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7471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729C">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电梯维修维保次数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645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A2B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260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6B2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57C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16次</w:t>
            </w:r>
          </w:p>
        </w:tc>
      </w:tr>
      <w:tr w14:paraId="74C57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25687C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809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760F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C9D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消防维修维保次数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C1F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C34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0BC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8CB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44A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12次</w:t>
            </w:r>
          </w:p>
        </w:tc>
      </w:tr>
      <w:tr w14:paraId="53282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A6AB62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622D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B7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71D9">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rPr>
              <w:t>安全</w:t>
            </w:r>
            <w:r>
              <w:rPr>
                <w:rFonts w:hint="eastAsia" w:ascii="宋体" w:hAnsi="宋体" w:eastAsia="宋体" w:cs="宋体"/>
                <w:i w:val="0"/>
                <w:color w:val="000000"/>
                <w:sz w:val="24"/>
                <w:szCs w:val="24"/>
                <w:u w:val="none"/>
                <w:lang w:val="en-US" w:eastAsia="zh-CN"/>
              </w:rPr>
              <w:t>达标率、运行保障率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115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83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DD1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E33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7A6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10C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C34CA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3278C3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EB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788D">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维修及时率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A7C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3CA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3B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70F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312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DDF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7A7E62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056B923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59AA1E7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59AABCF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A64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保障办公环境，提高服务质量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ECD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5DE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199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B90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627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9BE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67A49B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E0B67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C1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61E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提升办事效率，保障工作正常运转</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961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5E3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2C1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11D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933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E4FC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21D3EC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01F26A2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171EA8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1367BF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3EAFE8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FA73">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上级部门和相关单位、群众满意度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C0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0F0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566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5E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888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9E1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FB6F04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6A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56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158779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2AB5558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659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3AE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0AC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0D9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27C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168万元</w:t>
            </w:r>
          </w:p>
        </w:tc>
      </w:tr>
    </w:tbl>
    <w:p w14:paraId="1D3A7D39">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1D1A3710">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090DD1F8">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（2024年专项运转经费）</w:t>
      </w:r>
    </w:p>
    <w:p w14:paraId="102144D3">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2B03C38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22409F33">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Fonts w:hint="default" w:ascii="仿宋_GB2312" w:hAnsi="仿宋_GB2312" w:eastAsia="仿宋_GB2312" w:cs="仿宋_GB2312"/>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机关事务服务中心自2021年成立以来，承接了全县公务用车管理</w:t>
      </w:r>
      <w:r>
        <w:rPr>
          <w:rFonts w:hint="eastAsia" w:ascii="方正仿宋_GBK" w:hAnsi="方正仿宋_GBK" w:eastAsia="方正仿宋_GBK" w:cs="方正仿宋_GBK"/>
          <w:color w:val="000000"/>
          <w:kern w:val="0"/>
          <w:sz w:val="32"/>
          <w:szCs w:val="32"/>
          <w:highlight w:val="none"/>
          <w:lang w:val="en-US" w:eastAsia="zh-CN" w:bidi="ar"/>
        </w:rPr>
        <w:t>工作以及公共机构节能等工作。为全面推进公务用车制度改革，规范公务用车运行管理，有效降低运行成本，按照省市公车改革文件精神，市级节能重点任务安排，积极组建公务用车平台，切实保障公务用车有效出行，有效降低能耗等。</w:t>
      </w:r>
    </w:p>
    <w:p w14:paraId="744B50DE">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35C0DC3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县级财政资金196.77万元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主要用于公务用车运行及节能宣传推广等。</w:t>
      </w:r>
    </w:p>
    <w:p w14:paraId="62A1A23F">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6412397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目标：确保全县69辆公务用车正常运行及党政机关公务出行，保障管理人员工资正常发放。保障全县公共机构节能宣传及监测工作，提高节能意识，绿色、低碳发展。</w:t>
      </w:r>
    </w:p>
    <w:p w14:paraId="791C826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2.产出数量：公务用车运行车辆69辆；节能宣传推广活动不低于3次。</w:t>
      </w:r>
    </w:p>
    <w:p w14:paraId="6C3DB3F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3.产出质量：工资发放率、车辆运转率100%；</w:t>
      </w: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日常工作达标率100%。</w:t>
      </w:r>
    </w:p>
    <w:p w14:paraId="28A4C97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4.产出时效：车辆调度及时率100%；</w:t>
      </w:r>
    </w:p>
    <w:p w14:paraId="6434E43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5.社会效益：有效保障公务出行，降低运行成本。</w:t>
      </w:r>
    </w:p>
    <w:p w14:paraId="26C7426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6.可持续影响：提高工作质量、建立保障标准；</w:t>
      </w:r>
    </w:p>
    <w:p w14:paraId="7AA30AF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7.满意度：上级部门和相关单位满意度：达98%以上；</w:t>
      </w:r>
    </w:p>
    <w:p w14:paraId="4E4E2C4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8.经济成本控制范围小于196.77万元。</w:t>
      </w:r>
    </w:p>
    <w:p w14:paraId="036D9B2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7AE78AA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7C130A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48AA160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1783A320">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5A9D1A85">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21409B7F">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265A454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78528A4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52303C8A">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57F58E6C">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0C270829">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74C6256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该项目通过年初预算批复后，根据项目推进情况申请资金下达，截至2024年底，资金到位196.77万元，已支出196.77万元，预算执行率100%。项目运行成本在可控制范围内。</w:t>
      </w:r>
    </w:p>
    <w:p w14:paraId="4BFC852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楷体_GB2312" w:hAnsi="楷体_GB2312" w:eastAsia="楷体_GB2312" w:cs="楷体_GB2312"/>
          <w:color w:val="auto"/>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通过该项目的实施，确保了全县重大会议及重大活动的顺利开展以及69辆公务用车的运行维护，达到了预期目标。提高了</w:t>
      </w:r>
      <w:r>
        <w:rPr>
          <w:rFonts w:hint="eastAsia" w:ascii="方正仿宋_GBK" w:hAnsi="方正仿宋_GBK" w:eastAsia="方正仿宋_GBK" w:cs="方正仿宋_GBK"/>
          <w:sz w:val="32"/>
          <w:szCs w:val="32"/>
          <w:highlight w:val="none"/>
        </w:rPr>
        <w:t>广大人民群众</w:t>
      </w:r>
      <w:r>
        <w:rPr>
          <w:rFonts w:hint="eastAsia" w:ascii="方正仿宋_GBK" w:hAnsi="方正仿宋_GBK" w:eastAsia="方正仿宋_GBK" w:cs="方正仿宋_GBK"/>
          <w:sz w:val="32"/>
          <w:szCs w:val="32"/>
          <w:highlight w:val="none"/>
          <w:lang w:val="en-US" w:eastAsia="zh-CN"/>
        </w:rPr>
        <w:t>对党和国家政策的知晓度，提高了工作质量，建立了保障标准，切实提升了群众的获得感与满意度。</w:t>
      </w:r>
    </w:p>
    <w:p w14:paraId="0C4A85C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7879A29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2024年公务用车运行经费项目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11FEFF5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2024年我单位公务用车运行经费严格按规定用途、适用范围进行本单位专项资金分配，资金管理和资金分配符合专项资金管理要求。</w:t>
      </w:r>
    </w:p>
    <w:p w14:paraId="7368DAF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6339BE8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2024年我单位公务用车运行正常，日常调度及时，有效保障了机关公务出行。</w:t>
      </w:r>
    </w:p>
    <w:p w14:paraId="4AE4ADFB">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2FF49D8">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1E933E08">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6D0B5FA8">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0EC5666B">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38104D0A">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23AC8E30">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default" w:ascii="方正仿宋_GBK" w:hAnsi="方正仿宋_GBK" w:eastAsia="方正仿宋_GBK" w:cs="方正仿宋_GBK"/>
          <w:color w:val="auto"/>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18D9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38F07CB0">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2D55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2CD0A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A5BEF5">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2024年专项运转经费</w:t>
            </w:r>
          </w:p>
        </w:tc>
      </w:tr>
      <w:tr w14:paraId="45D8C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C6CA9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4A7FF6">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1EB8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CE364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7DFE81">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51A24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E6E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06F96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0D9170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3DD14B">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5D88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59E9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0BCFF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B6FA93">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7号</w:t>
            </w:r>
          </w:p>
        </w:tc>
      </w:tr>
      <w:tr w14:paraId="6196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8BD2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5007D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A4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171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884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47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402F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CC1E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9BEF1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C43C0E">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0E7A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95D5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74C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4BEF2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党政机关公务用车运行维护</w:t>
            </w:r>
          </w:p>
        </w:tc>
      </w:tr>
      <w:tr w14:paraId="5CA8B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15B0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32B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055C54">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5E25F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78F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07971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E301BE">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4FC77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EFFC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0369AD5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B487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94E61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196.77</w:t>
            </w:r>
          </w:p>
        </w:tc>
      </w:tr>
      <w:tr w14:paraId="65CCD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8C71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3127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6C981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196.77</w:t>
            </w:r>
          </w:p>
        </w:tc>
      </w:tr>
      <w:tr w14:paraId="0B9D3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B3854">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507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0FF2BD">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0216B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1DF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B777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6DA4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F2EA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B7436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确保全县69辆公务用车正常运行及党政机关公务出行，保障管理人员工资正常发放。</w:t>
            </w:r>
          </w:p>
        </w:tc>
      </w:tr>
      <w:tr w14:paraId="330D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7B75EE2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6F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33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1B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AB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DA7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8B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CC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D5E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4231A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3579E6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3FC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right w:val="single" w:color="000000" w:sz="4" w:space="0"/>
            </w:tcBorders>
            <w:shd w:val="clear" w:color="auto" w:fill="auto"/>
            <w:vAlign w:val="center"/>
          </w:tcPr>
          <w:p w14:paraId="22212F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895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公务用车运行车辆数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2F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EA1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69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4FB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辆</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BBD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622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69辆</w:t>
            </w:r>
          </w:p>
        </w:tc>
      </w:tr>
      <w:tr w14:paraId="6B8ED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6A0AC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0EFE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right w:val="single" w:color="000000" w:sz="4" w:space="0"/>
            </w:tcBorders>
            <w:shd w:val="clear" w:color="auto" w:fill="auto"/>
            <w:vAlign w:val="center"/>
          </w:tcPr>
          <w:p w14:paraId="1DF34FC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428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公务用车管理人员数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40E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D1A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C82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887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AA5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27人</w:t>
            </w:r>
          </w:p>
        </w:tc>
      </w:tr>
      <w:tr w14:paraId="600F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530F2B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D445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right w:val="single" w:color="000000" w:sz="4" w:space="0"/>
            </w:tcBorders>
            <w:shd w:val="clear" w:color="auto" w:fill="auto"/>
            <w:vAlign w:val="center"/>
          </w:tcPr>
          <w:p w14:paraId="21FCD2C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891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印发宣传手册</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BEF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4BB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096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册</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5AE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3EA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5000册</w:t>
            </w:r>
          </w:p>
        </w:tc>
      </w:tr>
      <w:tr w14:paraId="14683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8A13B1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5B38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bottom w:val="single" w:color="000000" w:sz="4" w:space="0"/>
              <w:right w:val="single" w:color="000000" w:sz="4" w:space="0"/>
            </w:tcBorders>
            <w:shd w:val="clear" w:color="auto" w:fill="auto"/>
            <w:vAlign w:val="center"/>
          </w:tcPr>
          <w:p w14:paraId="713DD3D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B80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节能宣传活动推广次数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2ED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E83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D59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30D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1A3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3次</w:t>
            </w:r>
          </w:p>
        </w:tc>
      </w:tr>
      <w:tr w14:paraId="30518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B4EAF4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4DEA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restart"/>
            <w:tcBorders>
              <w:top w:val="single" w:color="000000" w:sz="4" w:space="0"/>
              <w:left w:val="single" w:color="000000" w:sz="4" w:space="0"/>
              <w:right w:val="single" w:color="000000" w:sz="4" w:space="0"/>
            </w:tcBorders>
            <w:shd w:val="clear" w:color="auto" w:fill="auto"/>
            <w:vAlign w:val="center"/>
          </w:tcPr>
          <w:p w14:paraId="5F1EE3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E09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宣传推广活动参与率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B46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197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0AA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E57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BEC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1E07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57B07E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7D1D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right w:val="single" w:color="000000" w:sz="4" w:space="0"/>
            </w:tcBorders>
            <w:shd w:val="clear" w:color="auto" w:fill="auto"/>
            <w:vAlign w:val="center"/>
          </w:tcPr>
          <w:p w14:paraId="1BA36E9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58F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公务出行保障率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6A1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190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4A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611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A4E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1F0D3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EF40AD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145F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bottom w:val="single" w:color="000000" w:sz="4" w:space="0"/>
              <w:right w:val="single" w:color="000000" w:sz="4" w:space="0"/>
            </w:tcBorders>
            <w:shd w:val="clear" w:color="auto" w:fill="auto"/>
            <w:vAlign w:val="center"/>
          </w:tcPr>
          <w:p w14:paraId="3D33BC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32D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日常工作达标率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C69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7F6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86C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5F1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8AD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6F3BE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39A9FA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51B8D0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restart"/>
            <w:tcBorders>
              <w:top w:val="single" w:color="000000" w:sz="4" w:space="0"/>
              <w:left w:val="single" w:color="000000" w:sz="4" w:space="0"/>
              <w:right w:val="single" w:color="000000" w:sz="4" w:space="0"/>
            </w:tcBorders>
            <w:shd w:val="clear" w:color="auto" w:fill="auto"/>
            <w:vAlign w:val="center"/>
          </w:tcPr>
          <w:p w14:paraId="1FBE8E7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F1D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车辆调度及时率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E23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21F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CA7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019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AD9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F74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4C360E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auto" w:sz="4" w:space="0"/>
              <w:right w:val="single" w:color="000000" w:sz="4" w:space="0"/>
            </w:tcBorders>
            <w:shd w:val="clear" w:color="auto" w:fill="auto"/>
            <w:vAlign w:val="center"/>
          </w:tcPr>
          <w:p w14:paraId="587BE1E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left w:val="single" w:color="000000" w:sz="4" w:space="0"/>
              <w:bottom w:val="single" w:color="000000" w:sz="4" w:space="0"/>
              <w:right w:val="single" w:color="000000" w:sz="4" w:space="0"/>
            </w:tcBorders>
            <w:shd w:val="clear" w:color="auto" w:fill="auto"/>
            <w:vAlign w:val="center"/>
          </w:tcPr>
          <w:p w14:paraId="23A384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5F4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工作任务完成时限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D8E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6DD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C28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月</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9DC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1E0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w:t>
            </w:r>
          </w:p>
        </w:tc>
      </w:tr>
      <w:tr w14:paraId="35EFA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5BD01F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3ECD85A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vMerge w:val="restart"/>
            <w:tcBorders>
              <w:top w:val="single" w:color="000000" w:sz="4" w:space="0"/>
              <w:left w:val="single" w:color="000000" w:sz="4" w:space="0"/>
              <w:right w:val="single" w:color="000000" w:sz="4" w:space="0"/>
            </w:tcBorders>
            <w:shd w:val="clear" w:color="auto" w:fill="auto"/>
            <w:vAlign w:val="center"/>
          </w:tcPr>
          <w:p w14:paraId="0D3C52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617612C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7B2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有效保障公务出行</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940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0F4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有效</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524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80A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105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有效</w:t>
            </w:r>
          </w:p>
        </w:tc>
      </w:tr>
      <w:tr w14:paraId="7E25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D560DA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left w:val="single" w:color="000000" w:sz="4" w:space="0"/>
              <w:right w:val="single" w:color="000000" w:sz="4" w:space="0"/>
            </w:tcBorders>
            <w:shd w:val="clear" w:color="auto" w:fill="auto"/>
            <w:vAlign w:val="center"/>
          </w:tcPr>
          <w:p w14:paraId="11E6463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p>
        </w:tc>
        <w:tc>
          <w:tcPr>
            <w:tcW w:w="1250" w:type="dxa"/>
            <w:vMerge w:val="continue"/>
            <w:tcBorders>
              <w:left w:val="single" w:color="000000" w:sz="4" w:space="0"/>
              <w:right w:val="single" w:color="000000" w:sz="4" w:space="0"/>
            </w:tcBorders>
            <w:shd w:val="clear" w:color="auto" w:fill="auto"/>
            <w:vAlign w:val="center"/>
          </w:tcPr>
          <w:p w14:paraId="181C56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CE3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降低运行成本</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25D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180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降低</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A1D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B03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2B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降低</w:t>
            </w:r>
          </w:p>
        </w:tc>
      </w:tr>
      <w:tr w14:paraId="3F94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2A00C9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04DF84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392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089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工作长效机制健全性</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8E5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157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健全</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D9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206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4E3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健全</w:t>
            </w:r>
          </w:p>
        </w:tc>
      </w:tr>
      <w:tr w14:paraId="33561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B5FA89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208F56F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306990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26D1BD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76233D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28C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上级部门和相关单位满意度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9D6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3D6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E5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79D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F80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DCC8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0704A8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4B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45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75D7F3F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5637584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C37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191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196.77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47A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4A0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796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196.77</w:t>
            </w:r>
          </w:p>
        </w:tc>
      </w:tr>
    </w:tbl>
    <w:p w14:paraId="6FC171D1">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2A16038A">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0EA49FD5">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（“走基层送温暖”慰问活动资金）</w:t>
      </w:r>
    </w:p>
    <w:p w14:paraId="2286501C">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1025E87F">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1CA70DCC">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根据</w:t>
      </w:r>
      <w:r>
        <w:rPr>
          <w:rFonts w:hint="eastAsia" w:ascii="方正仿宋_GBK" w:hAnsi="方正仿宋_GBK" w:eastAsia="方正仿宋_GBK" w:cs="方正仿宋_GBK"/>
          <w:sz w:val="32"/>
          <w:szCs w:val="32"/>
          <w:highlight w:val="none"/>
          <w:lang w:val="zh-CN" w:eastAsia="zh-CN"/>
        </w:rPr>
        <w:t>《</w:t>
      </w:r>
      <w:r>
        <w:rPr>
          <w:rFonts w:hint="eastAsia" w:ascii="方正仿宋_GBK" w:hAnsi="方正仿宋_GBK" w:eastAsia="方正仿宋_GBK" w:cs="方正仿宋_GBK"/>
          <w:sz w:val="32"/>
          <w:szCs w:val="32"/>
          <w:highlight w:val="none"/>
          <w:lang w:val="en-US" w:eastAsia="zh-CN"/>
        </w:rPr>
        <w:t>中共渠县县委办公室  渠县人民政府办公室关于开展“走基层、送温暖”慰问活动的通知</w:t>
      </w:r>
      <w:r>
        <w:rPr>
          <w:rFonts w:hint="eastAsia" w:ascii="方正仿宋_GBK" w:hAnsi="方正仿宋_GBK" w:eastAsia="方正仿宋_GBK" w:cs="方正仿宋_GBK"/>
          <w:sz w:val="32"/>
          <w:szCs w:val="32"/>
          <w:highlight w:val="none"/>
          <w:lang w:val="zh-CN" w:eastAsia="zh-CN"/>
        </w:rPr>
        <w:t>》（</w:t>
      </w:r>
      <w:r>
        <w:rPr>
          <w:rFonts w:hint="eastAsia" w:ascii="方正仿宋_GBK" w:hAnsi="方正仿宋_GBK" w:eastAsia="方正仿宋_GBK" w:cs="方正仿宋_GBK"/>
          <w:color w:val="000000"/>
          <w:kern w:val="0"/>
          <w:sz w:val="32"/>
          <w:szCs w:val="32"/>
          <w:lang w:val="en-US" w:eastAsia="zh-CN" w:bidi="ar"/>
        </w:rPr>
        <w:t>渠委办发〔2024〕3号</w:t>
      </w:r>
      <w:r>
        <w:rPr>
          <w:rFonts w:hint="eastAsia" w:ascii="方正仿宋_GBK" w:hAnsi="方正仿宋_GBK" w:eastAsia="方正仿宋_GBK" w:cs="方正仿宋_GBK"/>
          <w:sz w:val="32"/>
          <w:szCs w:val="32"/>
          <w:highlight w:val="none"/>
          <w:lang w:val="zh-CN" w:eastAsia="zh-CN"/>
        </w:rPr>
        <w:t>）</w:t>
      </w:r>
      <w:r>
        <w:rPr>
          <w:rFonts w:hint="eastAsia" w:ascii="方正仿宋_GBK" w:hAnsi="方正仿宋_GBK" w:eastAsia="方正仿宋_GBK" w:cs="方正仿宋_GBK"/>
          <w:sz w:val="32"/>
          <w:szCs w:val="32"/>
          <w:highlight w:val="none"/>
          <w:lang w:val="en-US" w:eastAsia="zh-CN"/>
        </w:rPr>
        <w:t>文件要求，用于春节期间县级领导开展慰问活动。</w:t>
      </w:r>
    </w:p>
    <w:p w14:paraId="43FB4CE7">
      <w:pPr>
        <w:keepNext w:val="0"/>
        <w:keepLines w:val="0"/>
        <w:widowControl/>
        <w:suppressLineNumbers w:val="0"/>
        <w:ind w:firstLine="643" w:firstLineChars="200"/>
        <w:jc w:val="left"/>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p>
    <w:p w14:paraId="7A834E52">
      <w:pPr>
        <w:keepNext w:val="0"/>
        <w:keepLines w:val="0"/>
        <w:widowControl/>
        <w:suppressLineNumbers w:val="0"/>
        <w:ind w:firstLine="640" w:firstLineChars="200"/>
        <w:jc w:val="left"/>
        <w:rPr>
          <w:rFonts w:hint="eastAsia" w:ascii="方正仿宋_GBK" w:hAnsi="方正仿宋_GBK" w:eastAsia="方正仿宋_GBK" w:cs="方正仿宋_GBK"/>
          <w:sz w:val="32"/>
          <w:szCs w:val="32"/>
          <w:highlight w:val="none"/>
          <w:lang w:val="en-US" w:eastAsia="zh-CN"/>
        </w:rPr>
      </w:pPr>
      <w:r>
        <w:rPr>
          <w:rFonts w:ascii="方正仿宋_GBK" w:hAnsi="方正仿宋_GBK" w:eastAsia="方正仿宋_GBK" w:cs="方正仿宋_GBK"/>
          <w:color w:val="000000"/>
          <w:kern w:val="0"/>
          <w:sz w:val="32"/>
          <w:szCs w:val="32"/>
          <w:lang w:val="en-US" w:eastAsia="zh-CN" w:bidi="ar"/>
        </w:rPr>
        <w:t>为切实加强和保障民生，让全县人民过上一个欢乐祥和的新</w:t>
      </w:r>
      <w:r>
        <w:rPr>
          <w:rFonts w:hint="eastAsia" w:ascii="方正仿宋_GBK" w:hAnsi="方正仿宋_GBK" w:eastAsia="方正仿宋_GBK" w:cs="方正仿宋_GBK"/>
          <w:color w:val="000000"/>
          <w:kern w:val="0"/>
          <w:sz w:val="32"/>
          <w:szCs w:val="32"/>
          <w:lang w:val="en-US" w:eastAsia="zh-CN" w:bidi="ar"/>
        </w:rPr>
        <w:t>春佳节。</w:t>
      </w:r>
      <w:r>
        <w:rPr>
          <w:rFonts w:hint="eastAsia" w:ascii="方正仿宋_GBK" w:hAnsi="方正仿宋_GBK" w:eastAsia="方正仿宋_GBK" w:cs="方正仿宋_GBK"/>
          <w:sz w:val="32"/>
          <w:szCs w:val="32"/>
          <w:highlight w:val="none"/>
          <w:lang w:val="en-US" w:eastAsia="zh-CN"/>
        </w:rPr>
        <w:t>在实施项目过程中，厉行节约，避免浪费，使项目资金能最大限度地发挥其作用。</w:t>
      </w:r>
    </w:p>
    <w:p w14:paraId="2F9E9C9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县级财政资金127.6万元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主要用于县级领导春节慰问困难群众等。</w:t>
      </w:r>
    </w:p>
    <w:p w14:paraId="014F9307">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1AEA08A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目标：及时开展分层次多形式走访慰问，切实将党和政府的温暖送到最需要关心的困难群众心坎上，真正把实事办好、好事办实，慰问困难群众1158人。</w:t>
      </w:r>
    </w:p>
    <w:p w14:paraId="1C997F2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2.产出数量：慰问人数1158人；</w:t>
      </w:r>
    </w:p>
    <w:p w14:paraId="19AFD3C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3.产出质量：发放准确率100%；</w:t>
      </w:r>
    </w:p>
    <w:p w14:paraId="530B1A5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4.产出时效：发放及时率100%；</w:t>
      </w:r>
    </w:p>
    <w:p w14:paraId="103ACE1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5.社会效益：社会满意度提升，整体环境向好。</w:t>
      </w:r>
    </w:p>
    <w:p w14:paraId="4FA79B0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6.可持续影响：引导人民群众积极向上</w:t>
      </w:r>
    </w:p>
    <w:p w14:paraId="580525C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7.满意度：慰问对象满意度达100%；</w:t>
      </w:r>
    </w:p>
    <w:p w14:paraId="4C665D6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8.经济成本控制范围小于127.6万元。</w:t>
      </w:r>
    </w:p>
    <w:p w14:paraId="47777EF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1A0BD25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556C565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szCs w:val="32"/>
          <w:lang w:val="en-US" w:eastAsia="zh-CN"/>
        </w:rPr>
        <w:t>一</w:t>
      </w:r>
      <w:r>
        <w:rPr>
          <w:rFonts w:hint="eastAsia" w:ascii="方正楷体_GBK" w:hAnsi="方正楷体_GBK" w:eastAsia="方正楷体_GBK" w:cs="方正楷体_GBK"/>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2FE31332">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773DCD13">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51C464F3">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1F5A1CBE">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2FAC015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EBEBCB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zh-CN"/>
        </w:rPr>
        <w:t>（一）</w:t>
      </w:r>
      <w:r>
        <w:rPr>
          <w:rFonts w:hint="eastAsia" w:ascii="方正楷体_GBK" w:hAnsi="方正楷体_GBK" w:eastAsia="方正楷体_GBK" w:cs="方正楷体_GBK"/>
          <w:b/>
          <w:color w:val="auto"/>
          <w:sz w:val="32"/>
          <w:szCs w:val="32"/>
          <w:highlight w:val="none"/>
          <w:u w:val="none"/>
          <w:lang w:val="en-US" w:eastAsia="zh-CN"/>
        </w:rPr>
        <w:t>通用指标</w:t>
      </w:r>
      <w:r>
        <w:rPr>
          <w:rFonts w:hint="eastAsia" w:ascii="方正楷体_GBK" w:hAnsi="方正楷体_GBK" w:eastAsia="方正楷体_GBK" w:cs="方正楷体_GBK"/>
          <w:b/>
          <w:bCs/>
          <w:color w:val="000000"/>
          <w:kern w:val="0"/>
          <w:sz w:val="32"/>
          <w:szCs w:val="32"/>
          <w:highlight w:val="none"/>
          <w:shd w:val="clear" w:color="auto" w:fill="FFFFFF"/>
          <w:lang w:val="zh-CN"/>
        </w:rPr>
        <w:t>绩效分析。</w:t>
      </w:r>
    </w:p>
    <w:p w14:paraId="1988EA52">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118764DF">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5FBA9E3D">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68BF666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该项目通过年初预算批复后，根据项目推进情况申请资金下达，截至2024年底，资金到位127.6万元，已支出127.6万元，预算执行率100%。项目运行成本在可控制范围内。</w:t>
      </w:r>
    </w:p>
    <w:p w14:paraId="62C7E8CD">
      <w:pPr>
        <w:keepNext w:val="0"/>
        <w:keepLines w:val="0"/>
        <w:widowControl/>
        <w:suppressLineNumbers w:val="0"/>
        <w:ind w:firstLine="640" w:firstLineChars="200"/>
        <w:jc w:val="left"/>
        <w:rPr>
          <w:rFonts w:hint="eastAsia" w:ascii="方正仿宋_GBK" w:hAnsi="方正仿宋_GBK" w:eastAsia="方正仿宋_GBK" w:cs="方正仿宋_GBK"/>
          <w:sz w:val="32"/>
          <w:szCs w:val="32"/>
          <w:lang w:val="en-US"/>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w:t>
      </w:r>
      <w:r>
        <w:rPr>
          <w:rFonts w:hint="eastAsia" w:ascii="方正仿宋_GBK" w:hAnsi="方正仿宋_GBK" w:eastAsia="方正仿宋_GBK" w:cs="方正仿宋_GBK"/>
          <w:color w:val="000000"/>
          <w:kern w:val="0"/>
          <w:sz w:val="32"/>
          <w:szCs w:val="32"/>
          <w:lang w:val="en-US" w:eastAsia="zh-CN" w:bidi="ar"/>
        </w:rPr>
        <w:t>了解掌握了困难群众、职工、党员、干部等的家庭生产生活现状，切实将党和政府的温暖送到最需要关心的困难群众心坎上。提升了人民群众的满意度和幸福感。</w:t>
      </w:r>
    </w:p>
    <w:p w14:paraId="7EE85C8E">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2C44F92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2024年项目</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4D5B08E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2024年严格按规定用途、适用范围进行本单位专项资金分配，资金管理和资金分配符合专项资金管理要求。</w:t>
      </w:r>
    </w:p>
    <w:p w14:paraId="76F748C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26A67275">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2024年我单位慰问活动经费发放及时，完成预期目标，资金管理和分配符合专项资金管理要求。</w:t>
      </w:r>
    </w:p>
    <w:p w14:paraId="50059BE9">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E136D20">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3E8A8422">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AEE21AB">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6146D9EC">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4DBEA7A4">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05C8BEE">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default" w:ascii="方正仿宋_GBK" w:hAnsi="方正仿宋_GBK" w:eastAsia="方正仿宋_GBK" w:cs="方正仿宋_GBK"/>
          <w:color w:val="auto"/>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481EA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40E8C7BE">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12303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5A2B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7ADBCC">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“走基层送温暖”慰问活动资金</w:t>
            </w:r>
          </w:p>
        </w:tc>
      </w:tr>
      <w:tr w14:paraId="205C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37EF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44A3D5">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7922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ACC07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0656E4">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民生保障类</w:t>
            </w:r>
          </w:p>
        </w:tc>
      </w:tr>
      <w:tr w14:paraId="5383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436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78FEC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4BA5F81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092729">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FA4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AAC5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B8353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D04F4C">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渠财行</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18号</w:t>
            </w:r>
          </w:p>
        </w:tc>
      </w:tr>
      <w:tr w14:paraId="4C7C1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E45D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6CE15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76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AE01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17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509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2DF95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0726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68123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7170B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关于开展</w:t>
            </w:r>
            <w:r>
              <w:rPr>
                <w:rFonts w:hint="default" w:ascii="宋体" w:hAnsi="宋体" w:eastAsia="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走基层、送温暖</w:t>
            </w:r>
            <w:r>
              <w:rPr>
                <w:rFonts w:hint="default" w:ascii="宋体" w:hAnsi="宋体" w:eastAsia="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慰问活动的通知》（</w:t>
            </w:r>
            <w:r>
              <w:rPr>
                <w:rFonts w:hint="eastAsia" w:ascii="宋体" w:hAnsi="宋体" w:cs="宋体"/>
                <w:i w:val="0"/>
                <w:color w:val="000000"/>
                <w:sz w:val="24"/>
                <w:szCs w:val="24"/>
                <w:u w:val="none"/>
                <w:lang w:val="en-US" w:eastAsia="zh-CN"/>
              </w:rPr>
              <w:t>渠委办发〔</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3号）</w:t>
            </w:r>
          </w:p>
          <w:p w14:paraId="57910C09">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p>
        </w:tc>
      </w:tr>
      <w:tr w14:paraId="0B17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07FB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86CA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0A0152">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慰问困难群众、单位</w:t>
            </w:r>
          </w:p>
        </w:tc>
      </w:tr>
      <w:tr w14:paraId="58D5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9E18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0B72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986B08">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7F25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92A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6E8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619358">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2317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3EB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6BDE19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DC3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19A5D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127.6</w:t>
            </w:r>
          </w:p>
        </w:tc>
      </w:tr>
      <w:tr w14:paraId="5A809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55205">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222B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C6714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127.6</w:t>
            </w:r>
          </w:p>
        </w:tc>
      </w:tr>
      <w:tr w14:paraId="15AB5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481F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884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4D24F0">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62CC9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AABB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786E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1EB02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250A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7274A0">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开展走访慰问单位39个、困难群众1158人。</w:t>
            </w:r>
          </w:p>
        </w:tc>
      </w:tr>
      <w:tr w14:paraId="382B4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74FD1E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BE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FEF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EA1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0A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4D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55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560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70F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353E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825996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right w:val="single" w:color="000000" w:sz="4" w:space="0"/>
            </w:tcBorders>
            <w:shd w:val="clear" w:color="auto" w:fill="auto"/>
            <w:vAlign w:val="center"/>
          </w:tcPr>
          <w:p w14:paraId="15E8AC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9C6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CC7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覆盖单位</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020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A1D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07A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B3F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410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39个</w:t>
            </w:r>
          </w:p>
        </w:tc>
      </w:tr>
      <w:tr w14:paraId="56EAE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5833B6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left w:val="single" w:color="000000" w:sz="4" w:space="0"/>
              <w:right w:val="single" w:color="000000" w:sz="4" w:space="0"/>
            </w:tcBorders>
            <w:shd w:val="clear" w:color="auto" w:fill="auto"/>
            <w:vAlign w:val="center"/>
          </w:tcPr>
          <w:p w14:paraId="66C7798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4E1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CEB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发放人数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8D3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DF9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1158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414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人</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CD4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0A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1158人</w:t>
            </w:r>
          </w:p>
        </w:tc>
      </w:tr>
      <w:tr w14:paraId="0B3C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50F55A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left w:val="single" w:color="000000" w:sz="4" w:space="0"/>
              <w:right w:val="single" w:color="000000" w:sz="4" w:space="0"/>
            </w:tcBorders>
            <w:shd w:val="clear" w:color="auto" w:fill="auto"/>
            <w:vAlign w:val="center"/>
          </w:tcPr>
          <w:p w14:paraId="7AE52E4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A3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49A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发放准确率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8AD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A55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E77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C0D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3F5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B27C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2C89E2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left w:val="single" w:color="000000" w:sz="4" w:space="0"/>
              <w:bottom w:val="single" w:color="auto" w:sz="4" w:space="0"/>
              <w:right w:val="single" w:color="000000" w:sz="4" w:space="0"/>
            </w:tcBorders>
            <w:shd w:val="clear" w:color="auto" w:fill="auto"/>
            <w:vAlign w:val="center"/>
          </w:tcPr>
          <w:p w14:paraId="05A48C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14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E20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发放及时率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97D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34C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36A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303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62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41F5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4CCDB6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62B05BD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28EE7D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224D0CC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AB8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社会满意度提升，整体环境向好</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1AC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B9C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好</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D36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2FF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3D9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好</w:t>
            </w:r>
          </w:p>
        </w:tc>
      </w:tr>
      <w:tr w14:paraId="7224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FEA51F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0571B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8D7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2C5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引导人民群众积引导人民群众积极向上极向上</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247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3E3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好</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846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D96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F01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好</w:t>
            </w:r>
          </w:p>
        </w:tc>
      </w:tr>
      <w:tr w14:paraId="09556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DDACBD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0BD10A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1BE548E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27E8CD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14E10A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EE5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慰问对象满意度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AC5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A85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B25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E54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3A1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5EBEA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C90135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3D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2B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3546C8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6CEC96A3">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0D8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24C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127.6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92D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69C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90D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127.6</w:t>
            </w:r>
          </w:p>
        </w:tc>
      </w:tr>
    </w:tbl>
    <w:p w14:paraId="680F8356">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01039A5D">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专项预算项目绩效评价报告</w:t>
      </w:r>
    </w:p>
    <w:p w14:paraId="03FA3CF9">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_GBK" w:hAnsi="方正小标宋_GBK" w:eastAsia="方正小标宋_GBK" w:cs="方正小标宋_GBK"/>
          <w:color w:val="auto"/>
          <w:kern w:val="2"/>
          <w:sz w:val="44"/>
          <w:szCs w:val="44"/>
          <w:highlight w:val="none"/>
          <w:lang w:val="en-US" w:eastAsia="zh-CN"/>
        </w:rPr>
        <w:t>（公务用车定点加油服务）</w:t>
      </w:r>
    </w:p>
    <w:p w14:paraId="03F30695">
      <w:pPr>
        <w:pStyle w:val="39"/>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285F321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5D08A1A7">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方正楷体_GBK" w:hAnsi="方正楷体_GBK" w:eastAsia="方正楷体_GBK" w:cs="方正楷体_GBK"/>
          <w:b/>
          <w:color w:val="auto"/>
          <w:sz w:val="32"/>
          <w:szCs w:val="32"/>
          <w:highlight w:val="none"/>
          <w:u w:val="none"/>
          <w:lang w:val="zh-CN"/>
        </w:rPr>
        <w:t>（一）设立背景及基本情况。</w:t>
      </w:r>
      <w:r>
        <w:rPr>
          <w:rFonts w:hint="eastAsia" w:ascii="方正仿宋_GBK" w:hAnsi="方正仿宋_GBK" w:eastAsia="方正仿宋_GBK" w:cs="方正仿宋_GBK"/>
          <w:sz w:val="32"/>
          <w:szCs w:val="32"/>
          <w:highlight w:val="none"/>
          <w:lang w:val="en-US" w:eastAsia="zh-CN"/>
        </w:rPr>
        <w:t>机关事务服务中心自2021年成立以来，承接了全县公务用车管理</w:t>
      </w:r>
      <w:r>
        <w:rPr>
          <w:rFonts w:hint="eastAsia" w:ascii="方正仿宋_GBK" w:hAnsi="方正仿宋_GBK" w:eastAsia="方正仿宋_GBK" w:cs="方正仿宋_GBK"/>
          <w:color w:val="000000"/>
          <w:kern w:val="0"/>
          <w:sz w:val="32"/>
          <w:szCs w:val="32"/>
          <w:highlight w:val="none"/>
          <w:lang w:val="en-US" w:eastAsia="zh-CN" w:bidi="ar"/>
        </w:rPr>
        <w:t>工作。为全面推进公务用车制度改革，规范公务用车运行管理，有效降低运行成本，按照省市公车改革文件精神，积极组建公务用车平台，切实保障公务用车有效出行。</w:t>
      </w:r>
    </w:p>
    <w:p w14:paraId="6951728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实施目的及支持方向。</w:t>
      </w:r>
      <w:r>
        <w:rPr>
          <w:rFonts w:hint="eastAsia" w:ascii="方正仿宋_GBK" w:hAnsi="方正仿宋_GBK" w:eastAsia="方正仿宋_GBK" w:cs="方正仿宋_GBK"/>
          <w:sz w:val="32"/>
          <w:szCs w:val="32"/>
          <w:highlight w:val="none"/>
          <w:lang w:val="en-US" w:eastAsia="zh-CN"/>
        </w:rPr>
        <w:t>经充分调查研究和论证，我单位认真制定了项目实施方案。方案可操作、可管理，符合中央、省（市、县）政府政策情况及资金管理办法。通过市场询价和科学测算，成本控制合理。在实施项目过程中，厉行节约，避免浪费，使项目资金能最大限度地发挥其作用。</w:t>
      </w:r>
    </w:p>
    <w:p w14:paraId="1946BAD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方正楷体_GBK" w:hAnsi="方正楷体_GBK" w:eastAsia="方正楷体_GBK" w:cs="方正楷体_GBK"/>
          <w:b/>
          <w:color w:val="auto"/>
          <w:sz w:val="32"/>
          <w:szCs w:val="32"/>
          <w:highlight w:val="none"/>
          <w:u w:val="none"/>
          <w:lang w:val="zh-CN" w:eastAsia="zh-CN"/>
        </w:rPr>
        <w:t>（三）</w:t>
      </w:r>
      <w:r>
        <w:rPr>
          <w:rFonts w:hint="eastAsia" w:ascii="方正楷体_GBK" w:hAnsi="方正楷体_GBK" w:eastAsia="方正楷体_GBK" w:cs="方正楷体_GBK"/>
          <w:b/>
          <w:color w:val="auto"/>
          <w:sz w:val="32"/>
          <w:szCs w:val="32"/>
          <w:highlight w:val="none"/>
          <w:u w:val="none"/>
          <w:lang w:val="en-US" w:eastAsia="zh-CN"/>
        </w:rPr>
        <w:t>预算安排及分配管理</w:t>
      </w:r>
      <w:r>
        <w:rPr>
          <w:rFonts w:hint="eastAsia" w:ascii="方正楷体_GBK" w:hAnsi="方正楷体_GBK" w:eastAsia="方正楷体_GBK" w:cs="方正楷体_GBK"/>
          <w:b/>
          <w:color w:val="auto"/>
          <w:sz w:val="32"/>
          <w:szCs w:val="32"/>
          <w:highlight w:val="none"/>
          <w:u w:val="none"/>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项目预算安排</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县级财政资金29.8万元</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主要用于公务用车燃油费。</w:t>
      </w:r>
    </w:p>
    <w:p w14:paraId="15648E86">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（四）项目绩效目标设置。</w:t>
      </w:r>
    </w:p>
    <w:p w14:paraId="563CE3C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1.</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项目整体</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目标：确保全县69辆公务用车正常运行及党政机关公务出行。</w:t>
      </w:r>
    </w:p>
    <w:p w14:paraId="672CDFD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pPr>
      <w:r>
        <w:rPr>
          <w:rFonts w:hint="eastAsia" w:ascii="方正仿宋_GBK" w:hAnsi="方正仿宋_GBK" w:eastAsia="方正仿宋_GBK" w:cs="方正仿宋_GBK"/>
          <w:b w:val="0"/>
          <w:bCs w:val="0"/>
          <w:color w:val="auto"/>
          <w:kern w:val="0"/>
          <w:sz w:val="32"/>
          <w:szCs w:val="32"/>
          <w:highlight w:val="none"/>
          <w:u w:val="none"/>
          <w:shd w:val="clear" w:color="auto" w:fill="FFFFFF"/>
          <w:lang w:val="en-US" w:eastAsia="zh-CN" w:bidi="ar-SA"/>
        </w:rPr>
        <w:t>2.产出数量：公务用车运行车辆69辆；</w:t>
      </w:r>
    </w:p>
    <w:p w14:paraId="650BB45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3.产出质量：工资发放率、车辆运转率100%；</w:t>
      </w:r>
    </w:p>
    <w:p w14:paraId="6D8BEB3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4.产出时效：车辆调度及时率100%；</w:t>
      </w:r>
    </w:p>
    <w:p w14:paraId="303BC87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5.社会效益：车辆利用率100%；</w:t>
      </w:r>
    </w:p>
    <w:p w14:paraId="64311E0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6.可持续影响：提高工作质量、建立保障标准；</w:t>
      </w:r>
    </w:p>
    <w:p w14:paraId="09E2865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7.满意度：上级部门和相关单位满意度：达98%以上；</w:t>
      </w:r>
    </w:p>
    <w:p w14:paraId="61F8F70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方正仿宋_GBK" w:hAnsi="方正仿宋_GBK" w:eastAsia="方正仿宋_GBK" w:cs="方正仿宋_GBK"/>
          <w:color w:val="auto"/>
          <w:kern w:val="0"/>
          <w:sz w:val="32"/>
          <w:szCs w:val="32"/>
          <w:highlight w:val="none"/>
          <w:u w:val="none"/>
          <w:shd w:val="clear" w:color="auto" w:fill="FFFFFF"/>
          <w:lang w:val="en-US" w:eastAsia="zh-CN"/>
        </w:rPr>
      </w:pP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8.经济成本控制范围小于29.8万元。</w:t>
      </w:r>
    </w:p>
    <w:p w14:paraId="420F8C5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项目自评工作开展情况：</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根据《渠县财政局关于开展县级部门绩效自评工作的通知》（渠财绩〔2025〕5号）文件要求，我单位高度重视，</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成立绩效目标自评小组，评价小组根据</w:t>
      </w:r>
      <w:r>
        <w:rPr>
          <w:rFonts w:hint="eastAsia" w:ascii="方正仿宋_GBK" w:hAnsi="方正仿宋_GBK" w:eastAsia="方正仿宋_GBK" w:cs="方正仿宋_GBK"/>
          <w:color w:val="auto"/>
          <w:kern w:val="0"/>
          <w:sz w:val="32"/>
          <w:szCs w:val="32"/>
          <w:highlight w:val="none"/>
          <w:u w:val="none"/>
          <w:shd w:val="clear" w:color="auto" w:fill="FFFFFF"/>
          <w:lang w:val="en-US" w:eastAsia="zh-CN"/>
        </w:rPr>
        <w:t>专项预算项目绩效评价体系</w:t>
      </w:r>
      <w:r>
        <w:rPr>
          <w:rFonts w:hint="eastAsia" w:ascii="方正仿宋_GBK" w:hAnsi="方正仿宋_GBK" w:eastAsia="方正仿宋_GBK" w:cs="方正仿宋_GBK"/>
          <w:color w:val="auto"/>
          <w:kern w:val="0"/>
          <w:sz w:val="32"/>
          <w:szCs w:val="32"/>
          <w:highlight w:val="none"/>
          <w:u w:val="none"/>
          <w:shd w:val="clear" w:color="auto" w:fill="FFFFFF"/>
          <w:lang w:val="zh-CN" w:eastAsia="zh-CN"/>
        </w:rPr>
        <w:t>开展分析评价，确保自评结果真实、客观、准确，最后归纳问题，分析原因，提出建议，形成最终自评报告。</w:t>
      </w:r>
    </w:p>
    <w:p w14:paraId="08E2A6A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24EA249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color w:val="auto"/>
          <w:sz w:val="32"/>
          <w:szCs w:val="32"/>
          <w:highlight w:val="none"/>
          <w:u w:val="none"/>
          <w:lang w:val="en-US" w:eastAsia="zh-CN"/>
        </w:rPr>
        <w:t>评价目的。</w:t>
      </w:r>
      <w:r>
        <w:rPr>
          <w:rFonts w:hint="eastAsia" w:ascii="方正仿宋_GBK" w:hAnsi="方正仿宋_GBK" w:eastAsia="方正仿宋_GBK" w:cs="方正仿宋_GBK"/>
          <w:sz w:val="32"/>
          <w:szCs w:val="32"/>
        </w:rPr>
        <w:t>通过</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rPr>
        <w:t>绩效</w:t>
      </w:r>
      <w:r>
        <w:rPr>
          <w:rFonts w:hint="eastAsia" w:ascii="方正仿宋_GBK" w:hAnsi="方正仿宋_GBK" w:eastAsia="方正仿宋_GBK" w:cs="方正仿宋_GBK"/>
          <w:sz w:val="32"/>
          <w:szCs w:val="32"/>
          <w:lang w:eastAsia="zh-CN"/>
        </w:rPr>
        <w:t>自评，</w:t>
      </w:r>
      <w:r>
        <w:rPr>
          <w:rFonts w:hint="eastAsia" w:ascii="方正仿宋_GBK" w:hAnsi="方正仿宋_GBK" w:eastAsia="方正仿宋_GBK" w:cs="方正仿宋_GBK"/>
          <w:sz w:val="32"/>
          <w:szCs w:val="32"/>
          <w:lang w:val="en-US" w:eastAsia="zh-CN"/>
        </w:rPr>
        <w:t>将评价</w:t>
      </w:r>
      <w:r>
        <w:rPr>
          <w:rFonts w:hint="eastAsia" w:ascii="方正仿宋_GBK" w:hAnsi="方正仿宋_GBK" w:eastAsia="方正仿宋_GBK" w:cs="方正仿宋_GBK"/>
          <w:sz w:val="32"/>
          <w:szCs w:val="32"/>
          <w:lang w:eastAsia="zh-CN"/>
        </w:rPr>
        <w:t>结果作为完善政策制度、改进项目管理、精准受益对象、优化支出结构等方面的重要依据，切实提高财政资金使用效益。</w:t>
      </w:r>
    </w:p>
    <w:p w14:paraId="1015283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b/>
          <w:color w:val="auto"/>
          <w:sz w:val="32"/>
          <w:szCs w:val="32"/>
          <w:highlight w:val="none"/>
          <w:u w:val="none"/>
          <w:lang w:val="zh-CN"/>
        </w:rPr>
        <w:t>（二）</w:t>
      </w:r>
      <w:r>
        <w:rPr>
          <w:rFonts w:hint="eastAsia" w:ascii="方正楷体_GBK" w:hAnsi="方正楷体_GBK" w:eastAsia="方正楷体_GBK" w:cs="方正楷体_GBK"/>
          <w:b/>
          <w:color w:val="auto"/>
          <w:sz w:val="32"/>
          <w:szCs w:val="32"/>
          <w:highlight w:val="none"/>
          <w:u w:val="none"/>
          <w:lang w:val="en-US" w:eastAsia="zh-CN"/>
        </w:rPr>
        <w:t>预设问题及</w:t>
      </w:r>
      <w:r>
        <w:rPr>
          <w:rFonts w:hint="eastAsia" w:ascii="方正楷体_GBK" w:hAnsi="方正楷体_GBK" w:eastAsia="方正楷体_GBK" w:cs="方正楷体_GBK"/>
          <w:b/>
          <w:color w:val="auto"/>
          <w:sz w:val="32"/>
          <w:szCs w:val="32"/>
          <w:highlight w:val="none"/>
          <w:u w:val="none"/>
          <w:lang w:val="zh-CN"/>
        </w:rPr>
        <w:t>评价重点。</w:t>
      </w:r>
      <w:r>
        <w:rPr>
          <w:rFonts w:hint="eastAsia" w:ascii="方正仿宋_GBK" w:hAnsi="方正仿宋_GBK" w:eastAsia="方正仿宋_GBK" w:cs="方正仿宋_GBK"/>
          <w:sz w:val="32"/>
          <w:szCs w:val="32"/>
          <w:lang w:eastAsia="zh-CN"/>
        </w:rPr>
        <w:t>在评价项目资金支出使用全过程及其实施效果时，需要结合绩效评价指标体系进行评价。在资金筹集阶段，资金来源的合法性、稳定性和充足性以及资金到位的时间和效率方面，我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都完成的较好。在资金分配过程阶段，基于项目的实际需求，遵循公平、透明和高效的原则，我</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按照预算计划合理分配，不存在资金浪费或挪用的情况。在资金使用阶段，资金的使用符合相关法律法规和政策要求，避免违法违规行为，并保障资金使用的合规性、经济性和效率性，同时，资金使用追求经济效益和社会效益的最大化，确保资金的投入能够带来实实在在的成果。在评估项目的实施效果方面，通过实地考察、数据分析等方式，全面评估项目的实施效果，并与预期目标进行对比分析。</w:t>
      </w:r>
    </w:p>
    <w:p w14:paraId="4385942F">
      <w:pPr>
        <w:spacing w:line="600" w:lineRule="exact"/>
        <w:ind w:firstLine="643" w:firstLineChars="200"/>
        <w:rPr>
          <w:rFonts w:hint="eastAsia" w:ascii="方正仿宋_GBK" w:hAnsi="方正仿宋_GBK" w:eastAsia="方正仿宋_GBK" w:cs="方正仿宋_GBK"/>
          <w:b w:val="0"/>
          <w:bCs/>
          <w:color w:val="auto"/>
          <w:sz w:val="32"/>
          <w:szCs w:val="32"/>
          <w:highlight w:val="none"/>
          <w:u w:val="none"/>
          <w:lang w:val="zh-CN"/>
        </w:rPr>
      </w:pPr>
      <w:r>
        <w:rPr>
          <w:rFonts w:hint="eastAsia" w:ascii="方正楷体_GBK" w:hAnsi="方正楷体_GBK" w:eastAsia="方正楷体_GBK" w:cs="方正楷体_GBK"/>
          <w:b/>
          <w:color w:val="auto"/>
          <w:sz w:val="32"/>
          <w:szCs w:val="32"/>
          <w:highlight w:val="none"/>
          <w:u w:val="none"/>
          <w:lang w:val="zh-CN"/>
        </w:rPr>
        <w:t>（三）评价选点。</w:t>
      </w:r>
      <w:r>
        <w:rPr>
          <w:rFonts w:hint="eastAsia" w:ascii="方正仿宋_GBK" w:hAnsi="方正仿宋_GBK" w:eastAsia="方正仿宋_GBK" w:cs="方正仿宋_GBK"/>
          <w:b w:val="0"/>
          <w:bCs/>
          <w:color w:val="auto"/>
          <w:sz w:val="32"/>
          <w:szCs w:val="32"/>
          <w:highlight w:val="none"/>
          <w:u w:val="none"/>
          <w:lang w:val="zh-CN"/>
        </w:rPr>
        <w:t>由于该项目只有一个项目点，不存在项目选点。</w:t>
      </w:r>
    </w:p>
    <w:p w14:paraId="71AEB69F">
      <w:pPr>
        <w:spacing w:line="600" w:lineRule="exact"/>
        <w:ind w:firstLine="643"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）评价方法。</w:t>
      </w:r>
      <w:r>
        <w:rPr>
          <w:rFonts w:hint="eastAsia" w:ascii="方正仿宋_GBK" w:hAnsi="方正仿宋_GBK" w:eastAsia="方正仿宋_GBK" w:cs="方正仿宋_GBK"/>
          <w:sz w:val="32"/>
          <w:szCs w:val="32"/>
          <w:lang w:val="zh-CN" w:eastAsia="zh-CN"/>
        </w:rPr>
        <w:t>我</w:t>
      </w:r>
      <w:r>
        <w:rPr>
          <w:rFonts w:hint="eastAsia" w:ascii="方正仿宋_GBK" w:hAnsi="方正仿宋_GBK" w:eastAsia="方正仿宋_GBK" w:cs="方正仿宋_GBK"/>
          <w:sz w:val="32"/>
          <w:szCs w:val="32"/>
          <w:lang w:val="en-US" w:eastAsia="zh-CN"/>
        </w:rPr>
        <w:t>单位主要采取成本效益分析法、单位自评法等。</w:t>
      </w:r>
      <w:r>
        <w:rPr>
          <w:rFonts w:hint="eastAsia" w:ascii="方正仿宋_GBK" w:hAnsi="方正仿宋_GBK" w:eastAsia="方正仿宋_GBK" w:cs="方正仿宋_GBK"/>
          <w:sz w:val="32"/>
          <w:szCs w:val="32"/>
        </w:rPr>
        <w:t>通过绩效评价，客观、公正反映项目决策、项目管理、项目实施、项目结果、财政资金使用、经济社会效益等方面取得的成效和存在的短板。按照绩效评价结果，优化调整支持重点和资金投向，综合衡量项目支出预算资金管理使用效果，进一步优化财政支出结构，对评价好、效益高的加力支持，对评价差、效益低的项目取消调整，提高财政资金使用效益，提升财政管理效率质量，为财政部门和预算执行单位强化支出预算绩效管理提供依据，为以后年度预算安排和政策制定提供参考。</w:t>
      </w:r>
    </w:p>
    <w:p w14:paraId="43181E5D">
      <w:pPr>
        <w:keepNext w:val="0"/>
        <w:keepLines w:val="0"/>
        <w:pageBreakBefore w:val="0"/>
        <w:widowControl w:val="0"/>
        <w:kinsoku/>
        <w:wordWrap/>
        <w:overflowPunct/>
        <w:topLinePunct w:val="0"/>
        <w:autoSpaceDE/>
        <w:autoSpaceDN/>
        <w:bidi w:val="0"/>
        <w:spacing w:line="578" w:lineRule="exact"/>
        <w:ind w:firstLine="643"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b/>
          <w:color w:val="auto"/>
          <w:sz w:val="32"/>
          <w:szCs w:val="32"/>
          <w:highlight w:val="none"/>
          <w:u w:val="none"/>
          <w:lang w:val="zh-CN"/>
        </w:rPr>
        <w:t>（</w:t>
      </w:r>
      <w:r>
        <w:rPr>
          <w:rFonts w:hint="eastAsia" w:ascii="方正楷体_GBK" w:hAnsi="方正楷体_GBK" w:eastAsia="方正楷体_GBK" w:cs="方正楷体_GBK"/>
          <w:b/>
          <w:color w:val="auto"/>
          <w:sz w:val="32"/>
          <w:szCs w:val="32"/>
          <w:highlight w:val="none"/>
          <w:u w:val="none"/>
          <w:lang w:val="en-US" w:eastAsia="zh-CN"/>
        </w:rPr>
        <w:t>四</w:t>
      </w:r>
      <w:r>
        <w:rPr>
          <w:rFonts w:hint="eastAsia" w:ascii="方正楷体_GBK" w:hAnsi="方正楷体_GBK" w:eastAsia="方正楷体_GBK" w:cs="方正楷体_GBK"/>
          <w:b/>
          <w:color w:val="auto"/>
          <w:sz w:val="32"/>
          <w:szCs w:val="32"/>
          <w:highlight w:val="none"/>
          <w:u w:val="none"/>
          <w:lang w:val="zh-CN"/>
        </w:rPr>
        <w:t>）评价组织。</w:t>
      </w:r>
      <w:r>
        <w:rPr>
          <w:rFonts w:hint="eastAsia" w:ascii="方正仿宋_GBK" w:hAnsi="方正仿宋_GBK" w:eastAsia="方正仿宋_GBK" w:cs="方正仿宋_GBK"/>
          <w:sz w:val="32"/>
          <w:szCs w:val="32"/>
          <w:lang w:val="en-US" w:eastAsia="zh-CN"/>
        </w:rPr>
        <w:t>罗昊东</w:t>
      </w:r>
      <w:r>
        <w:rPr>
          <w:rFonts w:hint="eastAsia" w:ascii="方正仿宋_GBK" w:hAnsi="方正仿宋_GBK" w:eastAsia="方正仿宋_GBK" w:cs="方正仿宋_GBK"/>
          <w:sz w:val="32"/>
          <w:szCs w:val="32"/>
          <w:lang w:val="zh-CN" w:eastAsia="zh-CN"/>
        </w:rPr>
        <w:t>任组长，负责审批绩效自评方案，确保方案的科学性和合理性；对绩效自评过程进行监督和检查，确保评价的公正性和准确性；需核实绩效自评结果，确保结果真实。</w:t>
      </w:r>
      <w:r>
        <w:rPr>
          <w:rFonts w:hint="eastAsia" w:ascii="方正仿宋_GBK" w:hAnsi="方正仿宋_GBK" w:eastAsia="方正仿宋_GBK" w:cs="方正仿宋_GBK"/>
          <w:sz w:val="32"/>
          <w:szCs w:val="32"/>
          <w:lang w:val="en-US" w:eastAsia="zh-CN"/>
        </w:rPr>
        <w:t>李育林</w:t>
      </w:r>
      <w:r>
        <w:rPr>
          <w:rFonts w:hint="eastAsia" w:ascii="方正仿宋_GBK" w:hAnsi="方正仿宋_GBK" w:eastAsia="方正仿宋_GBK" w:cs="方正仿宋_GBK"/>
          <w:sz w:val="32"/>
          <w:szCs w:val="32"/>
          <w:lang w:val="zh-CN" w:eastAsia="zh-CN"/>
        </w:rPr>
        <w:t>任副组长，</w:t>
      </w:r>
      <w:r>
        <w:rPr>
          <w:rFonts w:hint="eastAsia" w:ascii="方正仿宋_GBK" w:hAnsi="方正仿宋_GBK" w:eastAsia="方正仿宋_GBK" w:cs="方正仿宋_GBK"/>
          <w:sz w:val="32"/>
          <w:szCs w:val="32"/>
          <w:lang w:val="en-US" w:eastAsia="zh-CN"/>
        </w:rPr>
        <w:t>负责协助组长制定并审核单位绩效自评的具体实施方案，确保方案的科学性、合理性和可行性；负责组织召集小组成员开展自评工作，并确保各项工作的顺利进行；需要对自评过程进行监督和部署，确保评价过程符合规范，结果客观公正；负责收集部门日常工作数据，对各项绩效指标进行统计分析，为评价工作提供有力的数据支持。王春辉、杨志慧为组员，组员需积极参与自评过程，按照既定的评价内容、评价指标和评价流程，与同组的其他成员密切合作，共同完成自评任务。</w:t>
      </w:r>
    </w:p>
    <w:p w14:paraId="1E605F1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1E3F795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b/>
          <w:color w:val="auto"/>
          <w:sz w:val="32"/>
          <w:szCs w:val="32"/>
          <w:highlight w:val="none"/>
          <w:u w:val="none"/>
          <w:lang w:val="en-US" w:eastAsia="zh-CN"/>
        </w:rPr>
      </w:pPr>
      <w:r>
        <w:rPr>
          <w:rFonts w:hint="eastAsia" w:ascii="方正仿宋_GBK" w:hAnsi="方正仿宋_GBK" w:eastAsia="方正仿宋_GBK" w:cs="方正仿宋_GBK"/>
          <w:b/>
          <w:color w:val="auto"/>
          <w:sz w:val="32"/>
          <w:szCs w:val="32"/>
          <w:highlight w:val="none"/>
          <w:u w:val="none"/>
          <w:lang w:val="zh-CN"/>
        </w:rPr>
        <w:t>（一）</w:t>
      </w:r>
      <w:r>
        <w:rPr>
          <w:rFonts w:hint="eastAsia" w:ascii="方正仿宋_GBK" w:hAnsi="方正仿宋_GBK" w:eastAsia="方正仿宋_GBK" w:cs="方正仿宋_GBK"/>
          <w:b/>
          <w:color w:val="auto"/>
          <w:sz w:val="32"/>
          <w:szCs w:val="32"/>
          <w:highlight w:val="none"/>
          <w:u w:val="none"/>
          <w:lang w:val="en-US" w:eastAsia="zh-CN"/>
        </w:rPr>
        <w:t>通用指标</w:t>
      </w:r>
      <w:r>
        <w:rPr>
          <w:rFonts w:hint="eastAsia" w:ascii="方正仿宋_GBK" w:hAnsi="方正仿宋_GBK" w:eastAsia="方正仿宋_GBK" w:cs="方正仿宋_GBK"/>
          <w:b/>
          <w:bCs/>
          <w:color w:val="000000"/>
          <w:kern w:val="0"/>
          <w:sz w:val="32"/>
          <w:szCs w:val="32"/>
          <w:highlight w:val="none"/>
          <w:shd w:val="clear" w:color="auto" w:fill="FFFFFF"/>
          <w:lang w:val="zh-CN"/>
        </w:rPr>
        <w:t>绩效分析。</w:t>
      </w:r>
    </w:p>
    <w:p w14:paraId="0AFCDAA1">
      <w:pPr>
        <w:keepNext w:val="0"/>
        <w:keepLines w:val="0"/>
        <w:pageBreakBefore w:val="0"/>
        <w:numPr>
          <w:ilvl w:val="0"/>
          <w:numId w:val="0"/>
        </w:numPr>
        <w:kinsoku/>
        <w:wordWrap/>
        <w:overflowPunct/>
        <w:topLinePunct w:val="0"/>
        <w:bidi w:val="0"/>
        <w:adjustRightInd/>
        <w:snapToGrid/>
        <w:spacing w:line="578" w:lineRule="exact"/>
        <w:ind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shd w:val="clear" w:fill="FFFFFF"/>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lang w:eastAsia="zh-CN"/>
        </w:rPr>
        <w:t>项目决策。</w:t>
      </w:r>
      <w:r>
        <w:rPr>
          <w:rFonts w:hint="eastAsia" w:ascii="方正仿宋_GBK" w:hAnsi="方正仿宋_GBK" w:eastAsia="方正仿宋_GBK" w:cs="方正仿宋_GBK"/>
          <w:color w:val="auto"/>
          <w:kern w:val="2"/>
          <w:sz w:val="32"/>
          <w:szCs w:val="32"/>
          <w:lang w:val="en-US" w:eastAsia="zh-CN" w:bidi="ar-SA"/>
        </w:rPr>
        <w:t>在项目决策这个过程中，我单位进行了充分的前期调研和需求分析，为项目提供了坚实的基础；同时，充分考虑公众参与和专家意见，确保项目的可行性和可持续性。规划论证的深入性也是评估项目绩效的关键，在项目规划阶段，制定了相应的实施计划；充分探讨项目的潜在风险和挑战，并提出相应的应对策略，还考虑了项目对当地经济、社会和环境的影响，以确保其综合效益最大化。</w:t>
      </w:r>
      <w:r>
        <w:rPr>
          <w:rFonts w:hint="eastAsia" w:ascii="方正仿宋_GBK" w:hAnsi="方正仿宋_GBK" w:eastAsia="方正仿宋_GBK" w:cs="方正仿宋_GBK"/>
          <w:color w:val="auto"/>
          <w:sz w:val="32"/>
          <w:szCs w:val="32"/>
          <w:highlight w:val="none"/>
          <w:lang w:val="en-US" w:eastAsia="zh-CN"/>
        </w:rPr>
        <w:t>根据年度工作目标，协同各部门负责人共同参与项目决策，</w:t>
      </w:r>
      <w:r>
        <w:rPr>
          <w:rFonts w:hint="eastAsia" w:ascii="方正仿宋_GBK" w:hAnsi="方正仿宋_GBK" w:eastAsia="方正仿宋_GBK" w:cs="方正仿宋_GBK"/>
          <w:i w:val="0"/>
          <w:iCs w:val="0"/>
          <w:caps w:val="0"/>
          <w:color w:val="000000"/>
          <w:spacing w:val="0"/>
          <w:sz w:val="32"/>
          <w:szCs w:val="32"/>
          <w:shd w:val="clear" w:fill="FFFFFF"/>
        </w:rPr>
        <w:t>按照相关规定编制预算明细表、绩效目标申报表，</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结合项目特性，编制年度总体目标，明确绩效目标，细化项目产出指标、效益指标和满意度指标，</w:t>
      </w:r>
      <w:r>
        <w:rPr>
          <w:rFonts w:hint="eastAsia" w:ascii="方正仿宋_GBK" w:hAnsi="方正仿宋_GBK" w:eastAsia="方正仿宋_GBK" w:cs="方正仿宋_GBK"/>
          <w:i w:val="0"/>
          <w:iCs w:val="0"/>
          <w:caps w:val="0"/>
          <w:color w:val="000000"/>
          <w:spacing w:val="0"/>
          <w:sz w:val="32"/>
          <w:szCs w:val="32"/>
          <w:shd w:val="clear" w:fill="FFFFFF"/>
        </w:rPr>
        <w:t>立项依据充分、程序规范，符合相关规定，绩效目标设定</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科学</w:t>
      </w:r>
      <w:r>
        <w:rPr>
          <w:rFonts w:hint="eastAsia" w:ascii="方正仿宋_GBK" w:hAnsi="方正仿宋_GBK" w:eastAsia="方正仿宋_GBK" w:cs="方正仿宋_GBK"/>
          <w:i w:val="0"/>
          <w:iCs w:val="0"/>
          <w:caps w:val="0"/>
          <w:color w:val="000000"/>
          <w:spacing w:val="0"/>
          <w:sz w:val="32"/>
          <w:szCs w:val="32"/>
          <w:shd w:val="clear" w:fill="FFFFFF"/>
        </w:rPr>
        <w:t>合理、</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明确，绩效指标细化量化、可衡量</w:t>
      </w:r>
      <w:r>
        <w:rPr>
          <w:rFonts w:hint="eastAsia" w:ascii="方正仿宋_GBK" w:hAnsi="方正仿宋_GBK" w:eastAsia="方正仿宋_GBK" w:cs="方正仿宋_GBK"/>
          <w:i w:val="0"/>
          <w:iCs w:val="0"/>
          <w:caps w:val="0"/>
          <w:color w:val="000000"/>
          <w:spacing w:val="0"/>
          <w:sz w:val="32"/>
          <w:szCs w:val="32"/>
          <w:shd w:val="clear" w:fill="FFFFFF"/>
          <w:lang w:eastAsia="zh-CN"/>
        </w:rPr>
        <w:t>。</w:t>
      </w:r>
      <w:r>
        <w:rPr>
          <w:rFonts w:hint="eastAsia" w:ascii="方正仿宋_GBK" w:hAnsi="方正仿宋_GBK" w:eastAsia="方正仿宋_GBK" w:cs="方正仿宋_GBK"/>
          <w:i w:val="0"/>
          <w:iCs w:val="0"/>
          <w:caps w:val="0"/>
          <w:color w:val="000000"/>
          <w:spacing w:val="0"/>
          <w:sz w:val="32"/>
          <w:szCs w:val="32"/>
          <w:shd w:val="clear" w:fill="FFFFFF"/>
          <w:lang w:val="en-US" w:eastAsia="zh-CN"/>
        </w:rPr>
        <w:t>项目入库及时，对30万元以上的项目进行可行性论证，科学评估。</w:t>
      </w:r>
    </w:p>
    <w:p w14:paraId="10380ECC">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同时，我单位也关注资金的使用效率，确保每一分钱都花在刀刃上，此外，加强资金的监管和审计，确保项目的透明度和公正性。</w:t>
      </w:r>
    </w:p>
    <w:p w14:paraId="2022E37B">
      <w:pPr>
        <w:pStyle w:val="13"/>
        <w:keepNext w:val="0"/>
        <w:keepLines w:val="0"/>
        <w:pageBreakBefore w:val="0"/>
        <w:kinsoku/>
        <w:wordWrap/>
        <w:overflowPunct/>
        <w:topLinePunct w:val="0"/>
        <w:autoSpaceDE/>
        <w:autoSpaceDN/>
        <w:bidi w:val="0"/>
        <w:spacing w:line="578" w:lineRule="exact"/>
        <w:ind w:firstLine="640" w:firstLineChars="20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项目管理。在项目管理方面，综合考虑制度办法的完善性、分配管理的合理性以及绩效监管的有效性。首先，制度办法是项目顺利运作的基石，它确保了项目的规范性、透明度和可持续性。我单位制定了健全的制度办法，明确了项目的目标、范围、实施步骤以及责任分工。其次，合理的分配管理能够确保项目资金的高效使用，避免浪费和滥用。在资金分配方面，根据项目的实际需求、劳动力资源的实际情况以及劳动成果的评估结果进行合理分配，确保资金的公正、公平和有效使用。最后，绩效监管是确保项目绩效的关键。有效的绩效监管能够及时发现项目中的问题，提出改进措施，确保项目的顺利进行。在绩效监管过程中，我单位建立了科学的评估指标体系，对项目的目标完成情况、资金使用情况、等方面进行全面评估。同时，加强监督检查力度，确保各项制度办法和分配管理规定的落实，及时发现和纠正问题，提高项目的绩效水平。</w:t>
      </w:r>
    </w:p>
    <w:p w14:paraId="3F32A22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color w:val="auto"/>
          <w:sz w:val="32"/>
          <w:szCs w:val="32"/>
          <w:lang w:val="en-US" w:eastAsia="zh-CN"/>
        </w:rPr>
        <w:t>3.项目实施。</w:t>
      </w:r>
      <w:r>
        <w:rPr>
          <w:rFonts w:hint="eastAsia" w:ascii="方正仿宋_GBK" w:hAnsi="方正仿宋_GBK" w:eastAsia="方正仿宋_GBK" w:cs="方正仿宋_GBK"/>
          <w:sz w:val="32"/>
          <w:szCs w:val="32"/>
          <w:highlight w:val="none"/>
          <w:lang w:val="en-US" w:eastAsia="zh-CN"/>
        </w:rPr>
        <w:t>该项目通过年初预算批复后，根据项目推进情况申请资金下达，截至2024年底，资金到位29.8万元，已支出29.8万元，预算执行率100%。项目运行成本在可控制范围内。</w:t>
      </w:r>
    </w:p>
    <w:p w14:paraId="464126F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4.项目结果。</w:t>
      </w:r>
      <w:r>
        <w:rPr>
          <w:rFonts w:hint="eastAsia" w:ascii="方正仿宋_GBK" w:hAnsi="方正仿宋_GBK" w:eastAsia="方正仿宋_GBK" w:cs="方正仿宋_GBK"/>
          <w:sz w:val="32"/>
          <w:szCs w:val="32"/>
          <w:highlight w:val="none"/>
          <w:lang w:val="en-US" w:eastAsia="zh-CN"/>
        </w:rPr>
        <w:t>通过该项目的实施，确保了全县69辆公务用车的运行维护，达到了预期目标。提高了工作质量，建立了保障标准，切实提升了群众的获得感与满意度。</w:t>
      </w:r>
    </w:p>
    <w:p w14:paraId="21D6057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zh-CN" w:eastAsia="zh-CN"/>
        </w:rPr>
      </w:pPr>
      <w:r>
        <w:rPr>
          <w:rFonts w:hint="eastAsia" w:ascii="方正楷体_GBK" w:hAnsi="方正楷体_GBK" w:eastAsia="方正楷体_GBK" w:cs="方正楷体_GBK"/>
          <w:b/>
          <w:color w:val="auto"/>
          <w:sz w:val="32"/>
          <w:szCs w:val="32"/>
          <w:highlight w:val="none"/>
          <w:u w:val="none"/>
          <w:lang w:val="zh-CN" w:eastAsia="zh-CN"/>
        </w:rPr>
        <w:t>（二）</w:t>
      </w:r>
      <w:r>
        <w:rPr>
          <w:rFonts w:hint="eastAsia" w:ascii="方正楷体_GBK" w:hAnsi="方正楷体_GBK" w:eastAsia="方正楷体_GBK" w:cs="方正楷体_GBK"/>
          <w:b/>
          <w:color w:val="auto"/>
          <w:sz w:val="32"/>
          <w:szCs w:val="32"/>
          <w:highlight w:val="none"/>
          <w:u w:val="none"/>
          <w:lang w:val="en-US" w:eastAsia="zh-CN"/>
        </w:rPr>
        <w:t>专用指标</w:t>
      </w:r>
      <w:r>
        <w:rPr>
          <w:rFonts w:hint="eastAsia" w:ascii="方正楷体_GBK" w:hAnsi="方正楷体_GBK" w:eastAsia="方正楷体_GBK" w:cs="方正楷体_GBK"/>
          <w:b/>
          <w:color w:val="auto"/>
          <w:sz w:val="32"/>
          <w:szCs w:val="32"/>
          <w:highlight w:val="none"/>
          <w:u w:val="none"/>
          <w:lang w:val="zh-CN" w:eastAsia="zh-CN"/>
        </w:rPr>
        <w:t>绩效分析。</w:t>
      </w:r>
    </w:p>
    <w:p w14:paraId="038DD53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2024年公务用车定点加油服务</w:t>
      </w:r>
      <w:r>
        <w:rPr>
          <w:rFonts w:hint="eastAsia" w:ascii="方正仿宋_GBK" w:hAnsi="方正仿宋_GBK" w:eastAsia="方正仿宋_GBK" w:cs="方正仿宋_GBK"/>
          <w:color w:val="auto"/>
          <w:sz w:val="32"/>
          <w:szCs w:val="32"/>
          <w:lang w:val="en-US" w:eastAsia="zh-CN"/>
        </w:rPr>
        <w:t>绩效分析主要围绕执行进度和资金拨付两个方面展开。通过对比实际进度与计划进度的差异，我单位及时发现问题并调整策略。同时，资金拨付的效率和合理性也是评估项目绩效的关键点。我单位确保资金按照项目需求及时、足额拨付，避免资金闲置或挪用，确保项目的顺利进行。</w:t>
      </w:r>
    </w:p>
    <w:p w14:paraId="1CC8726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2024年我单位公务用车运行经费严格按规定用途、适用范围进行本单位专项资金分配，资金管理和资金分配符合专项资金管理要求。</w:t>
      </w:r>
    </w:p>
    <w:p w14:paraId="254934D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方正楷体_GBK" w:hAnsi="方正楷体_GBK" w:eastAsia="方正楷体_GBK" w:cs="方正楷体_GBK"/>
          <w:b/>
          <w:color w:val="auto"/>
          <w:sz w:val="32"/>
          <w:szCs w:val="32"/>
          <w:highlight w:val="none"/>
          <w:u w:val="none"/>
          <w:lang w:val="en-US" w:eastAsia="zh-CN"/>
        </w:rPr>
      </w:pPr>
      <w:r>
        <w:rPr>
          <w:rFonts w:hint="eastAsia" w:ascii="方正楷体_GBK" w:hAnsi="方正楷体_GBK" w:eastAsia="方正楷体_GBK" w:cs="方正楷体_GBK"/>
          <w:b/>
          <w:color w:val="auto"/>
          <w:sz w:val="32"/>
          <w:szCs w:val="32"/>
          <w:highlight w:val="none"/>
          <w:u w:val="none"/>
          <w:lang w:val="en-US" w:eastAsia="zh-CN"/>
        </w:rPr>
        <w:t>（三）个性指标绩效分析。</w:t>
      </w:r>
    </w:p>
    <w:p w14:paraId="45575A08">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2024年我单位公务用车运行正常，日常调度及时，有效保障了机关公务出行。</w:t>
      </w:r>
    </w:p>
    <w:p w14:paraId="4CC70AB7">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1A94036">
      <w:pPr>
        <w:pStyle w:val="8"/>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我单位在专项预算项目的绩效自评中，得出了积极的总体结论，评价总分100分，达到了较高的水平，显示出项目的有效性和成果显著。项目实施情况良好，按照既定的目标和计划稳步推进，确保了项目的高质量和顺利完成。</w:t>
      </w:r>
    </w:p>
    <w:p w14:paraId="73AA4F19">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1CA092C5">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eastAsia="zh-CN"/>
        </w:rPr>
        <w:t>部门绩效管理理念还未深入，预算绩效管理主体意识不强，未将预算绩效管理作为加强预算管理，提升资金使用绩效的有效管理模式，绩效管理工作大都为被动应付，存在被财政推着走的情况。部门内部协调机制不完善，绩效自评工作主要由财务人员牵头并完成，各相关业务科室配合工作不积极。</w:t>
      </w:r>
    </w:p>
    <w:p w14:paraId="5263FC95">
      <w:pPr>
        <w:keepNext w:val="0"/>
        <w:keepLines w:val="0"/>
        <w:pageBreakBefore w:val="0"/>
        <w:kinsoku/>
        <w:wordWrap/>
        <w:overflowPunct/>
        <w:topLinePunct w:val="0"/>
        <w:bidi w:val="0"/>
        <w:spacing w:line="578" w:lineRule="exact"/>
        <w:ind w:firstLine="640" w:firstLineChars="200"/>
        <w:textAlignment w:val="auto"/>
        <w:rPr>
          <w:rFonts w:hint="eastAsia" w:ascii="方正仿宋_GBK" w:hAnsi="方正仿宋_GBK" w:eastAsia="方正仿宋_GBK" w:cs="方正仿宋_GBK"/>
          <w:b/>
          <w:sz w:val="32"/>
          <w:szCs w:val="32"/>
          <w:highlight w:val="none"/>
          <w:lang w:val="zh-CN"/>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lang w:val="zh-CN" w:eastAsia="zh-CN"/>
        </w:rPr>
        <w:t>绩效指标编制不理想，绩效目标没有完全、完整反映项目的绩效目标，个别绩效指标量化程度不高，可考核性不强。</w:t>
      </w:r>
    </w:p>
    <w:p w14:paraId="643B549D">
      <w:pPr>
        <w:pStyle w:val="8"/>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6E82BA3">
      <w:pPr>
        <w:keepNext w:val="0"/>
        <w:keepLines w:val="0"/>
        <w:pageBreakBefore w:val="0"/>
        <w:numPr>
          <w:ilvl w:val="0"/>
          <w:numId w:val="0"/>
        </w:numPr>
        <w:kinsoku/>
        <w:wordWrap/>
        <w:overflowPunct/>
        <w:topLinePunct w:val="0"/>
        <w:bidi w:val="0"/>
        <w:adjustRightInd/>
        <w:snapToGrid/>
        <w:spacing w:line="578" w:lineRule="exact"/>
        <w:ind w:firstLine="640" w:firstLineChars="200"/>
        <w:jc w:val="left"/>
        <w:textAlignment w:val="auto"/>
        <w:outlineLvl w:val="1"/>
        <w:rPr>
          <w:rFonts w:hint="default" w:ascii="方正仿宋_GBK" w:hAnsi="方正仿宋_GBK" w:eastAsia="方正仿宋_GBK" w:cs="方正仿宋_GBK"/>
          <w:color w:val="auto"/>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highlight w:val="none"/>
          <w:lang w:val="en-US" w:eastAsia="zh-CN"/>
        </w:rPr>
        <w:t>在以后的工作中，将做好项目事前评估，优化项目绩效编制，更科学的细化项目绩效目标，对有偏差的绩效目标进行及时纠正整改。有计划、有步骤、全面有效的实施部门预算绩效管理。</w:t>
      </w:r>
    </w:p>
    <w:tbl>
      <w:tblPr>
        <w:tblStyle w:val="20"/>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02A5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6D2BB6B2">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c>
      </w:tr>
      <w:tr w14:paraId="72803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531C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1D1AD3">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公务用车定点加油服务</w:t>
            </w:r>
          </w:p>
        </w:tc>
      </w:tr>
      <w:tr w14:paraId="014F8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C440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BA4DEA">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渠县机关事务服务中心</w:t>
            </w:r>
          </w:p>
        </w:tc>
      </w:tr>
      <w:tr w14:paraId="09AE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2FEA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7EF801">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行政运转类</w:t>
            </w:r>
          </w:p>
        </w:tc>
      </w:tr>
      <w:tr w14:paraId="3962E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7C11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8587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08ECD81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DAC4D9">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72AF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AA44E">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E90E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03B839">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渠财预</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2024</w:t>
            </w:r>
            <w:r>
              <w:rPr>
                <w:rFonts w:hint="eastAsia" w:ascii="宋体" w:hAnsi="宋体" w:cs="宋体"/>
                <w:i w:val="0"/>
                <w:color w:val="000000"/>
                <w:sz w:val="24"/>
                <w:szCs w:val="24"/>
                <w:u w:val="none"/>
                <w:lang w:val="en-US" w:eastAsia="zh-CN"/>
              </w:rPr>
              <w:t>〕</w:t>
            </w:r>
            <w:r>
              <w:rPr>
                <w:rFonts w:hint="eastAsia" w:ascii="宋体" w:hAnsi="宋体" w:eastAsia="宋体" w:cs="宋体"/>
                <w:i w:val="0"/>
                <w:color w:val="000000"/>
                <w:sz w:val="24"/>
                <w:szCs w:val="24"/>
                <w:u w:val="none"/>
                <w:lang w:val="en-US" w:eastAsia="zh-CN"/>
              </w:rPr>
              <w:t>5号</w:t>
            </w:r>
          </w:p>
        </w:tc>
      </w:tr>
      <w:tr w14:paraId="3BCB2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48090">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12586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47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9DC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5FA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1F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因素法与项目法相结合</w:t>
            </w:r>
          </w:p>
        </w:tc>
      </w:tr>
      <w:tr w14:paraId="364B8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A1998">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7E15C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D0024E">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r>
              <w:rPr>
                <w:rFonts w:hint="eastAsia" w:ascii="宋体" w:hAnsi="宋体" w:cs="宋体"/>
                <w:i w:val="0"/>
                <w:color w:val="000000"/>
                <w:sz w:val="24"/>
                <w:szCs w:val="24"/>
                <w:u w:val="none"/>
                <w:lang w:val="en-US" w:eastAsia="zh-CN"/>
              </w:rPr>
              <w:t>中共渠县县委办公室  渠县人民政府办公室</w:t>
            </w:r>
            <w:r>
              <w:rPr>
                <w:rFonts w:hint="eastAsia" w:ascii="宋体" w:hAnsi="宋体" w:eastAsia="宋体" w:cs="宋体"/>
                <w:i w:val="0"/>
                <w:color w:val="000000"/>
                <w:sz w:val="24"/>
                <w:szCs w:val="24"/>
                <w:u w:val="none"/>
                <w:lang w:val="en-US" w:eastAsia="zh-CN"/>
              </w:rPr>
              <w:t>关于印发〈渠县机关事务服务中心职能配置、内设机构和人员编制规定〉的通知》(渠委办字〔2021〕23号)</w:t>
            </w:r>
          </w:p>
        </w:tc>
      </w:tr>
      <w:tr w14:paraId="2AD53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33E7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8E9B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E725A2">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党政机关公务用车运行维护</w:t>
            </w:r>
          </w:p>
        </w:tc>
      </w:tr>
      <w:tr w14:paraId="18E2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ACC02">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CB9D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DA1E08">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332D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8875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0EB2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C4583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2ED8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377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3651D0C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361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05DED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29.8</w:t>
            </w:r>
          </w:p>
        </w:tc>
      </w:tr>
      <w:tr w14:paraId="097FA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B01D7">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EAC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ACB8E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29.8</w:t>
            </w:r>
          </w:p>
        </w:tc>
      </w:tr>
      <w:tr w14:paraId="70C5E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44DB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C7F6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ADFFBD">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39B48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894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DBB85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1D60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15FA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CE7FD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确保全县党政机关公务用车正常运行，保障公务出行。</w:t>
            </w:r>
          </w:p>
        </w:tc>
      </w:tr>
      <w:tr w14:paraId="0A363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2984030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0C5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06E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E95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6B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6BC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45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D8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322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54BA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7B5823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4BAA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0A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56E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公务用车定点加油车辆数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6A1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9B2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69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E5D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辆</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A5B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13B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69</w:t>
            </w:r>
          </w:p>
        </w:tc>
      </w:tr>
      <w:tr w14:paraId="37E9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58B4885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77C0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DD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082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公务出行保障率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028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8CD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194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35C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A8C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0730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FA967C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36DAE0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0E4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26E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公务出行及时率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034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0A8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163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9E5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10B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5A65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9D4894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auto" w:sz="4" w:space="0"/>
              <w:left w:val="single" w:color="000000" w:sz="4" w:space="0"/>
              <w:right w:val="single" w:color="000000" w:sz="4" w:space="0"/>
            </w:tcBorders>
            <w:shd w:val="clear" w:color="auto" w:fill="auto"/>
            <w:vAlign w:val="center"/>
          </w:tcPr>
          <w:p w14:paraId="415862E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效益指标</w:t>
            </w:r>
          </w:p>
        </w:tc>
        <w:tc>
          <w:tcPr>
            <w:tcW w:w="1250" w:type="dxa"/>
            <w:tcBorders>
              <w:top w:val="single" w:color="000000" w:sz="4" w:space="0"/>
              <w:left w:val="single" w:color="000000" w:sz="4" w:space="0"/>
              <w:right w:val="single" w:color="000000" w:sz="4" w:space="0"/>
            </w:tcBorders>
            <w:shd w:val="clear" w:color="auto" w:fill="auto"/>
            <w:vAlign w:val="center"/>
          </w:tcPr>
          <w:p w14:paraId="7F2AD8C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社会效益</w:t>
            </w:r>
          </w:p>
          <w:p w14:paraId="16D96FE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FC2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保障党政机关正常工作用车，提高工作及服务效率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9AC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E84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提高</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7F5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CAA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15</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EC3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提高</w:t>
            </w:r>
          </w:p>
        </w:tc>
      </w:tr>
      <w:tr w14:paraId="72077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8ABEDD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5E759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48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59A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通过定点加油，规范管理，降低公务出行费用，有效节约经费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A22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EEE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val="en-US" w:eastAsia="zh-CN"/>
              </w:rPr>
              <w:t>有效</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DA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7E6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D2C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有效</w:t>
            </w:r>
          </w:p>
        </w:tc>
      </w:tr>
      <w:tr w14:paraId="0FFE0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0"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DABDC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auto" w:sz="4" w:space="0"/>
              <w:left w:val="single" w:color="000000" w:sz="4" w:space="0"/>
              <w:right w:val="single" w:color="000000" w:sz="4" w:space="0"/>
            </w:tcBorders>
            <w:shd w:val="clear" w:color="auto" w:fill="auto"/>
            <w:vAlign w:val="center"/>
          </w:tcPr>
          <w:p w14:paraId="795F73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495B798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4FED63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01FD15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C7A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上级部门和相关单位满意度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A46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7B6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974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CA2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AEB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0A295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206059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57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FE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52BD70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3D5D24D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成本控制范围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06A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DD8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86C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94F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D47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29.8</w:t>
            </w:r>
          </w:p>
        </w:tc>
      </w:tr>
    </w:tbl>
    <w:p w14:paraId="39A925A5">
      <w:pPr>
        <w:pStyle w:val="6"/>
        <w:rPr>
          <w:rStyle w:val="38"/>
          <w:rFonts w:hint="eastAsia" w:ascii="黑体" w:hAnsi="黑体" w:eastAsia="黑体"/>
          <w:b w:val="0"/>
          <w:color w:val="auto"/>
          <w:highlight w:val="none"/>
          <w:lang w:eastAsia="zh-CN"/>
        </w:rPr>
      </w:pPr>
    </w:p>
    <w:sectPr>
      <w:footerReference r:id="rId7" w:type="firs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EBD461-2E36-4AD7-820F-753CC1606F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840CFBF-CF91-4235-BBD5-D4D4714C4996}"/>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3" w:fontKey="{4A007A6B-EF93-4AE5-A1B7-44CCAD61B8CB}"/>
  </w:font>
  <w:font w:name="仿宋">
    <w:panose1 w:val="02010609060101010101"/>
    <w:charset w:val="86"/>
    <w:family w:val="modern"/>
    <w:pitch w:val="default"/>
    <w:sig w:usb0="800002BF" w:usb1="38CF7CFA" w:usb2="00000016" w:usb3="00000000" w:csb0="00040001" w:csb1="00000000"/>
    <w:embedRegular r:id="rId4" w:fontKey="{61179C34-CFB5-4FC8-89BA-F75F35AD90CD}"/>
  </w:font>
  <w:font w:name="??">
    <w:altName w:val="仿宋"/>
    <w:panose1 w:val="00000000000000000000"/>
    <w:charset w:val="00"/>
    <w:family w:val="roman"/>
    <w:pitch w:val="default"/>
    <w:sig w:usb0="00000000" w:usb1="00000000" w:usb2="00000000" w:usb3="00000000" w:csb0="00000000" w:csb1="00000000"/>
  </w:font>
  <w:font w:name="思源黑体 CN Normal">
    <w:altName w:val="黑体"/>
    <w:panose1 w:val="020B0400000000000000"/>
    <w:charset w:val="86"/>
    <w:family w:val="auto"/>
    <w:pitch w:val="default"/>
    <w:sig w:usb0="00000000" w:usb1="00000000" w:usb2="00000016" w:usb3="00000000" w:csb0="60060107" w:csb1="00000000"/>
    <w:embedRegular r:id="rId5" w:fontKey="{011EEF1D-1E58-4F52-AF35-7B0212988408}"/>
  </w:font>
  <w:font w:name="方正小标宋_GBK">
    <w:panose1 w:val="02000000000000000000"/>
    <w:charset w:val="86"/>
    <w:family w:val="auto"/>
    <w:pitch w:val="default"/>
    <w:sig w:usb0="00000001" w:usb1="080E0000" w:usb2="00000000" w:usb3="00000000" w:csb0="00040000" w:csb1="00000000"/>
    <w:embedRegular r:id="rId6" w:fontKey="{D53D3B53-877F-4914-BA59-9C1BCB85A703}"/>
  </w:font>
  <w:font w:name="方正楷体_GBK">
    <w:panose1 w:val="03000509000000000000"/>
    <w:charset w:val="86"/>
    <w:family w:val="auto"/>
    <w:pitch w:val="default"/>
    <w:sig w:usb0="00000001" w:usb1="080E0000" w:usb2="00000000" w:usb3="00000000" w:csb0="00040000" w:csb1="00000000"/>
    <w:embedRegular r:id="rId7" w:fontKey="{E276050C-B22A-46EE-90EC-8F59C0CDF1D7}"/>
  </w:font>
  <w:font w:name="方正仿宋_GBK">
    <w:panose1 w:val="03000509000000000000"/>
    <w:charset w:val="86"/>
    <w:family w:val="auto"/>
    <w:pitch w:val="default"/>
    <w:sig w:usb0="00000001" w:usb1="080E0000" w:usb2="00000000" w:usb3="00000000" w:csb0="00040000" w:csb1="00000000"/>
    <w:embedRegular r:id="rId8" w:fontKey="{A2B9EC8B-2BF3-402A-AE40-00773A98E8FF}"/>
  </w:font>
  <w:font w:name="楷体_GB2312">
    <w:altName w:val="楷体"/>
    <w:panose1 w:val="02010609030101010101"/>
    <w:charset w:val="86"/>
    <w:family w:val="modern"/>
    <w:pitch w:val="default"/>
    <w:sig w:usb0="00000000" w:usb1="00000000" w:usb2="00000010" w:usb3="00000000" w:csb0="00040000" w:csb1="00000000"/>
    <w:embedRegular r:id="rId9" w:fontKey="{89005ABB-40FE-4938-89A6-5F99C26B020E}"/>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0" w:fontKey="{E8A01C9B-17BC-48CA-8A5A-3FE597471D02}"/>
  </w:font>
  <w:font w:name="Wingdings 2">
    <w:panose1 w:val="05020102010507070707"/>
    <w:charset w:val="00"/>
    <w:family w:val="auto"/>
    <w:pitch w:val="default"/>
    <w:sig w:usb0="00000000" w:usb1="00000000" w:usb2="00000000" w:usb3="00000000" w:csb0="80000000" w:csb1="00000000"/>
    <w:embedRegular r:id="rId11" w:fontKey="{1A2BDD99-D7BD-42AF-870E-85E8B8843C2E}"/>
  </w:font>
  <w:font w:name="Segoe UI">
    <w:panose1 w:val="020B0502040204020203"/>
    <w:charset w:val="00"/>
    <w:family w:val="auto"/>
    <w:pitch w:val="default"/>
    <w:sig w:usb0="E4002EFF" w:usb1="C000E47F" w:usb2="00000009" w:usb3="00000000" w:csb0="200001FF" w:csb1="00000000"/>
    <w:embedRegular r:id="rId12" w:fontKey="{B68807F8-557F-47CE-B4C0-85C497897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F7B9">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3AA8A">
                          <w:pPr>
                            <w:pStyle w:val="13"/>
                          </w:pPr>
                          <w:r>
                            <w:fldChar w:fldCharType="begin"/>
                          </w:r>
                          <w:r>
                            <w:instrText xml:space="preserve"> PAGE  \* MERGEFORMAT </w:instrText>
                          </w:r>
                          <w:r>
                            <w:fldChar w:fldCharType="separate"/>
                          </w:r>
                          <w:r>
                            <w:t>一</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03AA8A">
                    <w:pPr>
                      <w:pStyle w:val="13"/>
                    </w:pPr>
                    <w:r>
                      <w:fldChar w:fldCharType="begin"/>
                    </w:r>
                    <w:r>
                      <w:instrText xml:space="preserve"> PAGE  \* MERGEFORMAT </w:instrText>
                    </w:r>
                    <w:r>
                      <w:fldChar w:fldCharType="separate"/>
                    </w:r>
                    <w:r>
                      <w:t>一</w:t>
                    </w:r>
                    <w:r>
                      <w:fldChar w:fldCharType="end"/>
                    </w:r>
                  </w:p>
                </w:txbxContent>
              </v:textbox>
            </v:shape>
          </w:pict>
        </mc:Fallback>
      </mc:AlternateContent>
    </w:r>
  </w:p>
  <w:p w14:paraId="4009213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41CB">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E28F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4E28F1">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6AA3FF4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A8348">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0CC6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3D0CC6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E576">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6D7DB7"/>
    <w:multiLevelType w:val="singleLevel"/>
    <w:tmpl w:val="F56D7DB7"/>
    <w:lvl w:ilvl="0" w:tentative="0">
      <w:start w:val="3"/>
      <w:numFmt w:val="chineseCounting"/>
      <w:suff w:val="nothing"/>
      <w:lvlText w:val="（%1）"/>
      <w:lvlJc w:val="left"/>
      <w:rPr>
        <w:rFonts w:hint="eastAsia"/>
      </w:rPr>
    </w:lvl>
  </w:abstractNum>
  <w:abstractNum w:abstractNumId="1">
    <w:nsid w:val="11F6341A"/>
    <w:multiLevelType w:val="singleLevel"/>
    <w:tmpl w:val="11F6341A"/>
    <w:lvl w:ilvl="0" w:tentative="0">
      <w:start w:val="1"/>
      <w:numFmt w:val="decimal"/>
      <w:suff w:val="nothing"/>
      <w:lvlText w:val="（%1）"/>
      <w:lvlJc w:val="left"/>
    </w:lvl>
  </w:abstractNum>
  <w:abstractNum w:abstractNumId="2">
    <w:nsid w:val="19024C74"/>
    <w:multiLevelType w:val="singleLevel"/>
    <w:tmpl w:val="19024C74"/>
    <w:lvl w:ilvl="0" w:tentative="0">
      <w:start w:val="2"/>
      <w:numFmt w:val="chineseCounting"/>
      <w:suff w:val="nothing"/>
      <w:lvlText w:val="（%1）"/>
      <w:lvlJc w:val="left"/>
      <w:rPr>
        <w:rFonts w:hint="eastAsia"/>
      </w:rPr>
    </w:lvl>
  </w:abstractNum>
  <w:abstractNum w:abstractNumId="3">
    <w:nsid w:val="1D37B0A3"/>
    <w:multiLevelType w:val="singleLevel"/>
    <w:tmpl w:val="1D37B0A3"/>
    <w:lvl w:ilvl="0" w:tentative="0">
      <w:start w:val="3"/>
      <w:numFmt w:val="decimal"/>
      <w:suff w:val="nothing"/>
      <w:lvlText w:val="（%1）"/>
      <w:lvlJc w:val="left"/>
    </w:lvl>
  </w:abstractNum>
  <w:abstractNum w:abstractNumId="4">
    <w:nsid w:val="56F83A06"/>
    <w:multiLevelType w:val="singleLevel"/>
    <w:tmpl w:val="56F83A06"/>
    <w:lvl w:ilvl="0" w:tentative="0">
      <w:start w:val="3"/>
      <w:numFmt w:val="chineseCounting"/>
      <w:suff w:val="nothing"/>
      <w:lvlText w:val="（%1）"/>
      <w:lvlJc w:val="left"/>
      <w:rPr>
        <w:rFonts w:hint="eastAsia"/>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mNjAzMWJlZjFkMmQwODUwMTJkYzE2ODFiYmFmYTcifQ=="/>
  </w:docVars>
  <w:rsids>
    <w:rsidRoot w:val="00F1361C"/>
    <w:rsid w:val="000000BC"/>
    <w:rsid w:val="00000665"/>
    <w:rsid w:val="00000B38"/>
    <w:rsid w:val="000015A2"/>
    <w:rsid w:val="00002628"/>
    <w:rsid w:val="00003E5B"/>
    <w:rsid w:val="00004806"/>
    <w:rsid w:val="00007EA6"/>
    <w:rsid w:val="00012FB7"/>
    <w:rsid w:val="00013357"/>
    <w:rsid w:val="00013C9E"/>
    <w:rsid w:val="00015450"/>
    <w:rsid w:val="000175E6"/>
    <w:rsid w:val="00017F98"/>
    <w:rsid w:val="00020F07"/>
    <w:rsid w:val="000222C6"/>
    <w:rsid w:val="00022FC0"/>
    <w:rsid w:val="000230B2"/>
    <w:rsid w:val="0002359B"/>
    <w:rsid w:val="00023DEB"/>
    <w:rsid w:val="00025226"/>
    <w:rsid w:val="0002549F"/>
    <w:rsid w:val="00025F1E"/>
    <w:rsid w:val="0002749D"/>
    <w:rsid w:val="0003013F"/>
    <w:rsid w:val="00031598"/>
    <w:rsid w:val="00031926"/>
    <w:rsid w:val="000326D5"/>
    <w:rsid w:val="00033414"/>
    <w:rsid w:val="00034ABC"/>
    <w:rsid w:val="00034D1D"/>
    <w:rsid w:val="00034D24"/>
    <w:rsid w:val="00035A69"/>
    <w:rsid w:val="000366B3"/>
    <w:rsid w:val="00036E57"/>
    <w:rsid w:val="00047195"/>
    <w:rsid w:val="00047C09"/>
    <w:rsid w:val="00052D93"/>
    <w:rsid w:val="000551CF"/>
    <w:rsid w:val="000571AC"/>
    <w:rsid w:val="00063AA8"/>
    <w:rsid w:val="0006487A"/>
    <w:rsid w:val="00065F8F"/>
    <w:rsid w:val="00066365"/>
    <w:rsid w:val="00066A65"/>
    <w:rsid w:val="00070C93"/>
    <w:rsid w:val="00070D58"/>
    <w:rsid w:val="00070F40"/>
    <w:rsid w:val="00071796"/>
    <w:rsid w:val="00072BEC"/>
    <w:rsid w:val="00073345"/>
    <w:rsid w:val="000768F2"/>
    <w:rsid w:val="00077C80"/>
    <w:rsid w:val="00081156"/>
    <w:rsid w:val="000815F6"/>
    <w:rsid w:val="00083B72"/>
    <w:rsid w:val="000846FF"/>
    <w:rsid w:val="0008503A"/>
    <w:rsid w:val="000851B4"/>
    <w:rsid w:val="000859F0"/>
    <w:rsid w:val="00087C06"/>
    <w:rsid w:val="00090134"/>
    <w:rsid w:val="00090DB7"/>
    <w:rsid w:val="0009184B"/>
    <w:rsid w:val="00091AAC"/>
    <w:rsid w:val="000921CB"/>
    <w:rsid w:val="000925CB"/>
    <w:rsid w:val="0009389E"/>
    <w:rsid w:val="0009593C"/>
    <w:rsid w:val="000A1370"/>
    <w:rsid w:val="000A17C4"/>
    <w:rsid w:val="000A37A2"/>
    <w:rsid w:val="000A500C"/>
    <w:rsid w:val="000B007F"/>
    <w:rsid w:val="000B047F"/>
    <w:rsid w:val="000B071C"/>
    <w:rsid w:val="000B1716"/>
    <w:rsid w:val="000B202D"/>
    <w:rsid w:val="000B26BE"/>
    <w:rsid w:val="000B2D44"/>
    <w:rsid w:val="000B2FD8"/>
    <w:rsid w:val="000B44F0"/>
    <w:rsid w:val="000B5923"/>
    <w:rsid w:val="000B5A48"/>
    <w:rsid w:val="000B6FF3"/>
    <w:rsid w:val="000C0A06"/>
    <w:rsid w:val="000C148A"/>
    <w:rsid w:val="000C2B6A"/>
    <w:rsid w:val="000C3467"/>
    <w:rsid w:val="000C3CA6"/>
    <w:rsid w:val="000C4E3D"/>
    <w:rsid w:val="000C7136"/>
    <w:rsid w:val="000D1267"/>
    <w:rsid w:val="000D17A8"/>
    <w:rsid w:val="000D1D50"/>
    <w:rsid w:val="000D304F"/>
    <w:rsid w:val="000D4033"/>
    <w:rsid w:val="000D5782"/>
    <w:rsid w:val="000D620F"/>
    <w:rsid w:val="000D74AA"/>
    <w:rsid w:val="000E3AC5"/>
    <w:rsid w:val="000E4C84"/>
    <w:rsid w:val="000E6613"/>
    <w:rsid w:val="000E6663"/>
    <w:rsid w:val="000E7119"/>
    <w:rsid w:val="000E75B2"/>
    <w:rsid w:val="000F0D1B"/>
    <w:rsid w:val="000F3E1D"/>
    <w:rsid w:val="000F7336"/>
    <w:rsid w:val="00101546"/>
    <w:rsid w:val="00106B75"/>
    <w:rsid w:val="0010727E"/>
    <w:rsid w:val="00107CCA"/>
    <w:rsid w:val="00110310"/>
    <w:rsid w:val="0011211B"/>
    <w:rsid w:val="00112787"/>
    <w:rsid w:val="00114E9B"/>
    <w:rsid w:val="0011649B"/>
    <w:rsid w:val="00116E5E"/>
    <w:rsid w:val="0012218E"/>
    <w:rsid w:val="0012398F"/>
    <w:rsid w:val="00124113"/>
    <w:rsid w:val="00124BFE"/>
    <w:rsid w:val="0012516D"/>
    <w:rsid w:val="00125224"/>
    <w:rsid w:val="00130F18"/>
    <w:rsid w:val="00133C7A"/>
    <w:rsid w:val="0013434B"/>
    <w:rsid w:val="00137E3C"/>
    <w:rsid w:val="001418EE"/>
    <w:rsid w:val="00142F42"/>
    <w:rsid w:val="00143AE1"/>
    <w:rsid w:val="00143C8F"/>
    <w:rsid w:val="001446FE"/>
    <w:rsid w:val="00144A59"/>
    <w:rsid w:val="00146A3D"/>
    <w:rsid w:val="0014729F"/>
    <w:rsid w:val="00147410"/>
    <w:rsid w:val="001506F6"/>
    <w:rsid w:val="00151128"/>
    <w:rsid w:val="0015213E"/>
    <w:rsid w:val="001544D9"/>
    <w:rsid w:val="00156D25"/>
    <w:rsid w:val="00156D5D"/>
    <w:rsid w:val="00157BAB"/>
    <w:rsid w:val="0016151A"/>
    <w:rsid w:val="00163B54"/>
    <w:rsid w:val="00163F03"/>
    <w:rsid w:val="001654D1"/>
    <w:rsid w:val="00166A14"/>
    <w:rsid w:val="00166F25"/>
    <w:rsid w:val="0016730C"/>
    <w:rsid w:val="00167FD7"/>
    <w:rsid w:val="0017190C"/>
    <w:rsid w:val="00174145"/>
    <w:rsid w:val="0018106D"/>
    <w:rsid w:val="0018125C"/>
    <w:rsid w:val="00181856"/>
    <w:rsid w:val="00183B64"/>
    <w:rsid w:val="00184B52"/>
    <w:rsid w:val="001877A7"/>
    <w:rsid w:val="00187CD2"/>
    <w:rsid w:val="00191536"/>
    <w:rsid w:val="00191B2C"/>
    <w:rsid w:val="001927B3"/>
    <w:rsid w:val="00193E73"/>
    <w:rsid w:val="00193FE2"/>
    <w:rsid w:val="001959D9"/>
    <w:rsid w:val="00195AB7"/>
    <w:rsid w:val="00196687"/>
    <w:rsid w:val="001A0107"/>
    <w:rsid w:val="001A0B9F"/>
    <w:rsid w:val="001A0EA2"/>
    <w:rsid w:val="001A1DBF"/>
    <w:rsid w:val="001A41F1"/>
    <w:rsid w:val="001A5CF3"/>
    <w:rsid w:val="001A63BB"/>
    <w:rsid w:val="001B1840"/>
    <w:rsid w:val="001B1FA9"/>
    <w:rsid w:val="001B2FB3"/>
    <w:rsid w:val="001B5F65"/>
    <w:rsid w:val="001B6640"/>
    <w:rsid w:val="001B7FF7"/>
    <w:rsid w:val="001C0962"/>
    <w:rsid w:val="001C1941"/>
    <w:rsid w:val="001C1A81"/>
    <w:rsid w:val="001C38A5"/>
    <w:rsid w:val="001C597C"/>
    <w:rsid w:val="001C6464"/>
    <w:rsid w:val="001C746B"/>
    <w:rsid w:val="001D14B6"/>
    <w:rsid w:val="001D342B"/>
    <w:rsid w:val="001D6C1E"/>
    <w:rsid w:val="001D7531"/>
    <w:rsid w:val="001E0A1B"/>
    <w:rsid w:val="001E1402"/>
    <w:rsid w:val="001E2922"/>
    <w:rsid w:val="001E3680"/>
    <w:rsid w:val="001E6926"/>
    <w:rsid w:val="001E737D"/>
    <w:rsid w:val="001F0592"/>
    <w:rsid w:val="001F0C89"/>
    <w:rsid w:val="001F7506"/>
    <w:rsid w:val="002006CD"/>
    <w:rsid w:val="0020075A"/>
    <w:rsid w:val="00202B36"/>
    <w:rsid w:val="00202C44"/>
    <w:rsid w:val="00202F80"/>
    <w:rsid w:val="002030A5"/>
    <w:rsid w:val="00204B7A"/>
    <w:rsid w:val="00206616"/>
    <w:rsid w:val="0020689D"/>
    <w:rsid w:val="00206B0E"/>
    <w:rsid w:val="00207949"/>
    <w:rsid w:val="0021101A"/>
    <w:rsid w:val="0021190F"/>
    <w:rsid w:val="0021334C"/>
    <w:rsid w:val="00216B50"/>
    <w:rsid w:val="00220536"/>
    <w:rsid w:val="00220C02"/>
    <w:rsid w:val="00224F1D"/>
    <w:rsid w:val="00225CB7"/>
    <w:rsid w:val="0023060C"/>
    <w:rsid w:val="00234E40"/>
    <w:rsid w:val="00235629"/>
    <w:rsid w:val="00237409"/>
    <w:rsid w:val="00237AE4"/>
    <w:rsid w:val="00240C43"/>
    <w:rsid w:val="00240C5D"/>
    <w:rsid w:val="00243589"/>
    <w:rsid w:val="002527B1"/>
    <w:rsid w:val="0025301B"/>
    <w:rsid w:val="00253FF8"/>
    <w:rsid w:val="00260A32"/>
    <w:rsid w:val="00260C38"/>
    <w:rsid w:val="00260F84"/>
    <w:rsid w:val="002616C0"/>
    <w:rsid w:val="002620C0"/>
    <w:rsid w:val="002662AA"/>
    <w:rsid w:val="00267E1C"/>
    <w:rsid w:val="00272FB2"/>
    <w:rsid w:val="0027313F"/>
    <w:rsid w:val="00273F8B"/>
    <w:rsid w:val="002740FA"/>
    <w:rsid w:val="0027692F"/>
    <w:rsid w:val="0027703A"/>
    <w:rsid w:val="00277BF4"/>
    <w:rsid w:val="002803BD"/>
    <w:rsid w:val="00280496"/>
    <w:rsid w:val="00283D63"/>
    <w:rsid w:val="00283E91"/>
    <w:rsid w:val="002856F9"/>
    <w:rsid w:val="002866CA"/>
    <w:rsid w:val="00286C21"/>
    <w:rsid w:val="002875BF"/>
    <w:rsid w:val="0029076F"/>
    <w:rsid w:val="0029094E"/>
    <w:rsid w:val="00291DC2"/>
    <w:rsid w:val="00292626"/>
    <w:rsid w:val="00292E6B"/>
    <w:rsid w:val="00295495"/>
    <w:rsid w:val="002A0D55"/>
    <w:rsid w:val="002A0E88"/>
    <w:rsid w:val="002A1940"/>
    <w:rsid w:val="002A3F4C"/>
    <w:rsid w:val="002A70D7"/>
    <w:rsid w:val="002A77B7"/>
    <w:rsid w:val="002A7AE1"/>
    <w:rsid w:val="002B133E"/>
    <w:rsid w:val="002B1B6D"/>
    <w:rsid w:val="002B2613"/>
    <w:rsid w:val="002B2C2A"/>
    <w:rsid w:val="002B2F51"/>
    <w:rsid w:val="002B44FC"/>
    <w:rsid w:val="002B5438"/>
    <w:rsid w:val="002B544A"/>
    <w:rsid w:val="002B5F40"/>
    <w:rsid w:val="002B79B7"/>
    <w:rsid w:val="002C00BF"/>
    <w:rsid w:val="002C0137"/>
    <w:rsid w:val="002C1004"/>
    <w:rsid w:val="002C1E97"/>
    <w:rsid w:val="002C4022"/>
    <w:rsid w:val="002C5275"/>
    <w:rsid w:val="002C6074"/>
    <w:rsid w:val="002D1F9E"/>
    <w:rsid w:val="002D30E8"/>
    <w:rsid w:val="002E0F9C"/>
    <w:rsid w:val="002E1F75"/>
    <w:rsid w:val="002E202A"/>
    <w:rsid w:val="002E5C3A"/>
    <w:rsid w:val="002E64D0"/>
    <w:rsid w:val="002F1818"/>
    <w:rsid w:val="002F1A28"/>
    <w:rsid w:val="002F2C84"/>
    <w:rsid w:val="002F335F"/>
    <w:rsid w:val="002F567B"/>
    <w:rsid w:val="002F66D8"/>
    <w:rsid w:val="002F7353"/>
    <w:rsid w:val="0030080A"/>
    <w:rsid w:val="0030298F"/>
    <w:rsid w:val="00302AF1"/>
    <w:rsid w:val="00303F39"/>
    <w:rsid w:val="00305126"/>
    <w:rsid w:val="0030593B"/>
    <w:rsid w:val="00310306"/>
    <w:rsid w:val="0031156F"/>
    <w:rsid w:val="00317FD1"/>
    <w:rsid w:val="00321358"/>
    <w:rsid w:val="003216A9"/>
    <w:rsid w:val="00322D89"/>
    <w:rsid w:val="00325332"/>
    <w:rsid w:val="00325856"/>
    <w:rsid w:val="00325985"/>
    <w:rsid w:val="003278AA"/>
    <w:rsid w:val="00332726"/>
    <w:rsid w:val="0033309F"/>
    <w:rsid w:val="00335ED6"/>
    <w:rsid w:val="00337694"/>
    <w:rsid w:val="003431B7"/>
    <w:rsid w:val="0034381A"/>
    <w:rsid w:val="003440C6"/>
    <w:rsid w:val="00350C26"/>
    <w:rsid w:val="003515CF"/>
    <w:rsid w:val="00353569"/>
    <w:rsid w:val="00354D51"/>
    <w:rsid w:val="0035612F"/>
    <w:rsid w:val="00356A32"/>
    <w:rsid w:val="0035779A"/>
    <w:rsid w:val="00360394"/>
    <w:rsid w:val="0036392A"/>
    <w:rsid w:val="003663FE"/>
    <w:rsid w:val="0036688B"/>
    <w:rsid w:val="00366A86"/>
    <w:rsid w:val="00367683"/>
    <w:rsid w:val="00367B91"/>
    <w:rsid w:val="0037013F"/>
    <w:rsid w:val="00373FCE"/>
    <w:rsid w:val="00377A4C"/>
    <w:rsid w:val="003802FF"/>
    <w:rsid w:val="00380C92"/>
    <w:rsid w:val="00383877"/>
    <w:rsid w:val="00385025"/>
    <w:rsid w:val="00386455"/>
    <w:rsid w:val="00390D36"/>
    <w:rsid w:val="00390F3B"/>
    <w:rsid w:val="0039111A"/>
    <w:rsid w:val="003936B4"/>
    <w:rsid w:val="00393AFD"/>
    <w:rsid w:val="003A079E"/>
    <w:rsid w:val="003A10FA"/>
    <w:rsid w:val="003A163E"/>
    <w:rsid w:val="003A32EC"/>
    <w:rsid w:val="003A36AE"/>
    <w:rsid w:val="003A3ACA"/>
    <w:rsid w:val="003A4404"/>
    <w:rsid w:val="003A484F"/>
    <w:rsid w:val="003A4F96"/>
    <w:rsid w:val="003A5540"/>
    <w:rsid w:val="003B0BE0"/>
    <w:rsid w:val="003B0C1A"/>
    <w:rsid w:val="003B0C1B"/>
    <w:rsid w:val="003B5601"/>
    <w:rsid w:val="003B688C"/>
    <w:rsid w:val="003C0291"/>
    <w:rsid w:val="003C2ECB"/>
    <w:rsid w:val="003C350E"/>
    <w:rsid w:val="003C39AE"/>
    <w:rsid w:val="003C6D0D"/>
    <w:rsid w:val="003C76CC"/>
    <w:rsid w:val="003C7B60"/>
    <w:rsid w:val="003D0821"/>
    <w:rsid w:val="003D1FB2"/>
    <w:rsid w:val="003D2303"/>
    <w:rsid w:val="003D3CC9"/>
    <w:rsid w:val="003D4221"/>
    <w:rsid w:val="003D644D"/>
    <w:rsid w:val="003D66DA"/>
    <w:rsid w:val="003E10D3"/>
    <w:rsid w:val="003E1310"/>
    <w:rsid w:val="003E2E1C"/>
    <w:rsid w:val="003E5BD3"/>
    <w:rsid w:val="003E6348"/>
    <w:rsid w:val="003E6F55"/>
    <w:rsid w:val="003F133D"/>
    <w:rsid w:val="003F2794"/>
    <w:rsid w:val="003F339D"/>
    <w:rsid w:val="003F363F"/>
    <w:rsid w:val="003F3A2A"/>
    <w:rsid w:val="003F3DED"/>
    <w:rsid w:val="003F3E94"/>
    <w:rsid w:val="003F44B8"/>
    <w:rsid w:val="003F7CD6"/>
    <w:rsid w:val="00400549"/>
    <w:rsid w:val="00401C71"/>
    <w:rsid w:val="004026F9"/>
    <w:rsid w:val="00402FCE"/>
    <w:rsid w:val="00405639"/>
    <w:rsid w:val="00406254"/>
    <w:rsid w:val="004071E0"/>
    <w:rsid w:val="00407AD0"/>
    <w:rsid w:val="00410C16"/>
    <w:rsid w:val="00422023"/>
    <w:rsid w:val="004223DE"/>
    <w:rsid w:val="004234B2"/>
    <w:rsid w:val="00426FA8"/>
    <w:rsid w:val="00427162"/>
    <w:rsid w:val="0043341C"/>
    <w:rsid w:val="004343F3"/>
    <w:rsid w:val="00434489"/>
    <w:rsid w:val="0043475E"/>
    <w:rsid w:val="0043497B"/>
    <w:rsid w:val="00435137"/>
    <w:rsid w:val="00436E88"/>
    <w:rsid w:val="00437085"/>
    <w:rsid w:val="004370D1"/>
    <w:rsid w:val="00440872"/>
    <w:rsid w:val="00440A29"/>
    <w:rsid w:val="00441C18"/>
    <w:rsid w:val="004422EF"/>
    <w:rsid w:val="00443880"/>
    <w:rsid w:val="00444CE1"/>
    <w:rsid w:val="0044578E"/>
    <w:rsid w:val="0044581C"/>
    <w:rsid w:val="004464F4"/>
    <w:rsid w:val="00446FA9"/>
    <w:rsid w:val="00447035"/>
    <w:rsid w:val="00450BFF"/>
    <w:rsid w:val="00454FA9"/>
    <w:rsid w:val="004571F2"/>
    <w:rsid w:val="0045723A"/>
    <w:rsid w:val="00460A67"/>
    <w:rsid w:val="00461A98"/>
    <w:rsid w:val="00462B33"/>
    <w:rsid w:val="0046346E"/>
    <w:rsid w:val="004700E2"/>
    <w:rsid w:val="004708B9"/>
    <w:rsid w:val="00471401"/>
    <w:rsid w:val="00471CBB"/>
    <w:rsid w:val="00473F31"/>
    <w:rsid w:val="00474218"/>
    <w:rsid w:val="004750E8"/>
    <w:rsid w:val="00476F1B"/>
    <w:rsid w:val="0047729B"/>
    <w:rsid w:val="0048263A"/>
    <w:rsid w:val="0048368B"/>
    <w:rsid w:val="0048372E"/>
    <w:rsid w:val="00483F46"/>
    <w:rsid w:val="00484CD3"/>
    <w:rsid w:val="004857E4"/>
    <w:rsid w:val="00486073"/>
    <w:rsid w:val="0048694C"/>
    <w:rsid w:val="00486E3E"/>
    <w:rsid w:val="00487E5D"/>
    <w:rsid w:val="00491181"/>
    <w:rsid w:val="00492070"/>
    <w:rsid w:val="004941B6"/>
    <w:rsid w:val="00497E59"/>
    <w:rsid w:val="004A2A48"/>
    <w:rsid w:val="004A4A66"/>
    <w:rsid w:val="004A4B01"/>
    <w:rsid w:val="004A5576"/>
    <w:rsid w:val="004A6B85"/>
    <w:rsid w:val="004A711F"/>
    <w:rsid w:val="004A7B2B"/>
    <w:rsid w:val="004B01AE"/>
    <w:rsid w:val="004B199D"/>
    <w:rsid w:val="004B2279"/>
    <w:rsid w:val="004B25B9"/>
    <w:rsid w:val="004B3F00"/>
    <w:rsid w:val="004B4690"/>
    <w:rsid w:val="004B7108"/>
    <w:rsid w:val="004B778F"/>
    <w:rsid w:val="004B785F"/>
    <w:rsid w:val="004C01B1"/>
    <w:rsid w:val="004C062D"/>
    <w:rsid w:val="004C4638"/>
    <w:rsid w:val="004C5745"/>
    <w:rsid w:val="004C5DBD"/>
    <w:rsid w:val="004C62FA"/>
    <w:rsid w:val="004C6FB9"/>
    <w:rsid w:val="004D1DC6"/>
    <w:rsid w:val="004D31FB"/>
    <w:rsid w:val="004D4BB1"/>
    <w:rsid w:val="004D4D6E"/>
    <w:rsid w:val="004D4DA3"/>
    <w:rsid w:val="004D798C"/>
    <w:rsid w:val="004D7AEF"/>
    <w:rsid w:val="004E028C"/>
    <w:rsid w:val="004E0815"/>
    <w:rsid w:val="004E0A2D"/>
    <w:rsid w:val="004E206B"/>
    <w:rsid w:val="004E3DEC"/>
    <w:rsid w:val="004E67E0"/>
    <w:rsid w:val="004E6DF7"/>
    <w:rsid w:val="004F0FBD"/>
    <w:rsid w:val="00501436"/>
    <w:rsid w:val="00501B3E"/>
    <w:rsid w:val="00502053"/>
    <w:rsid w:val="005020BB"/>
    <w:rsid w:val="00505843"/>
    <w:rsid w:val="00505A47"/>
    <w:rsid w:val="0050679E"/>
    <w:rsid w:val="0051166F"/>
    <w:rsid w:val="0051173A"/>
    <w:rsid w:val="00512FDA"/>
    <w:rsid w:val="00513ED7"/>
    <w:rsid w:val="0051467D"/>
    <w:rsid w:val="00520DA0"/>
    <w:rsid w:val="005225FC"/>
    <w:rsid w:val="00524AC4"/>
    <w:rsid w:val="0052729E"/>
    <w:rsid w:val="0052733D"/>
    <w:rsid w:val="00530E19"/>
    <w:rsid w:val="00530F71"/>
    <w:rsid w:val="005322EB"/>
    <w:rsid w:val="0053459C"/>
    <w:rsid w:val="00550726"/>
    <w:rsid w:val="00550F95"/>
    <w:rsid w:val="0055106D"/>
    <w:rsid w:val="005559A4"/>
    <w:rsid w:val="0056304B"/>
    <w:rsid w:val="005651E3"/>
    <w:rsid w:val="00565D17"/>
    <w:rsid w:val="005664BB"/>
    <w:rsid w:val="00566C08"/>
    <w:rsid w:val="0056722F"/>
    <w:rsid w:val="00567B67"/>
    <w:rsid w:val="00570C62"/>
    <w:rsid w:val="00572EB1"/>
    <w:rsid w:val="00572EC9"/>
    <w:rsid w:val="00573576"/>
    <w:rsid w:val="0057481D"/>
    <w:rsid w:val="0057798B"/>
    <w:rsid w:val="00577A75"/>
    <w:rsid w:val="00577DF2"/>
    <w:rsid w:val="00580D35"/>
    <w:rsid w:val="0058486E"/>
    <w:rsid w:val="00584F2B"/>
    <w:rsid w:val="005935E9"/>
    <w:rsid w:val="005939BC"/>
    <w:rsid w:val="00593D4E"/>
    <w:rsid w:val="005975DB"/>
    <w:rsid w:val="00597919"/>
    <w:rsid w:val="005A0204"/>
    <w:rsid w:val="005A0CF8"/>
    <w:rsid w:val="005A324B"/>
    <w:rsid w:val="005B186A"/>
    <w:rsid w:val="005B553C"/>
    <w:rsid w:val="005B57DB"/>
    <w:rsid w:val="005B58F9"/>
    <w:rsid w:val="005B5ACB"/>
    <w:rsid w:val="005B76E6"/>
    <w:rsid w:val="005C0AF7"/>
    <w:rsid w:val="005C0B82"/>
    <w:rsid w:val="005C0D5C"/>
    <w:rsid w:val="005C4A4C"/>
    <w:rsid w:val="005C52C6"/>
    <w:rsid w:val="005C7204"/>
    <w:rsid w:val="005D1C8B"/>
    <w:rsid w:val="005D5CED"/>
    <w:rsid w:val="005D6054"/>
    <w:rsid w:val="005E1522"/>
    <w:rsid w:val="005E3365"/>
    <w:rsid w:val="005E5517"/>
    <w:rsid w:val="005F0705"/>
    <w:rsid w:val="005F0C83"/>
    <w:rsid w:val="005F1A4C"/>
    <w:rsid w:val="005F1F76"/>
    <w:rsid w:val="005F2C70"/>
    <w:rsid w:val="005F32B6"/>
    <w:rsid w:val="005F4162"/>
    <w:rsid w:val="005F44C7"/>
    <w:rsid w:val="005F632F"/>
    <w:rsid w:val="00600946"/>
    <w:rsid w:val="006044AC"/>
    <w:rsid w:val="00604551"/>
    <w:rsid w:val="00605688"/>
    <w:rsid w:val="006070AF"/>
    <w:rsid w:val="00607816"/>
    <w:rsid w:val="00607E6C"/>
    <w:rsid w:val="006101B1"/>
    <w:rsid w:val="00611AD3"/>
    <w:rsid w:val="00612209"/>
    <w:rsid w:val="00614423"/>
    <w:rsid w:val="00614E44"/>
    <w:rsid w:val="006155B0"/>
    <w:rsid w:val="006205F4"/>
    <w:rsid w:val="00620717"/>
    <w:rsid w:val="00622830"/>
    <w:rsid w:val="006256DB"/>
    <w:rsid w:val="00630AEF"/>
    <w:rsid w:val="00630BB3"/>
    <w:rsid w:val="006325F8"/>
    <w:rsid w:val="00633AE4"/>
    <w:rsid w:val="006348B1"/>
    <w:rsid w:val="00634C9A"/>
    <w:rsid w:val="00635FC7"/>
    <w:rsid w:val="00636040"/>
    <w:rsid w:val="00642529"/>
    <w:rsid w:val="0064301E"/>
    <w:rsid w:val="00643322"/>
    <w:rsid w:val="00643C0A"/>
    <w:rsid w:val="006440E4"/>
    <w:rsid w:val="00645301"/>
    <w:rsid w:val="00645F78"/>
    <w:rsid w:val="0064753B"/>
    <w:rsid w:val="00650D36"/>
    <w:rsid w:val="00650F17"/>
    <w:rsid w:val="006511E7"/>
    <w:rsid w:val="0065182B"/>
    <w:rsid w:val="00660339"/>
    <w:rsid w:val="00660F57"/>
    <w:rsid w:val="00661830"/>
    <w:rsid w:val="0066343B"/>
    <w:rsid w:val="00663BDD"/>
    <w:rsid w:val="00664777"/>
    <w:rsid w:val="00664ED7"/>
    <w:rsid w:val="0066615D"/>
    <w:rsid w:val="00666366"/>
    <w:rsid w:val="0066748A"/>
    <w:rsid w:val="0067155A"/>
    <w:rsid w:val="00671D25"/>
    <w:rsid w:val="00672345"/>
    <w:rsid w:val="00673381"/>
    <w:rsid w:val="006740AB"/>
    <w:rsid w:val="00674446"/>
    <w:rsid w:val="006748A4"/>
    <w:rsid w:val="006757D8"/>
    <w:rsid w:val="00680EF7"/>
    <w:rsid w:val="00683E73"/>
    <w:rsid w:val="0068590F"/>
    <w:rsid w:val="00686CF0"/>
    <w:rsid w:val="00687CAC"/>
    <w:rsid w:val="00691D82"/>
    <w:rsid w:val="006931FE"/>
    <w:rsid w:val="006947FC"/>
    <w:rsid w:val="006950FD"/>
    <w:rsid w:val="00695AD3"/>
    <w:rsid w:val="00696ACE"/>
    <w:rsid w:val="006A01D3"/>
    <w:rsid w:val="006A04FE"/>
    <w:rsid w:val="006A0C2C"/>
    <w:rsid w:val="006A0C51"/>
    <w:rsid w:val="006A1E7E"/>
    <w:rsid w:val="006A2BCD"/>
    <w:rsid w:val="006A3141"/>
    <w:rsid w:val="006A5E34"/>
    <w:rsid w:val="006A75B7"/>
    <w:rsid w:val="006B0ABA"/>
    <w:rsid w:val="006B2422"/>
    <w:rsid w:val="006B2B9A"/>
    <w:rsid w:val="006B2E2F"/>
    <w:rsid w:val="006B471C"/>
    <w:rsid w:val="006B4C59"/>
    <w:rsid w:val="006B533E"/>
    <w:rsid w:val="006C04D7"/>
    <w:rsid w:val="006C1937"/>
    <w:rsid w:val="006C397F"/>
    <w:rsid w:val="006C6427"/>
    <w:rsid w:val="006C76DB"/>
    <w:rsid w:val="006D1F0B"/>
    <w:rsid w:val="006D42C6"/>
    <w:rsid w:val="006E0081"/>
    <w:rsid w:val="006E0706"/>
    <w:rsid w:val="006E3700"/>
    <w:rsid w:val="006E6C66"/>
    <w:rsid w:val="006F020C"/>
    <w:rsid w:val="006F3DF7"/>
    <w:rsid w:val="006F7849"/>
    <w:rsid w:val="006F7CBD"/>
    <w:rsid w:val="0070094B"/>
    <w:rsid w:val="007040F2"/>
    <w:rsid w:val="00705B7C"/>
    <w:rsid w:val="00705E24"/>
    <w:rsid w:val="00707EEC"/>
    <w:rsid w:val="007115FE"/>
    <w:rsid w:val="007127B7"/>
    <w:rsid w:val="00713977"/>
    <w:rsid w:val="00714DBE"/>
    <w:rsid w:val="007220F2"/>
    <w:rsid w:val="007231D9"/>
    <w:rsid w:val="007244D2"/>
    <w:rsid w:val="00725B08"/>
    <w:rsid w:val="007355BA"/>
    <w:rsid w:val="0074019B"/>
    <w:rsid w:val="007403C2"/>
    <w:rsid w:val="007410FA"/>
    <w:rsid w:val="007416B6"/>
    <w:rsid w:val="007426C0"/>
    <w:rsid w:val="00746F48"/>
    <w:rsid w:val="0074730D"/>
    <w:rsid w:val="0075129E"/>
    <w:rsid w:val="00751951"/>
    <w:rsid w:val="00751EE9"/>
    <w:rsid w:val="007522D6"/>
    <w:rsid w:val="007525C3"/>
    <w:rsid w:val="007537B3"/>
    <w:rsid w:val="00753DC2"/>
    <w:rsid w:val="0075404D"/>
    <w:rsid w:val="0075503D"/>
    <w:rsid w:val="0076078E"/>
    <w:rsid w:val="00760D5E"/>
    <w:rsid w:val="0076182A"/>
    <w:rsid w:val="00763BC1"/>
    <w:rsid w:val="0076499D"/>
    <w:rsid w:val="007656DB"/>
    <w:rsid w:val="007676D8"/>
    <w:rsid w:val="00767A7D"/>
    <w:rsid w:val="00767B7E"/>
    <w:rsid w:val="00767BE6"/>
    <w:rsid w:val="00775A39"/>
    <w:rsid w:val="00776900"/>
    <w:rsid w:val="007770C3"/>
    <w:rsid w:val="00780AAA"/>
    <w:rsid w:val="00781060"/>
    <w:rsid w:val="0078143E"/>
    <w:rsid w:val="0078201F"/>
    <w:rsid w:val="007820E1"/>
    <w:rsid w:val="00784D24"/>
    <w:rsid w:val="00784D4C"/>
    <w:rsid w:val="00784E42"/>
    <w:rsid w:val="00785FBA"/>
    <w:rsid w:val="00786E4A"/>
    <w:rsid w:val="007875EB"/>
    <w:rsid w:val="00787E51"/>
    <w:rsid w:val="00792C26"/>
    <w:rsid w:val="0079426B"/>
    <w:rsid w:val="00794D8C"/>
    <w:rsid w:val="00794F74"/>
    <w:rsid w:val="0079655C"/>
    <w:rsid w:val="007A0619"/>
    <w:rsid w:val="007A762F"/>
    <w:rsid w:val="007B0CA2"/>
    <w:rsid w:val="007B5C15"/>
    <w:rsid w:val="007B6032"/>
    <w:rsid w:val="007B6B9B"/>
    <w:rsid w:val="007C014E"/>
    <w:rsid w:val="007C0C20"/>
    <w:rsid w:val="007C0E0A"/>
    <w:rsid w:val="007C2008"/>
    <w:rsid w:val="007C26C9"/>
    <w:rsid w:val="007C57E7"/>
    <w:rsid w:val="007C6362"/>
    <w:rsid w:val="007C70B5"/>
    <w:rsid w:val="007C72D0"/>
    <w:rsid w:val="007D028D"/>
    <w:rsid w:val="007D0AE2"/>
    <w:rsid w:val="007D0C80"/>
    <w:rsid w:val="007D312A"/>
    <w:rsid w:val="007D3F19"/>
    <w:rsid w:val="007D40BF"/>
    <w:rsid w:val="007D598F"/>
    <w:rsid w:val="007D7F29"/>
    <w:rsid w:val="007E0391"/>
    <w:rsid w:val="007E2118"/>
    <w:rsid w:val="007E23B0"/>
    <w:rsid w:val="007E30F0"/>
    <w:rsid w:val="007E4E9E"/>
    <w:rsid w:val="007E4F63"/>
    <w:rsid w:val="007E5C1C"/>
    <w:rsid w:val="007E6821"/>
    <w:rsid w:val="007E6A33"/>
    <w:rsid w:val="007E6D1B"/>
    <w:rsid w:val="007F0CD6"/>
    <w:rsid w:val="007F0EAA"/>
    <w:rsid w:val="007F1991"/>
    <w:rsid w:val="007F1E4C"/>
    <w:rsid w:val="007F2C2F"/>
    <w:rsid w:val="007F2D6D"/>
    <w:rsid w:val="007F55FC"/>
    <w:rsid w:val="007F5665"/>
    <w:rsid w:val="007F57B1"/>
    <w:rsid w:val="007F5B1E"/>
    <w:rsid w:val="007F703A"/>
    <w:rsid w:val="007F772D"/>
    <w:rsid w:val="007F78DE"/>
    <w:rsid w:val="00800112"/>
    <w:rsid w:val="0080112E"/>
    <w:rsid w:val="008014B3"/>
    <w:rsid w:val="008031B0"/>
    <w:rsid w:val="008068DA"/>
    <w:rsid w:val="00806B6F"/>
    <w:rsid w:val="00807797"/>
    <w:rsid w:val="0081195D"/>
    <w:rsid w:val="00811C29"/>
    <w:rsid w:val="00812255"/>
    <w:rsid w:val="00813AEF"/>
    <w:rsid w:val="00815AF8"/>
    <w:rsid w:val="008169F8"/>
    <w:rsid w:val="00820AF4"/>
    <w:rsid w:val="008212F9"/>
    <w:rsid w:val="008244FA"/>
    <w:rsid w:val="008248EC"/>
    <w:rsid w:val="00824C90"/>
    <w:rsid w:val="00824CEE"/>
    <w:rsid w:val="008253BB"/>
    <w:rsid w:val="008273C2"/>
    <w:rsid w:val="00830A33"/>
    <w:rsid w:val="00830F24"/>
    <w:rsid w:val="0083234B"/>
    <w:rsid w:val="00833D7A"/>
    <w:rsid w:val="008347A0"/>
    <w:rsid w:val="00835B31"/>
    <w:rsid w:val="00836025"/>
    <w:rsid w:val="0083706E"/>
    <w:rsid w:val="00840550"/>
    <w:rsid w:val="008423A5"/>
    <w:rsid w:val="00843431"/>
    <w:rsid w:val="00845501"/>
    <w:rsid w:val="008503A5"/>
    <w:rsid w:val="00850625"/>
    <w:rsid w:val="008511F3"/>
    <w:rsid w:val="00851894"/>
    <w:rsid w:val="0085265B"/>
    <w:rsid w:val="00852C5C"/>
    <w:rsid w:val="00853718"/>
    <w:rsid w:val="00855221"/>
    <w:rsid w:val="00855AF5"/>
    <w:rsid w:val="00855E16"/>
    <w:rsid w:val="00857B79"/>
    <w:rsid w:val="00860645"/>
    <w:rsid w:val="00860C44"/>
    <w:rsid w:val="0086131A"/>
    <w:rsid w:val="00862A9D"/>
    <w:rsid w:val="00863483"/>
    <w:rsid w:val="00863CF0"/>
    <w:rsid w:val="00863D72"/>
    <w:rsid w:val="00865F20"/>
    <w:rsid w:val="00867695"/>
    <w:rsid w:val="00870000"/>
    <w:rsid w:val="00870C33"/>
    <w:rsid w:val="00871F71"/>
    <w:rsid w:val="008722FB"/>
    <w:rsid w:val="00872F95"/>
    <w:rsid w:val="00873D8F"/>
    <w:rsid w:val="0087464B"/>
    <w:rsid w:val="00875814"/>
    <w:rsid w:val="00877427"/>
    <w:rsid w:val="0088122F"/>
    <w:rsid w:val="00885AF4"/>
    <w:rsid w:val="00886435"/>
    <w:rsid w:val="008875FA"/>
    <w:rsid w:val="00887A58"/>
    <w:rsid w:val="008918AA"/>
    <w:rsid w:val="008918C9"/>
    <w:rsid w:val="008920D1"/>
    <w:rsid w:val="008939CD"/>
    <w:rsid w:val="00893E7C"/>
    <w:rsid w:val="00895862"/>
    <w:rsid w:val="00896814"/>
    <w:rsid w:val="00897199"/>
    <w:rsid w:val="008A04BB"/>
    <w:rsid w:val="008A6293"/>
    <w:rsid w:val="008A6BC0"/>
    <w:rsid w:val="008A7CE3"/>
    <w:rsid w:val="008B045D"/>
    <w:rsid w:val="008B2B26"/>
    <w:rsid w:val="008B5614"/>
    <w:rsid w:val="008B6287"/>
    <w:rsid w:val="008B69A5"/>
    <w:rsid w:val="008B768C"/>
    <w:rsid w:val="008B7992"/>
    <w:rsid w:val="008C1D33"/>
    <w:rsid w:val="008C33D9"/>
    <w:rsid w:val="008C4DB1"/>
    <w:rsid w:val="008C4EAF"/>
    <w:rsid w:val="008C5176"/>
    <w:rsid w:val="008C7FD0"/>
    <w:rsid w:val="008D06D5"/>
    <w:rsid w:val="008D08E5"/>
    <w:rsid w:val="008D2C92"/>
    <w:rsid w:val="008D2DE2"/>
    <w:rsid w:val="008D55A6"/>
    <w:rsid w:val="008E0EF3"/>
    <w:rsid w:val="008E1DC6"/>
    <w:rsid w:val="008E1DE7"/>
    <w:rsid w:val="008E2847"/>
    <w:rsid w:val="008E380B"/>
    <w:rsid w:val="008E707C"/>
    <w:rsid w:val="008E7651"/>
    <w:rsid w:val="008F24AB"/>
    <w:rsid w:val="00900B08"/>
    <w:rsid w:val="00901E1C"/>
    <w:rsid w:val="00902155"/>
    <w:rsid w:val="00902BCF"/>
    <w:rsid w:val="00902FA3"/>
    <w:rsid w:val="009109D0"/>
    <w:rsid w:val="00910FAA"/>
    <w:rsid w:val="00912DEB"/>
    <w:rsid w:val="00913706"/>
    <w:rsid w:val="00913A29"/>
    <w:rsid w:val="00915BE4"/>
    <w:rsid w:val="009205F5"/>
    <w:rsid w:val="009215C3"/>
    <w:rsid w:val="00923564"/>
    <w:rsid w:val="0092392E"/>
    <w:rsid w:val="00923F58"/>
    <w:rsid w:val="00924FB0"/>
    <w:rsid w:val="00930109"/>
    <w:rsid w:val="00930E8F"/>
    <w:rsid w:val="009315F9"/>
    <w:rsid w:val="009337F3"/>
    <w:rsid w:val="009339C3"/>
    <w:rsid w:val="00934AB8"/>
    <w:rsid w:val="00935D57"/>
    <w:rsid w:val="00936283"/>
    <w:rsid w:val="00940B88"/>
    <w:rsid w:val="00940F73"/>
    <w:rsid w:val="0094526A"/>
    <w:rsid w:val="00945399"/>
    <w:rsid w:val="00945492"/>
    <w:rsid w:val="00945EEC"/>
    <w:rsid w:val="009461EE"/>
    <w:rsid w:val="00946945"/>
    <w:rsid w:val="00947929"/>
    <w:rsid w:val="00947BF1"/>
    <w:rsid w:val="009500E2"/>
    <w:rsid w:val="00951248"/>
    <w:rsid w:val="0095152F"/>
    <w:rsid w:val="009534A8"/>
    <w:rsid w:val="009540C0"/>
    <w:rsid w:val="00954C49"/>
    <w:rsid w:val="00955EAD"/>
    <w:rsid w:val="0095708C"/>
    <w:rsid w:val="00957098"/>
    <w:rsid w:val="00960F20"/>
    <w:rsid w:val="009620B2"/>
    <w:rsid w:val="00962131"/>
    <w:rsid w:val="00962556"/>
    <w:rsid w:val="00964305"/>
    <w:rsid w:val="0096477D"/>
    <w:rsid w:val="00964EBA"/>
    <w:rsid w:val="0097099F"/>
    <w:rsid w:val="009710DA"/>
    <w:rsid w:val="00971997"/>
    <w:rsid w:val="00971FFC"/>
    <w:rsid w:val="00972A49"/>
    <w:rsid w:val="00973726"/>
    <w:rsid w:val="00974188"/>
    <w:rsid w:val="0098033F"/>
    <w:rsid w:val="00985645"/>
    <w:rsid w:val="0098595E"/>
    <w:rsid w:val="00985C49"/>
    <w:rsid w:val="0098660A"/>
    <w:rsid w:val="009869AA"/>
    <w:rsid w:val="009931C3"/>
    <w:rsid w:val="00995CE3"/>
    <w:rsid w:val="009B2C43"/>
    <w:rsid w:val="009B4EAE"/>
    <w:rsid w:val="009B6C92"/>
    <w:rsid w:val="009B7573"/>
    <w:rsid w:val="009C0EF0"/>
    <w:rsid w:val="009C1B2D"/>
    <w:rsid w:val="009C22F4"/>
    <w:rsid w:val="009C2AE3"/>
    <w:rsid w:val="009C2E98"/>
    <w:rsid w:val="009C5896"/>
    <w:rsid w:val="009C6399"/>
    <w:rsid w:val="009D3447"/>
    <w:rsid w:val="009D3AA6"/>
    <w:rsid w:val="009D4711"/>
    <w:rsid w:val="009D5EF4"/>
    <w:rsid w:val="009E0018"/>
    <w:rsid w:val="009E2320"/>
    <w:rsid w:val="009E2C7B"/>
    <w:rsid w:val="009E576A"/>
    <w:rsid w:val="009E7FBF"/>
    <w:rsid w:val="009F1185"/>
    <w:rsid w:val="009F178D"/>
    <w:rsid w:val="009F18CD"/>
    <w:rsid w:val="009F2021"/>
    <w:rsid w:val="009F2A13"/>
    <w:rsid w:val="009F4A42"/>
    <w:rsid w:val="009F4D78"/>
    <w:rsid w:val="009F6A87"/>
    <w:rsid w:val="009F6B63"/>
    <w:rsid w:val="009F6F4A"/>
    <w:rsid w:val="00A02DD4"/>
    <w:rsid w:val="00A04EB0"/>
    <w:rsid w:val="00A05E7E"/>
    <w:rsid w:val="00A06741"/>
    <w:rsid w:val="00A06EF8"/>
    <w:rsid w:val="00A07DE7"/>
    <w:rsid w:val="00A07E24"/>
    <w:rsid w:val="00A1247B"/>
    <w:rsid w:val="00A13443"/>
    <w:rsid w:val="00A13CC1"/>
    <w:rsid w:val="00A15286"/>
    <w:rsid w:val="00A1571F"/>
    <w:rsid w:val="00A1637E"/>
    <w:rsid w:val="00A16684"/>
    <w:rsid w:val="00A16847"/>
    <w:rsid w:val="00A1745F"/>
    <w:rsid w:val="00A2301F"/>
    <w:rsid w:val="00A237D8"/>
    <w:rsid w:val="00A25634"/>
    <w:rsid w:val="00A268C4"/>
    <w:rsid w:val="00A27771"/>
    <w:rsid w:val="00A300FE"/>
    <w:rsid w:val="00A307CD"/>
    <w:rsid w:val="00A3233A"/>
    <w:rsid w:val="00A35068"/>
    <w:rsid w:val="00A3556D"/>
    <w:rsid w:val="00A35870"/>
    <w:rsid w:val="00A35FE0"/>
    <w:rsid w:val="00A40A00"/>
    <w:rsid w:val="00A4142F"/>
    <w:rsid w:val="00A41D4A"/>
    <w:rsid w:val="00A43522"/>
    <w:rsid w:val="00A4622C"/>
    <w:rsid w:val="00A462AA"/>
    <w:rsid w:val="00A46A63"/>
    <w:rsid w:val="00A47A0F"/>
    <w:rsid w:val="00A50F96"/>
    <w:rsid w:val="00A514F8"/>
    <w:rsid w:val="00A52260"/>
    <w:rsid w:val="00A53D20"/>
    <w:rsid w:val="00A54687"/>
    <w:rsid w:val="00A54CE0"/>
    <w:rsid w:val="00A55073"/>
    <w:rsid w:val="00A55447"/>
    <w:rsid w:val="00A55ED8"/>
    <w:rsid w:val="00A56DF2"/>
    <w:rsid w:val="00A56E1B"/>
    <w:rsid w:val="00A57F63"/>
    <w:rsid w:val="00A61738"/>
    <w:rsid w:val="00A62ECF"/>
    <w:rsid w:val="00A63814"/>
    <w:rsid w:val="00A64138"/>
    <w:rsid w:val="00A64421"/>
    <w:rsid w:val="00A659FC"/>
    <w:rsid w:val="00A65DE6"/>
    <w:rsid w:val="00A66D73"/>
    <w:rsid w:val="00A67AB5"/>
    <w:rsid w:val="00A70317"/>
    <w:rsid w:val="00A72FA8"/>
    <w:rsid w:val="00A76B3A"/>
    <w:rsid w:val="00A77CB7"/>
    <w:rsid w:val="00A804D8"/>
    <w:rsid w:val="00A85003"/>
    <w:rsid w:val="00A85A0C"/>
    <w:rsid w:val="00A91460"/>
    <w:rsid w:val="00A91760"/>
    <w:rsid w:val="00A93902"/>
    <w:rsid w:val="00A93B00"/>
    <w:rsid w:val="00A93C21"/>
    <w:rsid w:val="00A94004"/>
    <w:rsid w:val="00A95D33"/>
    <w:rsid w:val="00A96D42"/>
    <w:rsid w:val="00AA1212"/>
    <w:rsid w:val="00AA14EC"/>
    <w:rsid w:val="00AA2E83"/>
    <w:rsid w:val="00AA6693"/>
    <w:rsid w:val="00AA6D23"/>
    <w:rsid w:val="00AA7B07"/>
    <w:rsid w:val="00AB1A65"/>
    <w:rsid w:val="00AB26EC"/>
    <w:rsid w:val="00AB2A36"/>
    <w:rsid w:val="00AB5E60"/>
    <w:rsid w:val="00AB5E86"/>
    <w:rsid w:val="00AB6DD7"/>
    <w:rsid w:val="00AC20D9"/>
    <w:rsid w:val="00AC3237"/>
    <w:rsid w:val="00AC3A9E"/>
    <w:rsid w:val="00AC3C6A"/>
    <w:rsid w:val="00AC40DA"/>
    <w:rsid w:val="00AC6A20"/>
    <w:rsid w:val="00AD013F"/>
    <w:rsid w:val="00AD1561"/>
    <w:rsid w:val="00AD1E04"/>
    <w:rsid w:val="00AD4E89"/>
    <w:rsid w:val="00AD5090"/>
    <w:rsid w:val="00AD55F4"/>
    <w:rsid w:val="00AD5620"/>
    <w:rsid w:val="00AD654C"/>
    <w:rsid w:val="00AD712A"/>
    <w:rsid w:val="00AD7C1B"/>
    <w:rsid w:val="00AE16BA"/>
    <w:rsid w:val="00AE1B18"/>
    <w:rsid w:val="00AE1EBE"/>
    <w:rsid w:val="00AE3F47"/>
    <w:rsid w:val="00AE5217"/>
    <w:rsid w:val="00AE57E5"/>
    <w:rsid w:val="00AE5ACD"/>
    <w:rsid w:val="00AE7003"/>
    <w:rsid w:val="00AE78D4"/>
    <w:rsid w:val="00AF334F"/>
    <w:rsid w:val="00AF567D"/>
    <w:rsid w:val="00B03C9D"/>
    <w:rsid w:val="00B03D45"/>
    <w:rsid w:val="00B03DEF"/>
    <w:rsid w:val="00B04041"/>
    <w:rsid w:val="00B046DB"/>
    <w:rsid w:val="00B059FA"/>
    <w:rsid w:val="00B060AE"/>
    <w:rsid w:val="00B06286"/>
    <w:rsid w:val="00B06EEB"/>
    <w:rsid w:val="00B07376"/>
    <w:rsid w:val="00B10406"/>
    <w:rsid w:val="00B10517"/>
    <w:rsid w:val="00B1323D"/>
    <w:rsid w:val="00B1364D"/>
    <w:rsid w:val="00B13D51"/>
    <w:rsid w:val="00B13F34"/>
    <w:rsid w:val="00B14E76"/>
    <w:rsid w:val="00B15718"/>
    <w:rsid w:val="00B15757"/>
    <w:rsid w:val="00B161B8"/>
    <w:rsid w:val="00B2048C"/>
    <w:rsid w:val="00B22224"/>
    <w:rsid w:val="00B22E19"/>
    <w:rsid w:val="00B268D9"/>
    <w:rsid w:val="00B30B06"/>
    <w:rsid w:val="00B310B9"/>
    <w:rsid w:val="00B3183E"/>
    <w:rsid w:val="00B330FA"/>
    <w:rsid w:val="00B35211"/>
    <w:rsid w:val="00B35F3F"/>
    <w:rsid w:val="00B36CBB"/>
    <w:rsid w:val="00B370EB"/>
    <w:rsid w:val="00B40532"/>
    <w:rsid w:val="00B425E0"/>
    <w:rsid w:val="00B440AA"/>
    <w:rsid w:val="00B44B70"/>
    <w:rsid w:val="00B47B8F"/>
    <w:rsid w:val="00B50563"/>
    <w:rsid w:val="00B507B7"/>
    <w:rsid w:val="00B51BBE"/>
    <w:rsid w:val="00B53703"/>
    <w:rsid w:val="00B53C56"/>
    <w:rsid w:val="00B53E4F"/>
    <w:rsid w:val="00B54341"/>
    <w:rsid w:val="00B545A6"/>
    <w:rsid w:val="00B5556B"/>
    <w:rsid w:val="00B60A7E"/>
    <w:rsid w:val="00B6427E"/>
    <w:rsid w:val="00B67CE3"/>
    <w:rsid w:val="00B706F1"/>
    <w:rsid w:val="00B725E6"/>
    <w:rsid w:val="00B736DE"/>
    <w:rsid w:val="00B74FE7"/>
    <w:rsid w:val="00B753E0"/>
    <w:rsid w:val="00B7569F"/>
    <w:rsid w:val="00B75C09"/>
    <w:rsid w:val="00B76674"/>
    <w:rsid w:val="00B77EA6"/>
    <w:rsid w:val="00B80439"/>
    <w:rsid w:val="00B80BAB"/>
    <w:rsid w:val="00B81598"/>
    <w:rsid w:val="00B82F7D"/>
    <w:rsid w:val="00B839DA"/>
    <w:rsid w:val="00B83EE2"/>
    <w:rsid w:val="00B841F1"/>
    <w:rsid w:val="00B8480B"/>
    <w:rsid w:val="00B91D3E"/>
    <w:rsid w:val="00B92400"/>
    <w:rsid w:val="00B93AA8"/>
    <w:rsid w:val="00B944D6"/>
    <w:rsid w:val="00B96CD2"/>
    <w:rsid w:val="00BA054C"/>
    <w:rsid w:val="00BA0777"/>
    <w:rsid w:val="00BA0AED"/>
    <w:rsid w:val="00BA22CD"/>
    <w:rsid w:val="00BA3028"/>
    <w:rsid w:val="00BA3356"/>
    <w:rsid w:val="00BA49E7"/>
    <w:rsid w:val="00BA5298"/>
    <w:rsid w:val="00BB1990"/>
    <w:rsid w:val="00BB2D7E"/>
    <w:rsid w:val="00BB4C52"/>
    <w:rsid w:val="00BB4DF0"/>
    <w:rsid w:val="00BC0AE4"/>
    <w:rsid w:val="00BC1202"/>
    <w:rsid w:val="00BC1A97"/>
    <w:rsid w:val="00BC2731"/>
    <w:rsid w:val="00BC289F"/>
    <w:rsid w:val="00BC5361"/>
    <w:rsid w:val="00BC5460"/>
    <w:rsid w:val="00BC6B50"/>
    <w:rsid w:val="00BD0E25"/>
    <w:rsid w:val="00BD2458"/>
    <w:rsid w:val="00BD5121"/>
    <w:rsid w:val="00BD6D67"/>
    <w:rsid w:val="00BD6E57"/>
    <w:rsid w:val="00BE01DE"/>
    <w:rsid w:val="00BE218A"/>
    <w:rsid w:val="00BE39F0"/>
    <w:rsid w:val="00BE5FB5"/>
    <w:rsid w:val="00BE7259"/>
    <w:rsid w:val="00BF060C"/>
    <w:rsid w:val="00BF2962"/>
    <w:rsid w:val="00BF2E85"/>
    <w:rsid w:val="00BF5BD6"/>
    <w:rsid w:val="00BF6316"/>
    <w:rsid w:val="00BF718F"/>
    <w:rsid w:val="00C01DBE"/>
    <w:rsid w:val="00C03E31"/>
    <w:rsid w:val="00C05BAF"/>
    <w:rsid w:val="00C05CAD"/>
    <w:rsid w:val="00C05F29"/>
    <w:rsid w:val="00C06A2B"/>
    <w:rsid w:val="00C11626"/>
    <w:rsid w:val="00C137AD"/>
    <w:rsid w:val="00C13B26"/>
    <w:rsid w:val="00C1480D"/>
    <w:rsid w:val="00C1658B"/>
    <w:rsid w:val="00C23BFD"/>
    <w:rsid w:val="00C24603"/>
    <w:rsid w:val="00C259D0"/>
    <w:rsid w:val="00C30983"/>
    <w:rsid w:val="00C30D73"/>
    <w:rsid w:val="00C313B9"/>
    <w:rsid w:val="00C31B41"/>
    <w:rsid w:val="00C33276"/>
    <w:rsid w:val="00C33E72"/>
    <w:rsid w:val="00C3423D"/>
    <w:rsid w:val="00C342CE"/>
    <w:rsid w:val="00C34C84"/>
    <w:rsid w:val="00C34EED"/>
    <w:rsid w:val="00C354B2"/>
    <w:rsid w:val="00C35554"/>
    <w:rsid w:val="00C36831"/>
    <w:rsid w:val="00C4133E"/>
    <w:rsid w:val="00C41611"/>
    <w:rsid w:val="00C41EB1"/>
    <w:rsid w:val="00C426CE"/>
    <w:rsid w:val="00C42709"/>
    <w:rsid w:val="00C516E5"/>
    <w:rsid w:val="00C5216D"/>
    <w:rsid w:val="00C533CC"/>
    <w:rsid w:val="00C54531"/>
    <w:rsid w:val="00C5751C"/>
    <w:rsid w:val="00C61BFC"/>
    <w:rsid w:val="00C62B85"/>
    <w:rsid w:val="00C634C6"/>
    <w:rsid w:val="00C63DE6"/>
    <w:rsid w:val="00C65438"/>
    <w:rsid w:val="00C65FA1"/>
    <w:rsid w:val="00C663B4"/>
    <w:rsid w:val="00C66789"/>
    <w:rsid w:val="00C677E0"/>
    <w:rsid w:val="00C71C3C"/>
    <w:rsid w:val="00C73C9E"/>
    <w:rsid w:val="00C77033"/>
    <w:rsid w:val="00C77575"/>
    <w:rsid w:val="00C77955"/>
    <w:rsid w:val="00C77D11"/>
    <w:rsid w:val="00C80BE1"/>
    <w:rsid w:val="00C80E5E"/>
    <w:rsid w:val="00C87773"/>
    <w:rsid w:val="00C91BEF"/>
    <w:rsid w:val="00C91CBB"/>
    <w:rsid w:val="00C94460"/>
    <w:rsid w:val="00C94755"/>
    <w:rsid w:val="00C9494C"/>
    <w:rsid w:val="00C976D8"/>
    <w:rsid w:val="00C9779E"/>
    <w:rsid w:val="00CA1D7E"/>
    <w:rsid w:val="00CA4889"/>
    <w:rsid w:val="00CA6417"/>
    <w:rsid w:val="00CA7A47"/>
    <w:rsid w:val="00CA7CBE"/>
    <w:rsid w:val="00CB2258"/>
    <w:rsid w:val="00CB37D6"/>
    <w:rsid w:val="00CB5AA7"/>
    <w:rsid w:val="00CC09B6"/>
    <w:rsid w:val="00CC2ECC"/>
    <w:rsid w:val="00CC42AE"/>
    <w:rsid w:val="00CC5828"/>
    <w:rsid w:val="00CC666F"/>
    <w:rsid w:val="00CD0159"/>
    <w:rsid w:val="00CD1E3F"/>
    <w:rsid w:val="00CD2CD4"/>
    <w:rsid w:val="00CD2F8E"/>
    <w:rsid w:val="00CD33CA"/>
    <w:rsid w:val="00CD41F7"/>
    <w:rsid w:val="00CD7039"/>
    <w:rsid w:val="00CE07D1"/>
    <w:rsid w:val="00CE10F5"/>
    <w:rsid w:val="00CE245D"/>
    <w:rsid w:val="00CE298B"/>
    <w:rsid w:val="00CE41E9"/>
    <w:rsid w:val="00CE4476"/>
    <w:rsid w:val="00CE44F6"/>
    <w:rsid w:val="00CE49DA"/>
    <w:rsid w:val="00CE6166"/>
    <w:rsid w:val="00CE7B61"/>
    <w:rsid w:val="00CF0C95"/>
    <w:rsid w:val="00CF303D"/>
    <w:rsid w:val="00CF32A8"/>
    <w:rsid w:val="00CF47D0"/>
    <w:rsid w:val="00CF537A"/>
    <w:rsid w:val="00CF5A38"/>
    <w:rsid w:val="00D00095"/>
    <w:rsid w:val="00D007A3"/>
    <w:rsid w:val="00D00CD9"/>
    <w:rsid w:val="00D01872"/>
    <w:rsid w:val="00D01D1C"/>
    <w:rsid w:val="00D03F76"/>
    <w:rsid w:val="00D07457"/>
    <w:rsid w:val="00D120DF"/>
    <w:rsid w:val="00D12260"/>
    <w:rsid w:val="00D14981"/>
    <w:rsid w:val="00D17582"/>
    <w:rsid w:val="00D20620"/>
    <w:rsid w:val="00D21AB8"/>
    <w:rsid w:val="00D21B96"/>
    <w:rsid w:val="00D21FCA"/>
    <w:rsid w:val="00D23CC1"/>
    <w:rsid w:val="00D253CD"/>
    <w:rsid w:val="00D26091"/>
    <w:rsid w:val="00D26765"/>
    <w:rsid w:val="00D30031"/>
    <w:rsid w:val="00D34E7C"/>
    <w:rsid w:val="00D35489"/>
    <w:rsid w:val="00D41FB4"/>
    <w:rsid w:val="00D42D3C"/>
    <w:rsid w:val="00D43BB3"/>
    <w:rsid w:val="00D4531F"/>
    <w:rsid w:val="00D5056E"/>
    <w:rsid w:val="00D51276"/>
    <w:rsid w:val="00D577F9"/>
    <w:rsid w:val="00D6086D"/>
    <w:rsid w:val="00D60B63"/>
    <w:rsid w:val="00D6672E"/>
    <w:rsid w:val="00D66F3E"/>
    <w:rsid w:val="00D67949"/>
    <w:rsid w:val="00D70080"/>
    <w:rsid w:val="00D7035F"/>
    <w:rsid w:val="00D70D9E"/>
    <w:rsid w:val="00D7255A"/>
    <w:rsid w:val="00D729A5"/>
    <w:rsid w:val="00D7311E"/>
    <w:rsid w:val="00D74434"/>
    <w:rsid w:val="00D74948"/>
    <w:rsid w:val="00D75E52"/>
    <w:rsid w:val="00D769DB"/>
    <w:rsid w:val="00D8058B"/>
    <w:rsid w:val="00D811F1"/>
    <w:rsid w:val="00D81CF0"/>
    <w:rsid w:val="00D86259"/>
    <w:rsid w:val="00D87885"/>
    <w:rsid w:val="00D9128F"/>
    <w:rsid w:val="00D938FB"/>
    <w:rsid w:val="00D95A81"/>
    <w:rsid w:val="00DA2414"/>
    <w:rsid w:val="00DA2E7B"/>
    <w:rsid w:val="00DA376F"/>
    <w:rsid w:val="00DA4CF4"/>
    <w:rsid w:val="00DA517E"/>
    <w:rsid w:val="00DA64CE"/>
    <w:rsid w:val="00DA65AC"/>
    <w:rsid w:val="00DA73F4"/>
    <w:rsid w:val="00DB1913"/>
    <w:rsid w:val="00DB23A2"/>
    <w:rsid w:val="00DB31AE"/>
    <w:rsid w:val="00DB469B"/>
    <w:rsid w:val="00DB6217"/>
    <w:rsid w:val="00DB6D81"/>
    <w:rsid w:val="00DB7682"/>
    <w:rsid w:val="00DB774B"/>
    <w:rsid w:val="00DB7B27"/>
    <w:rsid w:val="00DB7ED3"/>
    <w:rsid w:val="00DC1D19"/>
    <w:rsid w:val="00DC29F0"/>
    <w:rsid w:val="00DC410D"/>
    <w:rsid w:val="00DC482F"/>
    <w:rsid w:val="00DC4E3B"/>
    <w:rsid w:val="00DC53AB"/>
    <w:rsid w:val="00DC68CA"/>
    <w:rsid w:val="00DC7CBA"/>
    <w:rsid w:val="00DD0F4D"/>
    <w:rsid w:val="00DD109B"/>
    <w:rsid w:val="00DD2D64"/>
    <w:rsid w:val="00DD73B7"/>
    <w:rsid w:val="00DE28E8"/>
    <w:rsid w:val="00DE57ED"/>
    <w:rsid w:val="00DE6D3D"/>
    <w:rsid w:val="00DF0369"/>
    <w:rsid w:val="00DF256A"/>
    <w:rsid w:val="00DF28BC"/>
    <w:rsid w:val="00DF2BBE"/>
    <w:rsid w:val="00DF34B9"/>
    <w:rsid w:val="00DF36DA"/>
    <w:rsid w:val="00DF4EE4"/>
    <w:rsid w:val="00DF69F2"/>
    <w:rsid w:val="00E00C0C"/>
    <w:rsid w:val="00E01053"/>
    <w:rsid w:val="00E032C4"/>
    <w:rsid w:val="00E03AB5"/>
    <w:rsid w:val="00E04FF6"/>
    <w:rsid w:val="00E07ACF"/>
    <w:rsid w:val="00E07C49"/>
    <w:rsid w:val="00E1142E"/>
    <w:rsid w:val="00E11EA9"/>
    <w:rsid w:val="00E13C23"/>
    <w:rsid w:val="00E17451"/>
    <w:rsid w:val="00E176E0"/>
    <w:rsid w:val="00E20F23"/>
    <w:rsid w:val="00E21189"/>
    <w:rsid w:val="00E22344"/>
    <w:rsid w:val="00E22D73"/>
    <w:rsid w:val="00E24A28"/>
    <w:rsid w:val="00E2598A"/>
    <w:rsid w:val="00E26D43"/>
    <w:rsid w:val="00E2719A"/>
    <w:rsid w:val="00E331A1"/>
    <w:rsid w:val="00E33202"/>
    <w:rsid w:val="00E336A9"/>
    <w:rsid w:val="00E339F9"/>
    <w:rsid w:val="00E34D61"/>
    <w:rsid w:val="00E352AD"/>
    <w:rsid w:val="00E35DF9"/>
    <w:rsid w:val="00E36162"/>
    <w:rsid w:val="00E4020E"/>
    <w:rsid w:val="00E41572"/>
    <w:rsid w:val="00E42E24"/>
    <w:rsid w:val="00E4326C"/>
    <w:rsid w:val="00E43716"/>
    <w:rsid w:val="00E43E83"/>
    <w:rsid w:val="00E4418C"/>
    <w:rsid w:val="00E442E7"/>
    <w:rsid w:val="00E47FEC"/>
    <w:rsid w:val="00E50624"/>
    <w:rsid w:val="00E50EC1"/>
    <w:rsid w:val="00E559C8"/>
    <w:rsid w:val="00E559F4"/>
    <w:rsid w:val="00E568DF"/>
    <w:rsid w:val="00E6091E"/>
    <w:rsid w:val="00E63E1C"/>
    <w:rsid w:val="00E64269"/>
    <w:rsid w:val="00E648BF"/>
    <w:rsid w:val="00E67B9B"/>
    <w:rsid w:val="00E70395"/>
    <w:rsid w:val="00E71182"/>
    <w:rsid w:val="00E7180C"/>
    <w:rsid w:val="00E71EE8"/>
    <w:rsid w:val="00E759C7"/>
    <w:rsid w:val="00E778AF"/>
    <w:rsid w:val="00E82267"/>
    <w:rsid w:val="00E82D19"/>
    <w:rsid w:val="00E8382C"/>
    <w:rsid w:val="00E84714"/>
    <w:rsid w:val="00E879E6"/>
    <w:rsid w:val="00E9375F"/>
    <w:rsid w:val="00E938AA"/>
    <w:rsid w:val="00E95984"/>
    <w:rsid w:val="00E96D03"/>
    <w:rsid w:val="00EA010F"/>
    <w:rsid w:val="00EA039B"/>
    <w:rsid w:val="00EA2455"/>
    <w:rsid w:val="00EA262D"/>
    <w:rsid w:val="00EA4AA3"/>
    <w:rsid w:val="00EA4BCA"/>
    <w:rsid w:val="00EA545A"/>
    <w:rsid w:val="00EA5E4F"/>
    <w:rsid w:val="00EB2461"/>
    <w:rsid w:val="00EC1C2C"/>
    <w:rsid w:val="00EC25B6"/>
    <w:rsid w:val="00EC38BD"/>
    <w:rsid w:val="00EC3F04"/>
    <w:rsid w:val="00ED1B63"/>
    <w:rsid w:val="00ED29E6"/>
    <w:rsid w:val="00ED29EA"/>
    <w:rsid w:val="00ED360C"/>
    <w:rsid w:val="00ED3C1F"/>
    <w:rsid w:val="00ED4085"/>
    <w:rsid w:val="00ED420E"/>
    <w:rsid w:val="00ED6AD8"/>
    <w:rsid w:val="00ED71DF"/>
    <w:rsid w:val="00EE0963"/>
    <w:rsid w:val="00EE1FC9"/>
    <w:rsid w:val="00EE24E3"/>
    <w:rsid w:val="00EE2F57"/>
    <w:rsid w:val="00EE6332"/>
    <w:rsid w:val="00EF132A"/>
    <w:rsid w:val="00EF4C34"/>
    <w:rsid w:val="00EF5291"/>
    <w:rsid w:val="00EF64E8"/>
    <w:rsid w:val="00EF659B"/>
    <w:rsid w:val="00EF77C6"/>
    <w:rsid w:val="00EF7BDE"/>
    <w:rsid w:val="00EF7CA7"/>
    <w:rsid w:val="00F022B4"/>
    <w:rsid w:val="00F0292C"/>
    <w:rsid w:val="00F05438"/>
    <w:rsid w:val="00F0746A"/>
    <w:rsid w:val="00F110A1"/>
    <w:rsid w:val="00F113D8"/>
    <w:rsid w:val="00F118C3"/>
    <w:rsid w:val="00F1361C"/>
    <w:rsid w:val="00F14902"/>
    <w:rsid w:val="00F160C7"/>
    <w:rsid w:val="00F16FDE"/>
    <w:rsid w:val="00F20320"/>
    <w:rsid w:val="00F20532"/>
    <w:rsid w:val="00F21001"/>
    <w:rsid w:val="00F228F9"/>
    <w:rsid w:val="00F248A8"/>
    <w:rsid w:val="00F24E3F"/>
    <w:rsid w:val="00F26D60"/>
    <w:rsid w:val="00F30138"/>
    <w:rsid w:val="00F301B6"/>
    <w:rsid w:val="00F31EA1"/>
    <w:rsid w:val="00F3294D"/>
    <w:rsid w:val="00F354A9"/>
    <w:rsid w:val="00F36D8F"/>
    <w:rsid w:val="00F3744E"/>
    <w:rsid w:val="00F40698"/>
    <w:rsid w:val="00F406E9"/>
    <w:rsid w:val="00F417B1"/>
    <w:rsid w:val="00F460AB"/>
    <w:rsid w:val="00F50AC5"/>
    <w:rsid w:val="00F53E68"/>
    <w:rsid w:val="00F5454E"/>
    <w:rsid w:val="00F559FA"/>
    <w:rsid w:val="00F57903"/>
    <w:rsid w:val="00F602DF"/>
    <w:rsid w:val="00F6390A"/>
    <w:rsid w:val="00F6529E"/>
    <w:rsid w:val="00F6641D"/>
    <w:rsid w:val="00F75CC0"/>
    <w:rsid w:val="00F75CCC"/>
    <w:rsid w:val="00F75F9D"/>
    <w:rsid w:val="00F81FD9"/>
    <w:rsid w:val="00F82490"/>
    <w:rsid w:val="00F8281D"/>
    <w:rsid w:val="00F835D4"/>
    <w:rsid w:val="00F841AA"/>
    <w:rsid w:val="00F845B5"/>
    <w:rsid w:val="00F86932"/>
    <w:rsid w:val="00F875DB"/>
    <w:rsid w:val="00F87E73"/>
    <w:rsid w:val="00F905A4"/>
    <w:rsid w:val="00F92C70"/>
    <w:rsid w:val="00F93633"/>
    <w:rsid w:val="00F93DF5"/>
    <w:rsid w:val="00FA0947"/>
    <w:rsid w:val="00FA23E8"/>
    <w:rsid w:val="00FA2F5B"/>
    <w:rsid w:val="00FA4421"/>
    <w:rsid w:val="00FA4B00"/>
    <w:rsid w:val="00FA525F"/>
    <w:rsid w:val="00FA77AD"/>
    <w:rsid w:val="00FB0BBA"/>
    <w:rsid w:val="00FB1FF4"/>
    <w:rsid w:val="00FB55E6"/>
    <w:rsid w:val="00FC124C"/>
    <w:rsid w:val="00FC1E02"/>
    <w:rsid w:val="00FC3048"/>
    <w:rsid w:val="00FC4660"/>
    <w:rsid w:val="00FC46BC"/>
    <w:rsid w:val="00FC7DEF"/>
    <w:rsid w:val="00FD020D"/>
    <w:rsid w:val="00FD3016"/>
    <w:rsid w:val="00FD3828"/>
    <w:rsid w:val="00FD3CC1"/>
    <w:rsid w:val="00FD5BFE"/>
    <w:rsid w:val="00FE17BC"/>
    <w:rsid w:val="00FE2AD1"/>
    <w:rsid w:val="00FE4DB0"/>
    <w:rsid w:val="00FE5493"/>
    <w:rsid w:val="00FE625C"/>
    <w:rsid w:val="00FF1E02"/>
    <w:rsid w:val="00FF30B4"/>
    <w:rsid w:val="00FF66E8"/>
    <w:rsid w:val="012F3CEB"/>
    <w:rsid w:val="01B354EA"/>
    <w:rsid w:val="01CF32DE"/>
    <w:rsid w:val="01D74DB7"/>
    <w:rsid w:val="01D86637"/>
    <w:rsid w:val="01F04616"/>
    <w:rsid w:val="02571F5C"/>
    <w:rsid w:val="037A757D"/>
    <w:rsid w:val="03F359AA"/>
    <w:rsid w:val="043A3897"/>
    <w:rsid w:val="045647CC"/>
    <w:rsid w:val="0463543B"/>
    <w:rsid w:val="048D6B52"/>
    <w:rsid w:val="04A56E6E"/>
    <w:rsid w:val="04D45254"/>
    <w:rsid w:val="04D550AF"/>
    <w:rsid w:val="051A6F96"/>
    <w:rsid w:val="05C25E8C"/>
    <w:rsid w:val="06951176"/>
    <w:rsid w:val="07001BE1"/>
    <w:rsid w:val="07267DE7"/>
    <w:rsid w:val="07DA32E3"/>
    <w:rsid w:val="088F55D5"/>
    <w:rsid w:val="089C4B49"/>
    <w:rsid w:val="08C057CF"/>
    <w:rsid w:val="09081517"/>
    <w:rsid w:val="091B747D"/>
    <w:rsid w:val="092E626A"/>
    <w:rsid w:val="09A017D8"/>
    <w:rsid w:val="09A572B6"/>
    <w:rsid w:val="0A19737C"/>
    <w:rsid w:val="0B7218AA"/>
    <w:rsid w:val="0B99373B"/>
    <w:rsid w:val="0BA37CB5"/>
    <w:rsid w:val="0C1A4CA3"/>
    <w:rsid w:val="0D0429D6"/>
    <w:rsid w:val="0D093B48"/>
    <w:rsid w:val="0D322E51"/>
    <w:rsid w:val="0D6C338E"/>
    <w:rsid w:val="0DB37F58"/>
    <w:rsid w:val="0DB742A8"/>
    <w:rsid w:val="0E6D2010"/>
    <w:rsid w:val="0EC00B7E"/>
    <w:rsid w:val="0F5E6610"/>
    <w:rsid w:val="0FB52B86"/>
    <w:rsid w:val="0FC046F5"/>
    <w:rsid w:val="0FDB629D"/>
    <w:rsid w:val="0FFD0B0D"/>
    <w:rsid w:val="103747CF"/>
    <w:rsid w:val="103F4D68"/>
    <w:rsid w:val="10C055FF"/>
    <w:rsid w:val="116A6D7C"/>
    <w:rsid w:val="11761AF6"/>
    <w:rsid w:val="11851C0B"/>
    <w:rsid w:val="11D56DF6"/>
    <w:rsid w:val="11ED6591"/>
    <w:rsid w:val="11F85D8C"/>
    <w:rsid w:val="129E2F84"/>
    <w:rsid w:val="12CD73C6"/>
    <w:rsid w:val="13367661"/>
    <w:rsid w:val="136F089E"/>
    <w:rsid w:val="13D81ACD"/>
    <w:rsid w:val="141E03DE"/>
    <w:rsid w:val="14A90F1B"/>
    <w:rsid w:val="14D728AA"/>
    <w:rsid w:val="15F1786F"/>
    <w:rsid w:val="1665477F"/>
    <w:rsid w:val="16BB723D"/>
    <w:rsid w:val="17283764"/>
    <w:rsid w:val="17914E66"/>
    <w:rsid w:val="17BC7656"/>
    <w:rsid w:val="17EA348C"/>
    <w:rsid w:val="1840212F"/>
    <w:rsid w:val="184656CF"/>
    <w:rsid w:val="193C261A"/>
    <w:rsid w:val="19934117"/>
    <w:rsid w:val="19943114"/>
    <w:rsid w:val="19DE22C0"/>
    <w:rsid w:val="1AB026BC"/>
    <w:rsid w:val="1ABB32B6"/>
    <w:rsid w:val="1AE00E49"/>
    <w:rsid w:val="1B787B60"/>
    <w:rsid w:val="1BF70747"/>
    <w:rsid w:val="1C06153F"/>
    <w:rsid w:val="1C986C96"/>
    <w:rsid w:val="1D7371C3"/>
    <w:rsid w:val="1D8B7A2F"/>
    <w:rsid w:val="1DDC2BB3"/>
    <w:rsid w:val="1E34479D"/>
    <w:rsid w:val="1EF81F78"/>
    <w:rsid w:val="1F620905"/>
    <w:rsid w:val="1FD12B34"/>
    <w:rsid w:val="201A6AB0"/>
    <w:rsid w:val="203B66A0"/>
    <w:rsid w:val="206D278F"/>
    <w:rsid w:val="211A679A"/>
    <w:rsid w:val="21253DA0"/>
    <w:rsid w:val="21A94BCD"/>
    <w:rsid w:val="22857975"/>
    <w:rsid w:val="23700C36"/>
    <w:rsid w:val="23844B7E"/>
    <w:rsid w:val="23902475"/>
    <w:rsid w:val="23FA0B3C"/>
    <w:rsid w:val="240371BF"/>
    <w:rsid w:val="2435534E"/>
    <w:rsid w:val="244017F7"/>
    <w:rsid w:val="24534F10"/>
    <w:rsid w:val="24DF6C66"/>
    <w:rsid w:val="253D03DB"/>
    <w:rsid w:val="253F66D1"/>
    <w:rsid w:val="25A20B86"/>
    <w:rsid w:val="25B1070F"/>
    <w:rsid w:val="25BC6564"/>
    <w:rsid w:val="25DD571A"/>
    <w:rsid w:val="265C1D1F"/>
    <w:rsid w:val="26BB36DB"/>
    <w:rsid w:val="27181100"/>
    <w:rsid w:val="271C5A93"/>
    <w:rsid w:val="276F1834"/>
    <w:rsid w:val="27B459F9"/>
    <w:rsid w:val="27C51E91"/>
    <w:rsid w:val="280173B2"/>
    <w:rsid w:val="281178FD"/>
    <w:rsid w:val="28513369"/>
    <w:rsid w:val="28BF6D42"/>
    <w:rsid w:val="28C822A0"/>
    <w:rsid w:val="28FE016A"/>
    <w:rsid w:val="292E058E"/>
    <w:rsid w:val="295D40A7"/>
    <w:rsid w:val="29FD04D3"/>
    <w:rsid w:val="2C1E1BB4"/>
    <w:rsid w:val="2CAE1BBE"/>
    <w:rsid w:val="2CCF04B2"/>
    <w:rsid w:val="2CFA6D03"/>
    <w:rsid w:val="2D2A09B7"/>
    <w:rsid w:val="2DF079DB"/>
    <w:rsid w:val="2E4C04E0"/>
    <w:rsid w:val="2E67588F"/>
    <w:rsid w:val="2F803D16"/>
    <w:rsid w:val="2FF22B1D"/>
    <w:rsid w:val="30CB71E3"/>
    <w:rsid w:val="30E36C85"/>
    <w:rsid w:val="31810DA9"/>
    <w:rsid w:val="31903F88"/>
    <w:rsid w:val="319F7F4E"/>
    <w:rsid w:val="31B72CAD"/>
    <w:rsid w:val="32004B5E"/>
    <w:rsid w:val="323A1C2F"/>
    <w:rsid w:val="329448A6"/>
    <w:rsid w:val="32F45598"/>
    <w:rsid w:val="33142AEA"/>
    <w:rsid w:val="33204932"/>
    <w:rsid w:val="33447C07"/>
    <w:rsid w:val="33B421B0"/>
    <w:rsid w:val="33D12D62"/>
    <w:rsid w:val="33F67560"/>
    <w:rsid w:val="345D075E"/>
    <w:rsid w:val="35244754"/>
    <w:rsid w:val="361C390A"/>
    <w:rsid w:val="36287AE6"/>
    <w:rsid w:val="364D41F6"/>
    <w:rsid w:val="36FD0156"/>
    <w:rsid w:val="38207F4E"/>
    <w:rsid w:val="38F8371D"/>
    <w:rsid w:val="39226F5F"/>
    <w:rsid w:val="39902098"/>
    <w:rsid w:val="39FD5F33"/>
    <w:rsid w:val="3A3A0F35"/>
    <w:rsid w:val="3A4E1148"/>
    <w:rsid w:val="3A824DB6"/>
    <w:rsid w:val="3AF15A98"/>
    <w:rsid w:val="3C8D2F9D"/>
    <w:rsid w:val="3CE0510E"/>
    <w:rsid w:val="3D0E3B71"/>
    <w:rsid w:val="3D1927CA"/>
    <w:rsid w:val="3D1E4B3E"/>
    <w:rsid w:val="3D6F2272"/>
    <w:rsid w:val="3D8344ED"/>
    <w:rsid w:val="3DDA38B1"/>
    <w:rsid w:val="3E03620E"/>
    <w:rsid w:val="3E343C22"/>
    <w:rsid w:val="3F512FA9"/>
    <w:rsid w:val="3F7C601F"/>
    <w:rsid w:val="3FAC4683"/>
    <w:rsid w:val="3FE060DB"/>
    <w:rsid w:val="3FEA5DFB"/>
    <w:rsid w:val="40035B02"/>
    <w:rsid w:val="401C35B7"/>
    <w:rsid w:val="40C02D8A"/>
    <w:rsid w:val="40EA7211"/>
    <w:rsid w:val="4119235A"/>
    <w:rsid w:val="41677310"/>
    <w:rsid w:val="41923405"/>
    <w:rsid w:val="422C2C46"/>
    <w:rsid w:val="4251506E"/>
    <w:rsid w:val="42B75819"/>
    <w:rsid w:val="43684120"/>
    <w:rsid w:val="444F07DA"/>
    <w:rsid w:val="44601E28"/>
    <w:rsid w:val="472E4611"/>
    <w:rsid w:val="475E72DC"/>
    <w:rsid w:val="47842850"/>
    <w:rsid w:val="47DB3D58"/>
    <w:rsid w:val="47F514AF"/>
    <w:rsid w:val="4839282C"/>
    <w:rsid w:val="48FD75BD"/>
    <w:rsid w:val="49243056"/>
    <w:rsid w:val="494C4A06"/>
    <w:rsid w:val="4A113668"/>
    <w:rsid w:val="4A277A41"/>
    <w:rsid w:val="4A745623"/>
    <w:rsid w:val="4B187071"/>
    <w:rsid w:val="4B2B2DCB"/>
    <w:rsid w:val="4B6A5BC2"/>
    <w:rsid w:val="4B6D2BD3"/>
    <w:rsid w:val="4C7555EC"/>
    <w:rsid w:val="4D135D42"/>
    <w:rsid w:val="4D846266"/>
    <w:rsid w:val="4D8D78A2"/>
    <w:rsid w:val="4DF123A8"/>
    <w:rsid w:val="4E290981"/>
    <w:rsid w:val="4E832A53"/>
    <w:rsid w:val="4E9E44C2"/>
    <w:rsid w:val="4EBC1A30"/>
    <w:rsid w:val="4F395B30"/>
    <w:rsid w:val="4F3B530F"/>
    <w:rsid w:val="4F6F7A34"/>
    <w:rsid w:val="4FD74194"/>
    <w:rsid w:val="4FDA49F5"/>
    <w:rsid w:val="50AE413E"/>
    <w:rsid w:val="5109055A"/>
    <w:rsid w:val="51DF7A7D"/>
    <w:rsid w:val="51E1640E"/>
    <w:rsid w:val="51EE42CA"/>
    <w:rsid w:val="52195E38"/>
    <w:rsid w:val="52302EF2"/>
    <w:rsid w:val="526E48F5"/>
    <w:rsid w:val="52ED6284"/>
    <w:rsid w:val="5322283B"/>
    <w:rsid w:val="532B0C13"/>
    <w:rsid w:val="533D4F08"/>
    <w:rsid w:val="53B35B89"/>
    <w:rsid w:val="53BA6F17"/>
    <w:rsid w:val="53BE2B80"/>
    <w:rsid w:val="54136CE6"/>
    <w:rsid w:val="541505F1"/>
    <w:rsid w:val="542D2749"/>
    <w:rsid w:val="54992FD0"/>
    <w:rsid w:val="55872E29"/>
    <w:rsid w:val="55923320"/>
    <w:rsid w:val="56D0674C"/>
    <w:rsid w:val="57D23F06"/>
    <w:rsid w:val="58BA52C3"/>
    <w:rsid w:val="58BC5D23"/>
    <w:rsid w:val="59177DCC"/>
    <w:rsid w:val="59E040FC"/>
    <w:rsid w:val="59E11CD3"/>
    <w:rsid w:val="5A857BDE"/>
    <w:rsid w:val="5ADF20ED"/>
    <w:rsid w:val="5B2A4567"/>
    <w:rsid w:val="5BE202EA"/>
    <w:rsid w:val="5CAD7C22"/>
    <w:rsid w:val="5CE95B0C"/>
    <w:rsid w:val="5CFA7F1D"/>
    <w:rsid w:val="5D577E65"/>
    <w:rsid w:val="5D6F6B2F"/>
    <w:rsid w:val="5E2506F8"/>
    <w:rsid w:val="5E5E7F75"/>
    <w:rsid w:val="5EA316D6"/>
    <w:rsid w:val="5ECE1AC8"/>
    <w:rsid w:val="5EF556B7"/>
    <w:rsid w:val="5F3A07D2"/>
    <w:rsid w:val="5F593A88"/>
    <w:rsid w:val="5FC04812"/>
    <w:rsid w:val="5FE356D0"/>
    <w:rsid w:val="5FF901AE"/>
    <w:rsid w:val="60651EAC"/>
    <w:rsid w:val="60BB3927"/>
    <w:rsid w:val="6200749A"/>
    <w:rsid w:val="620F0B35"/>
    <w:rsid w:val="6240022D"/>
    <w:rsid w:val="62A42EE2"/>
    <w:rsid w:val="62BE686B"/>
    <w:rsid w:val="62F14F12"/>
    <w:rsid w:val="630D013F"/>
    <w:rsid w:val="63347FC4"/>
    <w:rsid w:val="63604CB9"/>
    <w:rsid w:val="63CD67F3"/>
    <w:rsid w:val="64A36D0B"/>
    <w:rsid w:val="64C00105"/>
    <w:rsid w:val="64C656C1"/>
    <w:rsid w:val="64EC0EFA"/>
    <w:rsid w:val="64F77166"/>
    <w:rsid w:val="65201386"/>
    <w:rsid w:val="657F4183"/>
    <w:rsid w:val="658466A7"/>
    <w:rsid w:val="6596487B"/>
    <w:rsid w:val="65DF63C9"/>
    <w:rsid w:val="65E950BC"/>
    <w:rsid w:val="662A7F2C"/>
    <w:rsid w:val="66627873"/>
    <w:rsid w:val="669C24AC"/>
    <w:rsid w:val="66D65FFA"/>
    <w:rsid w:val="67C24194"/>
    <w:rsid w:val="67E934CF"/>
    <w:rsid w:val="67EB36EB"/>
    <w:rsid w:val="67F614D9"/>
    <w:rsid w:val="68DA2DB6"/>
    <w:rsid w:val="693F42CF"/>
    <w:rsid w:val="69725134"/>
    <w:rsid w:val="6B4666B6"/>
    <w:rsid w:val="6BB306BC"/>
    <w:rsid w:val="6CC85DA9"/>
    <w:rsid w:val="6D2A5F93"/>
    <w:rsid w:val="6D3671B7"/>
    <w:rsid w:val="6D8F2D6B"/>
    <w:rsid w:val="6DB91990"/>
    <w:rsid w:val="6DC31436"/>
    <w:rsid w:val="6E6F4E2B"/>
    <w:rsid w:val="6E7553CB"/>
    <w:rsid w:val="6ECB49CF"/>
    <w:rsid w:val="6ECB5A2B"/>
    <w:rsid w:val="6EE36ECA"/>
    <w:rsid w:val="6F4D197C"/>
    <w:rsid w:val="6F806E0F"/>
    <w:rsid w:val="70202A42"/>
    <w:rsid w:val="70ED3F4C"/>
    <w:rsid w:val="72227D09"/>
    <w:rsid w:val="72E476B5"/>
    <w:rsid w:val="72F22338"/>
    <w:rsid w:val="73327580"/>
    <w:rsid w:val="733572FD"/>
    <w:rsid w:val="73BE3A62"/>
    <w:rsid w:val="746C7E4B"/>
    <w:rsid w:val="750E6C6B"/>
    <w:rsid w:val="75143CB6"/>
    <w:rsid w:val="755E374E"/>
    <w:rsid w:val="75884CEA"/>
    <w:rsid w:val="75B310E7"/>
    <w:rsid w:val="75B318F4"/>
    <w:rsid w:val="75F145C2"/>
    <w:rsid w:val="75F61299"/>
    <w:rsid w:val="761A4623"/>
    <w:rsid w:val="76377F56"/>
    <w:rsid w:val="764B35A7"/>
    <w:rsid w:val="769E6A57"/>
    <w:rsid w:val="77B238DE"/>
    <w:rsid w:val="78993E8E"/>
    <w:rsid w:val="78A4106B"/>
    <w:rsid w:val="794744F9"/>
    <w:rsid w:val="79975481"/>
    <w:rsid w:val="79B4511D"/>
    <w:rsid w:val="79F60BE5"/>
    <w:rsid w:val="7A1B4027"/>
    <w:rsid w:val="7A965738"/>
    <w:rsid w:val="7ABC1C9C"/>
    <w:rsid w:val="7B022DCE"/>
    <w:rsid w:val="7B272834"/>
    <w:rsid w:val="7B8F71DF"/>
    <w:rsid w:val="7C1568F9"/>
    <w:rsid w:val="7CB2612E"/>
    <w:rsid w:val="7CC25607"/>
    <w:rsid w:val="7DE859ED"/>
    <w:rsid w:val="7E4C610E"/>
    <w:rsid w:val="7ECA59B1"/>
    <w:rsid w:val="7F09108F"/>
    <w:rsid w:val="7FDC49A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0" w:semiHidden="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suppressAutoHyphens/>
      <w:spacing w:beforeLines="0" w:afterLines="0"/>
      <w:jc w:val="both"/>
    </w:pPr>
    <w:rPr>
      <w:rFonts w:hint="default" w:ascii="Calibri" w:hAnsi="Calibri" w:eastAsia="宋体" w:cs="Times New Roman"/>
      <w:color w:val="auto"/>
      <w:kern w:val="2"/>
      <w:sz w:val="21"/>
      <w:szCs w:val="24"/>
      <w:lang w:val="en-US" w:eastAsia="zh-CN" w:bidi="ar-SA"/>
    </w:rPr>
  </w:style>
  <w:style w:type="paragraph" w:styleId="3">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Normal Indent"/>
    <w:basedOn w:val="1"/>
    <w:unhideWhenUsed/>
    <w:qFormat/>
    <w:uiPriority w:val="99"/>
    <w:pPr>
      <w:ind w:firstLine="680"/>
    </w:pPr>
  </w:style>
  <w:style w:type="paragraph" w:styleId="7">
    <w:name w:val="annotation text"/>
    <w:basedOn w:val="1"/>
    <w:semiHidden/>
    <w:unhideWhenUsed/>
    <w:qFormat/>
    <w:uiPriority w:val="99"/>
    <w:pPr>
      <w:jc w:val="left"/>
    </w:pPr>
  </w:style>
  <w:style w:type="paragraph" w:styleId="8">
    <w:name w:val="Body Text"/>
    <w:basedOn w:val="1"/>
    <w:link w:val="31"/>
    <w:qFormat/>
    <w:uiPriority w:val="99"/>
    <w:pPr>
      <w:spacing w:beforeLines="30"/>
    </w:pPr>
    <w:rPr>
      <w:rFonts w:ascii="仿宋_GB2312" w:eastAsia="仿宋_GB2312"/>
      <w:kern w:val="0"/>
      <w:sz w:val="30"/>
    </w:rPr>
  </w:style>
  <w:style w:type="paragraph" w:styleId="9">
    <w:name w:val="Body Text Indent"/>
    <w:basedOn w:val="1"/>
    <w:next w:val="10"/>
    <w:unhideWhenUsed/>
    <w:qFormat/>
    <w:uiPriority w:val="0"/>
    <w:pPr>
      <w:spacing w:beforeLines="0" w:after="120" w:afterLines="0"/>
      <w:ind w:leftChars="200"/>
    </w:pPr>
    <w:rPr>
      <w:rFonts w:hint="eastAsia" w:ascii="仿宋_GB2312" w:eastAsia="仿宋_GB2312"/>
      <w:color w:val="auto"/>
      <w:sz w:val="21"/>
      <w:szCs w:val="32"/>
    </w:rPr>
  </w:style>
  <w:style w:type="paragraph" w:styleId="10">
    <w:name w:val="Body Text First Indent 2"/>
    <w:basedOn w:val="9"/>
    <w:unhideWhenUsed/>
    <w:qFormat/>
    <w:uiPriority w:val="99"/>
    <w:pPr>
      <w:spacing w:beforeLines="0" w:afterLines="0"/>
      <w:ind w:firstLine="420" w:firstLineChars="200"/>
    </w:pPr>
    <w:rPr>
      <w:rFonts w:hint="eastAsia"/>
      <w:color w:val="auto"/>
      <w:sz w:val="21"/>
      <w:szCs w:val="32"/>
    </w:r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6"/>
    <w:semiHidden/>
    <w:unhideWhenUsed/>
    <w:qFormat/>
    <w:uiPriority w:val="99"/>
    <w:rPr>
      <w:sz w:val="18"/>
      <w:szCs w:val="18"/>
    </w:rPr>
  </w:style>
  <w:style w:type="paragraph" w:styleId="13">
    <w:name w:val="footer"/>
    <w:basedOn w:val="1"/>
    <w:next w:val="1"/>
    <w:link w:val="29"/>
    <w:qFormat/>
    <w:uiPriority w:val="99"/>
    <w:pPr>
      <w:tabs>
        <w:tab w:val="center" w:pos="4153"/>
        <w:tab w:val="right" w:pos="8306"/>
      </w:tabs>
      <w:snapToGrid w:val="0"/>
      <w:jc w:val="left"/>
    </w:pPr>
    <w:rPr>
      <w:rFonts w:ascii="Calibri" w:hAnsi="Calibri"/>
      <w:kern w:val="0"/>
      <w:sz w:val="18"/>
      <w:szCs w:val="18"/>
    </w:rPr>
  </w:style>
  <w:style w:type="paragraph" w:styleId="14">
    <w:name w:val="header"/>
    <w:basedOn w:val="1"/>
    <w:link w:val="2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6">
    <w:name w:val="footnote text"/>
    <w:basedOn w:val="1"/>
    <w:next w:val="10"/>
    <w:unhideWhenUsed/>
    <w:qFormat/>
    <w:uiPriority w:val="0"/>
    <w:pPr>
      <w:snapToGrid w:val="0"/>
      <w:spacing w:beforeLines="0" w:afterLines="0"/>
      <w:jc w:val="left"/>
    </w:pPr>
    <w:rPr>
      <w:rFonts w:hint="default"/>
      <w:color w:val="auto"/>
      <w:sz w:val="18"/>
      <w:szCs w:val="18"/>
    </w:rPr>
  </w:style>
  <w:style w:type="paragraph" w:styleId="17">
    <w:name w:val="table of figures"/>
    <w:basedOn w:val="1"/>
    <w:next w:val="1"/>
    <w:autoRedefine/>
    <w:qFormat/>
    <w:uiPriority w:val="0"/>
    <w:pPr>
      <w:ind w:left="200" w:leftChars="200" w:hanging="200" w:hangingChars="200"/>
    </w:pPr>
  </w:style>
  <w:style w:type="paragraph" w:styleId="18">
    <w:name w:val="toc 2"/>
    <w:basedOn w:val="1"/>
    <w:next w:val="1"/>
    <w:autoRedefine/>
    <w:unhideWhenUsed/>
    <w:qFormat/>
    <w:uiPriority w:val="39"/>
    <w:pPr>
      <w:tabs>
        <w:tab w:val="right" w:leader="dot" w:pos="8296"/>
      </w:tabs>
      <w:ind w:left="420" w:leftChars="200"/>
    </w:pPr>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22">
    <w:name w:val="Strong"/>
    <w:basedOn w:val="21"/>
    <w:qFormat/>
    <w:uiPriority w:val="99"/>
    <w:rPr>
      <w:b/>
    </w:rPr>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6">
    <w:name w:val="Header Char"/>
    <w:basedOn w:val="21"/>
    <w:semiHidden/>
    <w:qFormat/>
    <w:uiPriority w:val="99"/>
    <w:rPr>
      <w:rFonts w:ascii="Times New Roman" w:hAnsi="Times New Roman"/>
      <w:sz w:val="18"/>
      <w:szCs w:val="18"/>
    </w:rPr>
  </w:style>
  <w:style w:type="character" w:customStyle="1" w:styleId="27">
    <w:name w:val="页眉 字符"/>
    <w:link w:val="14"/>
    <w:semiHidden/>
    <w:qFormat/>
    <w:locked/>
    <w:uiPriority w:val="99"/>
    <w:rPr>
      <w:sz w:val="18"/>
    </w:rPr>
  </w:style>
  <w:style w:type="character" w:customStyle="1" w:styleId="28">
    <w:name w:val="Footer Char"/>
    <w:basedOn w:val="21"/>
    <w:autoRedefine/>
    <w:semiHidden/>
    <w:qFormat/>
    <w:uiPriority w:val="99"/>
    <w:rPr>
      <w:rFonts w:ascii="Times New Roman" w:hAnsi="Times New Roman"/>
      <w:sz w:val="18"/>
      <w:szCs w:val="18"/>
    </w:rPr>
  </w:style>
  <w:style w:type="character" w:customStyle="1" w:styleId="29">
    <w:name w:val="页脚 字符"/>
    <w:link w:val="13"/>
    <w:autoRedefine/>
    <w:qFormat/>
    <w:locked/>
    <w:uiPriority w:val="99"/>
    <w:rPr>
      <w:sz w:val="18"/>
    </w:rPr>
  </w:style>
  <w:style w:type="character" w:customStyle="1" w:styleId="30">
    <w:name w:val="Body Text Char"/>
    <w:basedOn w:val="21"/>
    <w:semiHidden/>
    <w:qFormat/>
    <w:uiPriority w:val="99"/>
    <w:rPr>
      <w:rFonts w:ascii="Times New Roman" w:hAnsi="Times New Roman"/>
      <w:szCs w:val="24"/>
    </w:rPr>
  </w:style>
  <w:style w:type="character" w:customStyle="1" w:styleId="31">
    <w:name w:val="正文文本 字符"/>
    <w:link w:val="8"/>
    <w:qFormat/>
    <w:locked/>
    <w:uiPriority w:val="99"/>
    <w:rPr>
      <w:rFonts w:ascii="仿宋_GB2312" w:hAnsi="Times New Roman" w:eastAsia="仿宋_GB2312"/>
      <w:sz w:val="24"/>
    </w:rPr>
  </w:style>
  <w:style w:type="paragraph" w:styleId="32">
    <w:name w:val="List Paragraph"/>
    <w:basedOn w:val="1"/>
    <w:autoRedefine/>
    <w:qFormat/>
    <w:uiPriority w:val="34"/>
    <w:pPr>
      <w:ind w:firstLine="420" w:firstLineChars="200"/>
    </w:pPr>
  </w:style>
  <w:style w:type="character" w:customStyle="1" w:styleId="33">
    <w:name w:val="标题 1 字符"/>
    <w:basedOn w:val="21"/>
    <w:link w:val="3"/>
    <w:qFormat/>
    <w:uiPriority w:val="9"/>
    <w:rPr>
      <w:rFonts w:ascii="Times New Roman" w:hAnsi="Times New Roman"/>
      <w:b/>
      <w:bCs/>
      <w:kern w:val="44"/>
      <w:sz w:val="44"/>
      <w:szCs w:val="44"/>
    </w:rPr>
  </w:style>
  <w:style w:type="character" w:customStyle="1" w:styleId="34">
    <w:name w:val="标题 2 字符"/>
    <w:basedOn w:val="21"/>
    <w:link w:val="4"/>
    <w:qFormat/>
    <w:uiPriority w:val="9"/>
    <w:rPr>
      <w:rFonts w:asciiTheme="majorHAnsi" w:hAnsiTheme="majorHAnsi" w:eastAsiaTheme="majorEastAsia" w:cstheme="majorBidi"/>
      <w:b/>
      <w:bCs/>
      <w:kern w:val="2"/>
      <w:sz w:val="32"/>
      <w:szCs w:val="32"/>
    </w:rPr>
  </w:style>
  <w:style w:type="paragraph" w:customStyle="1" w:styleId="35">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字符"/>
    <w:basedOn w:val="21"/>
    <w:link w:val="12"/>
    <w:autoRedefine/>
    <w:semiHidden/>
    <w:qFormat/>
    <w:uiPriority w:val="99"/>
    <w:rPr>
      <w:rFonts w:ascii="Times New Roman" w:hAnsi="Times New Roman"/>
      <w:kern w:val="2"/>
      <w:sz w:val="18"/>
      <w:szCs w:val="18"/>
    </w:rPr>
  </w:style>
  <w:style w:type="character" w:customStyle="1" w:styleId="37">
    <w:name w:val="标题 3 字符"/>
    <w:basedOn w:val="21"/>
    <w:link w:val="5"/>
    <w:autoRedefine/>
    <w:qFormat/>
    <w:uiPriority w:val="9"/>
    <w:rPr>
      <w:rFonts w:ascii="Times New Roman" w:hAnsi="Times New Roman"/>
      <w:b/>
      <w:bCs/>
      <w:kern w:val="2"/>
      <w:sz w:val="32"/>
      <w:szCs w:val="32"/>
    </w:rPr>
  </w:style>
  <w:style w:type="character" w:customStyle="1" w:styleId="38">
    <w:name w:val="标题 1 Char"/>
    <w:basedOn w:val="21"/>
    <w:link w:val="3"/>
    <w:qFormat/>
    <w:uiPriority w:val="9"/>
    <w:rPr>
      <w:b/>
      <w:bCs/>
      <w:kern w:val="44"/>
      <w:sz w:val="44"/>
      <w:szCs w:val="44"/>
    </w:rPr>
  </w:style>
  <w:style w:type="paragraph" w:customStyle="1" w:styleId="39">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FC5A5-8DE4-4565-B639-6D345C1D7E6D}">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99</Pages>
  <Words>2855</Words>
  <Characters>3066</Characters>
  <Lines>48</Lines>
  <Paragraphs>13</Paragraphs>
  <TotalTime>59</TotalTime>
  <ScaleCrop>false</ScaleCrop>
  <LinksUpToDate>false</LinksUpToDate>
  <CharactersWithSpaces>3069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2023-08-18T07:28:00Z</dcterms:created>
  <dc:creator>pjf</dc:creator>
  <cp:lastModifiedBy>钟耀辉</cp:lastModifiedBy>
  <cp:lastPrinted>2025-10-13T07:51:00Z</cp:lastPrinted>
  <dcterms:modified xsi:type="dcterms:W3CDTF">2025-10-21T00:47:52Z</dcterms:modified>
  <dc:title>四川省决算编制说明</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8D28C1C4FEB74D1FA93B462F9B427B7C_13</vt:lpwstr>
  </property>
  <property fmtid="{D5CDD505-2E9C-101B-9397-08002B2CF9AE}" pid="4" name="KSOTemplateDocerSaveRecord">
    <vt:lpwstr>eyJoZGlkIjoiYzRhZTZlN2M0NGU3NmUyYTMyYThlOWNjODAxMTc4NjgiLCJ1c2VySWQiOiIxNzEzMjE3MzA5In0=</vt:lpwstr>
  </property>
</Properties>
</file>