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CD43C">
      <w:pPr>
        <w:keepNext w:val="0"/>
        <w:keepLines w:val="0"/>
        <w:pageBreakBefore w:val="0"/>
        <w:widowControl w:val="0"/>
        <w:kinsoku/>
        <w:wordWrap/>
        <w:overflowPunct/>
        <w:topLinePunct w:val="0"/>
        <w:autoSpaceDE/>
        <w:autoSpaceDN/>
        <w:bidi w:val="0"/>
        <w:spacing w:line="570"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zh-CN"/>
        </w:rPr>
      </w:pPr>
      <w:r>
        <w:rPr>
          <w:rFonts w:hint="eastAsia" w:ascii="方正小标宋_GBK" w:hAnsi="方正小标宋_GBK" w:eastAsia="方正小标宋_GBK" w:cs="方正小标宋_GBK"/>
          <w:b w:val="0"/>
          <w:bCs/>
          <w:sz w:val="44"/>
          <w:szCs w:val="44"/>
          <w:highlight w:val="none"/>
          <w:shd w:val="clear" w:color="auto" w:fill="FFFFFF"/>
          <w:lang w:val="en-US" w:eastAsia="zh-CN"/>
        </w:rPr>
        <w:t>渠县退役军人事务局</w:t>
      </w:r>
    </w:p>
    <w:p w14:paraId="6B6F4402">
      <w:pPr>
        <w:keepNext w:val="0"/>
        <w:keepLines w:val="0"/>
        <w:pageBreakBefore w:val="0"/>
        <w:widowControl w:val="0"/>
        <w:kinsoku/>
        <w:wordWrap/>
        <w:overflowPunct/>
        <w:topLinePunct w:val="0"/>
        <w:autoSpaceDE/>
        <w:autoSpaceDN/>
        <w:bidi w:val="0"/>
        <w:spacing w:line="570"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zh-CN"/>
        </w:rPr>
      </w:pPr>
      <w:r>
        <w:rPr>
          <w:rFonts w:hint="eastAsia" w:ascii="方正小标宋_GBK" w:hAnsi="方正小标宋_GBK" w:eastAsia="方正小标宋_GBK" w:cs="方正小标宋_GBK"/>
          <w:b w:val="0"/>
          <w:bCs/>
          <w:sz w:val="44"/>
          <w:szCs w:val="44"/>
          <w:highlight w:val="none"/>
          <w:shd w:val="clear" w:color="auto" w:fill="FFFFFF"/>
          <w:lang w:val="zh-CN"/>
        </w:rPr>
        <w:t>关于报送202</w:t>
      </w:r>
      <w:r>
        <w:rPr>
          <w:rFonts w:hint="eastAsia" w:ascii="方正小标宋_GBK" w:hAnsi="方正小标宋_GBK" w:eastAsia="方正小标宋_GBK" w:cs="方正小标宋_GBK"/>
          <w:b w:val="0"/>
          <w:bCs/>
          <w:sz w:val="44"/>
          <w:szCs w:val="44"/>
          <w:highlight w:val="none"/>
          <w:shd w:val="clear" w:color="auto" w:fill="FFFFFF"/>
          <w:lang w:val="en-US" w:eastAsia="zh-CN"/>
        </w:rPr>
        <w:t>4</w:t>
      </w:r>
      <w:r>
        <w:rPr>
          <w:rFonts w:hint="eastAsia" w:ascii="方正小标宋_GBK" w:hAnsi="方正小标宋_GBK" w:eastAsia="方正小标宋_GBK" w:cs="方正小标宋_GBK"/>
          <w:b w:val="0"/>
          <w:bCs/>
          <w:sz w:val="44"/>
          <w:szCs w:val="44"/>
          <w:highlight w:val="none"/>
          <w:shd w:val="clear" w:color="auto" w:fill="FFFFFF"/>
          <w:lang w:val="zh-CN"/>
        </w:rPr>
        <w:t>年度部门预算绩效评价的</w:t>
      </w:r>
    </w:p>
    <w:p w14:paraId="15E5657C">
      <w:pPr>
        <w:keepNext w:val="0"/>
        <w:keepLines w:val="0"/>
        <w:pageBreakBefore w:val="0"/>
        <w:widowControl w:val="0"/>
        <w:kinsoku/>
        <w:wordWrap/>
        <w:overflowPunct/>
        <w:topLinePunct w:val="0"/>
        <w:autoSpaceDE/>
        <w:autoSpaceDN/>
        <w:bidi w:val="0"/>
        <w:spacing w:line="570"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zh-CN"/>
        </w:rPr>
      </w:pPr>
      <w:r>
        <w:rPr>
          <w:rFonts w:hint="eastAsia" w:ascii="方正小标宋_GBK" w:hAnsi="方正小标宋_GBK" w:eastAsia="方正小标宋_GBK" w:cs="方正小标宋_GBK"/>
          <w:b w:val="0"/>
          <w:bCs/>
          <w:sz w:val="44"/>
          <w:szCs w:val="44"/>
          <w:highlight w:val="none"/>
          <w:shd w:val="clear" w:color="auto" w:fill="FFFFFF"/>
          <w:lang w:val="zh-CN"/>
        </w:rPr>
        <w:t>报告</w:t>
      </w:r>
    </w:p>
    <w:p w14:paraId="6122E421">
      <w:pPr>
        <w:pStyle w:val="20"/>
        <w:keepNext w:val="0"/>
        <w:keepLines w:val="0"/>
        <w:pageBreakBefore w:val="0"/>
        <w:widowControl w:val="0"/>
        <w:kinsoku/>
        <w:wordWrap/>
        <w:overflowPunct/>
        <w:topLinePunct w:val="0"/>
        <w:autoSpaceDE/>
        <w:autoSpaceDN/>
        <w:bidi w:val="0"/>
        <w:spacing w:line="570" w:lineRule="exact"/>
        <w:textAlignment w:val="auto"/>
        <w:rPr>
          <w:rFonts w:hint="default"/>
          <w:lang w:val="zh-CN"/>
        </w:rPr>
      </w:pPr>
    </w:p>
    <w:p w14:paraId="365D87D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eastAsia" w:ascii="Times New Roman" w:hAnsi="Times New Roman" w:cs="Times New Roman"/>
          <w:szCs w:val="32"/>
          <w:lang w:val="en-US" w:eastAsia="zh-CN"/>
        </w:rPr>
        <w:t>根据</w:t>
      </w:r>
      <w:r>
        <w:rPr>
          <w:rFonts w:hint="default" w:ascii="Times New Roman" w:hAnsi="Times New Roman" w:cs="Times New Roman"/>
          <w:szCs w:val="32"/>
          <w:lang w:val="zh-CN" w:eastAsia="zh-CN"/>
        </w:rPr>
        <w:t>《</w:t>
      </w:r>
      <w:r>
        <w:rPr>
          <w:rFonts w:hint="eastAsia" w:ascii="Times New Roman" w:hAnsi="Times New Roman" w:cs="Times New Roman"/>
          <w:szCs w:val="32"/>
          <w:lang w:val="en-US" w:eastAsia="zh-CN"/>
        </w:rPr>
        <w:t>渠县财政</w:t>
      </w:r>
      <w:r>
        <w:rPr>
          <w:rFonts w:hint="default" w:ascii="Times New Roman" w:hAnsi="Times New Roman" w:cs="Times New Roman"/>
          <w:szCs w:val="32"/>
          <w:lang w:val="zh-CN" w:eastAsia="zh-CN"/>
        </w:rPr>
        <w:t>局关于开展202</w:t>
      </w:r>
      <w:r>
        <w:rPr>
          <w:rFonts w:hint="eastAsia" w:ascii="Times New Roman" w:hAnsi="Times New Roman" w:cs="Times New Roman"/>
          <w:szCs w:val="32"/>
          <w:lang w:val="en-US" w:eastAsia="zh-CN"/>
        </w:rPr>
        <w:t>5</w:t>
      </w:r>
      <w:r>
        <w:rPr>
          <w:rFonts w:hint="default" w:ascii="Times New Roman" w:hAnsi="Times New Roman" w:cs="Times New Roman"/>
          <w:szCs w:val="32"/>
          <w:lang w:val="zh-CN" w:eastAsia="zh-CN"/>
        </w:rPr>
        <w:t>年</w:t>
      </w:r>
      <w:r>
        <w:rPr>
          <w:rFonts w:hint="eastAsia" w:ascii="Times New Roman" w:hAnsi="Times New Roman" w:cs="Times New Roman"/>
          <w:szCs w:val="32"/>
          <w:lang w:val="en-US" w:eastAsia="zh-CN"/>
        </w:rPr>
        <w:t>县级部门</w:t>
      </w:r>
      <w:r>
        <w:rPr>
          <w:rFonts w:hint="default" w:ascii="Times New Roman" w:hAnsi="Times New Roman" w:cs="Times New Roman"/>
          <w:szCs w:val="32"/>
          <w:lang w:val="zh-CN" w:eastAsia="zh-CN"/>
        </w:rPr>
        <w:t>绩效</w:t>
      </w:r>
      <w:r>
        <w:rPr>
          <w:rFonts w:hint="eastAsia" w:ascii="Times New Roman" w:hAnsi="Times New Roman" w:cs="Times New Roman"/>
          <w:szCs w:val="32"/>
          <w:lang w:val="en-US" w:eastAsia="zh-CN"/>
        </w:rPr>
        <w:t>自评工作</w:t>
      </w:r>
      <w:r>
        <w:rPr>
          <w:rFonts w:hint="default" w:ascii="Times New Roman" w:hAnsi="Times New Roman" w:cs="Times New Roman"/>
          <w:szCs w:val="32"/>
          <w:lang w:val="zh-CN" w:eastAsia="zh-CN"/>
        </w:rPr>
        <w:t>的通知》（渠财绩〔202</w:t>
      </w:r>
      <w:r>
        <w:rPr>
          <w:rFonts w:hint="eastAsia" w:ascii="Times New Roman" w:hAnsi="Times New Roman" w:cs="Times New Roman"/>
          <w:szCs w:val="32"/>
          <w:lang w:val="en-US" w:eastAsia="zh-CN"/>
        </w:rPr>
        <w:t>5</w:t>
      </w:r>
      <w:r>
        <w:rPr>
          <w:rFonts w:hint="default" w:ascii="Times New Roman" w:hAnsi="Times New Roman" w:cs="Times New Roman"/>
          <w:szCs w:val="32"/>
          <w:lang w:val="zh-CN" w:eastAsia="zh-CN"/>
        </w:rPr>
        <w:t>〕</w:t>
      </w:r>
      <w:r>
        <w:rPr>
          <w:rFonts w:hint="eastAsia" w:ascii="Times New Roman" w:hAnsi="Times New Roman" w:cs="Times New Roman"/>
          <w:szCs w:val="32"/>
          <w:lang w:val="en-US" w:eastAsia="zh-CN"/>
        </w:rPr>
        <w:t>5</w:t>
      </w:r>
      <w:r>
        <w:rPr>
          <w:rFonts w:hint="default" w:ascii="Times New Roman" w:hAnsi="Times New Roman" w:cs="Times New Roman"/>
          <w:szCs w:val="32"/>
          <w:lang w:val="zh-CN" w:eastAsia="zh-CN"/>
        </w:rPr>
        <w:t>号）</w:t>
      </w:r>
      <w:r>
        <w:rPr>
          <w:rFonts w:hint="eastAsia" w:ascii="Times New Roman" w:hAnsi="Times New Roman" w:cs="Times New Roman"/>
          <w:szCs w:val="32"/>
          <w:lang w:val="en-US" w:eastAsia="zh-CN"/>
        </w:rPr>
        <w:t>相关</w:t>
      </w:r>
      <w:r>
        <w:rPr>
          <w:rFonts w:hint="default" w:ascii="Times New Roman" w:hAnsi="Times New Roman" w:cs="Times New Roman"/>
          <w:szCs w:val="32"/>
          <w:lang w:val="zh-CN" w:eastAsia="zh-CN"/>
        </w:rPr>
        <w:t>要求，渠县退役军人事务局</w:t>
      </w:r>
      <w:r>
        <w:rPr>
          <w:rFonts w:hint="eastAsia" w:ascii="Times New Roman" w:hAnsi="Times New Roman" w:cs="Times New Roman"/>
          <w:szCs w:val="32"/>
          <w:lang w:val="en-US" w:eastAsia="zh-CN"/>
        </w:rPr>
        <w:t>认真组织</w:t>
      </w:r>
      <w:r>
        <w:rPr>
          <w:rFonts w:hint="default" w:ascii="Times New Roman" w:hAnsi="Times New Roman" w:cs="Times New Roman"/>
          <w:szCs w:val="32"/>
          <w:lang w:val="zh-CN" w:eastAsia="zh-CN"/>
        </w:rPr>
        <w:t>开展</w:t>
      </w:r>
      <w:r>
        <w:rPr>
          <w:rFonts w:hint="eastAsia" w:ascii="Times New Roman" w:hAnsi="Times New Roman" w:cs="Times New Roman"/>
          <w:szCs w:val="32"/>
          <w:lang w:val="en-US" w:eastAsia="zh-CN"/>
        </w:rPr>
        <w:t>了2024年度</w:t>
      </w:r>
      <w:r>
        <w:rPr>
          <w:rFonts w:hint="default" w:ascii="Times New Roman" w:hAnsi="Times New Roman" w:cs="Times New Roman"/>
          <w:szCs w:val="32"/>
          <w:lang w:val="zh-CN" w:eastAsia="zh-CN"/>
        </w:rPr>
        <w:t>部门</w:t>
      </w:r>
      <w:r>
        <w:rPr>
          <w:rFonts w:hint="eastAsia" w:ascii="Times New Roman" w:hAnsi="Times New Roman" w:cs="Times New Roman"/>
          <w:szCs w:val="32"/>
          <w:lang w:val="en-US" w:eastAsia="zh-CN"/>
        </w:rPr>
        <w:t>预算</w:t>
      </w:r>
      <w:r>
        <w:rPr>
          <w:rFonts w:hint="default" w:ascii="Times New Roman" w:hAnsi="Times New Roman" w:cs="Times New Roman"/>
          <w:szCs w:val="32"/>
          <w:lang w:val="zh-CN" w:eastAsia="zh-CN"/>
        </w:rPr>
        <w:t>绩效</w:t>
      </w:r>
      <w:r>
        <w:rPr>
          <w:rFonts w:hint="eastAsia" w:ascii="Times New Roman" w:hAnsi="Times New Roman" w:cs="Times New Roman"/>
          <w:szCs w:val="32"/>
          <w:lang w:val="en-US" w:eastAsia="zh-CN"/>
        </w:rPr>
        <w:t>自</w:t>
      </w:r>
      <w:r>
        <w:rPr>
          <w:rFonts w:hint="default" w:ascii="Times New Roman" w:hAnsi="Times New Roman" w:cs="Times New Roman"/>
          <w:szCs w:val="32"/>
          <w:lang w:val="zh-CN" w:eastAsia="zh-CN"/>
        </w:rPr>
        <w:t>评</w:t>
      </w:r>
      <w:r>
        <w:rPr>
          <w:rFonts w:hint="eastAsia" w:ascii="Times New Roman" w:hAnsi="Times New Roman" w:cs="Times New Roman"/>
          <w:szCs w:val="32"/>
          <w:lang w:val="en-US" w:eastAsia="zh-CN"/>
        </w:rPr>
        <w:t>工作</w:t>
      </w:r>
      <w:r>
        <w:rPr>
          <w:rFonts w:hint="default" w:ascii="Times New Roman" w:hAnsi="Times New Roman" w:cs="Times New Roman"/>
          <w:szCs w:val="32"/>
          <w:lang w:val="zh-CN" w:eastAsia="zh-CN"/>
        </w:rPr>
        <w:t>，现</w:t>
      </w:r>
      <w:r>
        <w:rPr>
          <w:rFonts w:hint="eastAsia" w:ascii="Times New Roman" w:hAnsi="Times New Roman" w:cs="Times New Roman"/>
          <w:szCs w:val="32"/>
          <w:lang w:val="en-US" w:eastAsia="zh-CN"/>
        </w:rPr>
        <w:t>将有关情况汇</w:t>
      </w:r>
      <w:r>
        <w:rPr>
          <w:rFonts w:hint="default" w:ascii="Times New Roman" w:hAnsi="Times New Roman" w:cs="Times New Roman"/>
          <w:szCs w:val="32"/>
          <w:lang w:val="zh-CN" w:eastAsia="zh-CN"/>
        </w:rPr>
        <w:t>报如下</w:t>
      </w:r>
      <w:r>
        <w:rPr>
          <w:rFonts w:hint="eastAsia" w:ascii="Times New Roman" w:hAnsi="Times New Roman" w:cs="Times New Roman"/>
          <w:szCs w:val="32"/>
          <w:lang w:val="zh-CN" w:eastAsia="zh-CN"/>
        </w:rPr>
        <w:t>：</w:t>
      </w:r>
    </w:p>
    <w:p w14:paraId="6DC77E9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cs="Times New Roman"/>
          <w:szCs w:val="32"/>
        </w:rPr>
      </w:pPr>
      <w:r>
        <w:rPr>
          <w:rFonts w:hint="eastAsia"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1445980D">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p>
    <w:p w14:paraId="5BB51807">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渠县退役军人事务局（</w:t>
      </w:r>
      <w:r>
        <w:rPr>
          <w:rFonts w:hint="eastAsia" w:ascii="Times New Roman" w:hAnsi="Times New Roman" w:cs="Times New Roman"/>
          <w:szCs w:val="32"/>
          <w:lang w:val="en-US" w:eastAsia="zh-CN"/>
        </w:rPr>
        <w:t>以下简称“</w:t>
      </w:r>
      <w:r>
        <w:rPr>
          <w:rFonts w:hint="eastAsia" w:cs="Times New Roman"/>
          <w:szCs w:val="32"/>
          <w:lang w:val="en-US" w:eastAsia="zh-CN"/>
        </w:rPr>
        <w:t>县退役军人事务局</w:t>
      </w:r>
      <w:r>
        <w:rPr>
          <w:rFonts w:hint="eastAsia" w:ascii="Times New Roman" w:hAnsi="Times New Roman" w:cs="Times New Roman"/>
          <w:szCs w:val="32"/>
          <w:lang w:val="en-US" w:eastAsia="zh-CN"/>
        </w:rPr>
        <w:t>”</w:t>
      </w:r>
      <w:r>
        <w:rPr>
          <w:rFonts w:hint="eastAsia" w:ascii="Times New Roman" w:hAnsi="Times New Roman" w:cs="Times New Roman"/>
          <w:szCs w:val="32"/>
          <w:lang w:val="zh-CN" w:eastAsia="zh-CN"/>
        </w:rPr>
        <w:t>）是</w:t>
      </w:r>
      <w:r>
        <w:rPr>
          <w:rFonts w:hint="eastAsia" w:ascii="Times New Roman" w:hAnsi="Times New Roman" w:cs="Times New Roman"/>
          <w:szCs w:val="32"/>
          <w:lang w:val="en-US" w:eastAsia="zh-CN"/>
        </w:rPr>
        <w:t>2019</w:t>
      </w:r>
      <w:r>
        <w:rPr>
          <w:rFonts w:hint="eastAsia" w:ascii="Times New Roman" w:hAnsi="Times New Roman" w:cs="Times New Roman"/>
          <w:szCs w:val="32"/>
          <w:lang w:val="zh-CN" w:eastAsia="zh-CN"/>
        </w:rPr>
        <w:t>年机构改革新成立的渠县人民政府工作部门，为正科级</w:t>
      </w:r>
      <w:r>
        <w:rPr>
          <w:rFonts w:hint="eastAsia" w:ascii="Times New Roman" w:hAnsi="Times New Roman" w:cs="Times New Roman"/>
          <w:szCs w:val="32"/>
          <w:lang w:val="en-US" w:eastAsia="zh-CN"/>
        </w:rPr>
        <w:t>单位</w:t>
      </w:r>
      <w:r>
        <w:rPr>
          <w:rFonts w:hint="eastAsia" w:ascii="Times New Roman" w:hAnsi="Times New Roman" w:cs="Times New Roman"/>
          <w:szCs w:val="32"/>
          <w:lang w:val="zh-CN" w:eastAsia="zh-CN"/>
        </w:rPr>
        <w:t>。下属3个事业单位，分别是渠县退役军人服务中心（渠县光荣院）、红色渠县纪念园管理处（渠县烈士纪念设施保护中心）、渠县军队离退休干部管理所。其中，纳入本部门2024年度部门预算编报范围的独立二级预算单位共1个（即：渠县军队离退休干部管理所），该单位为其他事业单位。</w:t>
      </w:r>
    </w:p>
    <w:p w14:paraId="636C75D0">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（二）机构职能</w:t>
      </w:r>
      <w:bookmarkStart w:id="0" w:name="_Toc15377199"/>
      <w:bookmarkStart w:id="1" w:name="_Toc15378446"/>
    </w:p>
    <w:bookmarkEnd w:id="0"/>
    <w:bookmarkEnd w:id="1"/>
    <w:p w14:paraId="50E72131">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b w:val="0"/>
          <w:bCs w:val="0"/>
          <w:color w:val="000000"/>
          <w:sz w:val="32"/>
          <w:szCs w:val="32"/>
          <w:lang w:eastAsia="zh-CN"/>
        </w:rPr>
      </w:pPr>
      <w:r>
        <w:rPr>
          <w:rFonts w:hint="eastAsia" w:ascii="Times New Roman" w:hAnsi="Times New Roman" w:eastAsia="方正仿宋_GBK" w:cs="Times New Roman"/>
          <w:b w:val="0"/>
          <w:bCs w:val="0"/>
          <w:color w:val="000000"/>
          <w:sz w:val="32"/>
          <w:szCs w:val="32"/>
          <w:lang w:eastAsia="zh-CN"/>
        </w:rPr>
        <w:t>主要承担退役军人政治思想、权益维护、移交安置、就业创业、军休服务、拥军优属、褒扬纪念等方面职能。</w:t>
      </w:r>
    </w:p>
    <w:p w14:paraId="76C92C6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）人员概况</w:t>
      </w:r>
    </w:p>
    <w:p w14:paraId="24782A8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zh-CN" w:eastAsia="zh-CN"/>
        </w:rPr>
        <w:t>截至2024年12月31日，</w:t>
      </w:r>
      <w:r>
        <w:rPr>
          <w:rFonts w:hint="eastAsia" w:cs="Times New Roman"/>
          <w:szCs w:val="32"/>
          <w:lang w:val="en-US" w:eastAsia="zh-CN"/>
        </w:rPr>
        <w:t>县退役军人事务局</w:t>
      </w:r>
      <w:r>
        <w:rPr>
          <w:rFonts w:hint="eastAsia" w:ascii="Times New Roman" w:hAnsi="Times New Roman" w:cs="Times New Roman"/>
          <w:szCs w:val="32"/>
          <w:lang w:val="en-US" w:eastAsia="zh-CN"/>
        </w:rPr>
        <w:t>核定行政单位1个，事业单位3个。编制总数41人，其中行政编制15人，事业编制26人</w:t>
      </w:r>
      <w:r>
        <w:rPr>
          <w:rFonts w:hint="eastAsia" w:cs="Times New Roman"/>
          <w:szCs w:val="32"/>
          <w:lang w:val="en-US" w:eastAsia="zh-CN"/>
        </w:rPr>
        <w:t>；</w:t>
      </w:r>
      <w:r>
        <w:rPr>
          <w:rFonts w:hint="eastAsia" w:ascii="Times New Roman" w:hAnsi="Times New Roman" w:cs="Times New Roman"/>
          <w:szCs w:val="32"/>
          <w:lang w:val="en-US" w:eastAsia="zh-CN"/>
        </w:rPr>
        <w:t>实有人数3</w:t>
      </w:r>
      <w:r>
        <w:rPr>
          <w:rFonts w:hint="eastAsia" w:cs="Times New Roman"/>
          <w:szCs w:val="32"/>
          <w:lang w:val="en-US" w:eastAsia="zh-CN"/>
        </w:rPr>
        <w:t>1</w:t>
      </w:r>
      <w:r>
        <w:rPr>
          <w:rFonts w:hint="eastAsia" w:ascii="Times New Roman" w:hAnsi="Times New Roman" w:cs="Times New Roman"/>
          <w:szCs w:val="32"/>
          <w:lang w:val="en-US" w:eastAsia="zh-CN"/>
        </w:rPr>
        <w:t>人</w:t>
      </w:r>
      <w:r>
        <w:rPr>
          <w:rFonts w:hint="eastAsia" w:cs="Times New Roman"/>
          <w:szCs w:val="32"/>
          <w:lang w:val="en-US" w:eastAsia="zh-CN"/>
        </w:rPr>
        <w:t>，其中公务员16人，事业管理人员和专业技术人员15人</w:t>
      </w:r>
      <w:r>
        <w:rPr>
          <w:rFonts w:hint="eastAsia" w:ascii="Times New Roman" w:hAnsi="Times New Roman" w:cs="Times New Roman"/>
          <w:szCs w:val="32"/>
          <w:lang w:val="en-US" w:eastAsia="zh-CN"/>
        </w:rPr>
        <w:t>。</w:t>
      </w:r>
    </w:p>
    <w:p w14:paraId="1E274D8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4EB8BDAC">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eastAsia"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收入情况</w:t>
      </w:r>
    </w:p>
    <w:p w14:paraId="3CD6F7B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2024年，</w:t>
      </w:r>
      <w:r>
        <w:rPr>
          <w:rFonts w:hint="eastAsia" w:cs="Times New Roman"/>
          <w:szCs w:val="32"/>
          <w:lang w:val="en-US" w:eastAsia="zh-CN"/>
        </w:rPr>
        <w:t>县退役军人事务局</w:t>
      </w:r>
      <w:r>
        <w:rPr>
          <w:rFonts w:hint="eastAsia" w:ascii="Times New Roman" w:hAnsi="Times New Roman" w:cs="Times New Roman"/>
          <w:szCs w:val="32"/>
          <w:lang w:val="en-US" w:eastAsia="zh-CN"/>
        </w:rPr>
        <w:t>年初预算收入</w:t>
      </w:r>
      <w:r>
        <w:rPr>
          <w:rFonts w:hint="eastAsia" w:cs="Times New Roman"/>
          <w:szCs w:val="32"/>
          <w:lang w:val="en-US" w:eastAsia="zh-CN"/>
        </w:rPr>
        <w:t>20189.78</w:t>
      </w:r>
      <w:r>
        <w:rPr>
          <w:rFonts w:hint="eastAsia" w:ascii="Times New Roman" w:hAnsi="Times New Roman" w:cs="Times New Roman"/>
          <w:szCs w:val="32"/>
          <w:lang w:val="en-US" w:eastAsia="zh-CN"/>
        </w:rPr>
        <w:t>万元。其中：一般公共预算拨款收入</w:t>
      </w:r>
      <w:r>
        <w:rPr>
          <w:rFonts w:hint="eastAsia" w:cs="Times New Roman"/>
          <w:szCs w:val="32"/>
          <w:lang w:val="en-US" w:eastAsia="zh-CN"/>
        </w:rPr>
        <w:t>18922.26</w:t>
      </w:r>
      <w:r>
        <w:rPr>
          <w:rFonts w:hint="eastAsia" w:ascii="Times New Roman" w:hAnsi="Times New Roman" w:cs="Times New Roman"/>
          <w:szCs w:val="32"/>
          <w:lang w:val="en-US" w:eastAsia="zh-CN"/>
        </w:rPr>
        <w:t>万元，占比</w:t>
      </w:r>
      <w:r>
        <w:rPr>
          <w:rFonts w:hint="eastAsia" w:cs="Times New Roman"/>
          <w:szCs w:val="32"/>
          <w:lang w:val="en-US" w:eastAsia="zh-CN"/>
        </w:rPr>
        <w:t>93.72%，政府性基金预算财政拨款收入1267.52万元，占比6.28%</w:t>
      </w:r>
      <w:r>
        <w:rPr>
          <w:rFonts w:hint="eastAsia" w:ascii="Times New Roman" w:hAnsi="Times New Roman" w:cs="Times New Roman"/>
          <w:szCs w:val="32"/>
          <w:lang w:val="en-US" w:eastAsia="zh-CN"/>
        </w:rPr>
        <w:t>；决算报表收入总计</w:t>
      </w:r>
      <w:r>
        <w:rPr>
          <w:rFonts w:hint="eastAsia" w:cs="Times New Roman"/>
          <w:szCs w:val="32"/>
          <w:lang w:val="en-US" w:eastAsia="zh-CN"/>
        </w:rPr>
        <w:t>21630.96</w:t>
      </w:r>
      <w:r>
        <w:rPr>
          <w:rFonts w:hint="eastAsia" w:ascii="Times New Roman" w:hAnsi="Times New Roman" w:cs="Times New Roman"/>
          <w:szCs w:val="32"/>
          <w:lang w:val="en-US" w:eastAsia="zh-CN"/>
        </w:rPr>
        <w:t>万元，其中：一般公共预算财政拨款收入</w:t>
      </w:r>
      <w:r>
        <w:rPr>
          <w:rFonts w:hint="eastAsia" w:cs="Times New Roman"/>
          <w:szCs w:val="32"/>
          <w:lang w:val="en-US" w:eastAsia="zh-CN"/>
        </w:rPr>
        <w:t>20221.33</w:t>
      </w:r>
      <w:r>
        <w:rPr>
          <w:rFonts w:hint="eastAsia" w:ascii="Times New Roman" w:hAnsi="Times New Roman" w:cs="Times New Roman"/>
          <w:szCs w:val="32"/>
          <w:lang w:val="en-US" w:eastAsia="zh-CN"/>
        </w:rPr>
        <w:t>万元，占比93.48%；政府性基金预算财政拨款收入</w:t>
      </w:r>
      <w:r>
        <w:rPr>
          <w:rFonts w:hint="eastAsia" w:cs="Times New Roman"/>
          <w:szCs w:val="32"/>
          <w:lang w:val="en-US" w:eastAsia="zh-CN"/>
        </w:rPr>
        <w:t>1409.63</w:t>
      </w:r>
      <w:r>
        <w:rPr>
          <w:rFonts w:hint="eastAsia" w:ascii="Times New Roman" w:hAnsi="Times New Roman" w:cs="Times New Roman"/>
          <w:szCs w:val="32"/>
          <w:lang w:val="en-US" w:eastAsia="zh-CN"/>
        </w:rPr>
        <w:t>万元，占比6.52%。</w:t>
      </w:r>
    </w:p>
    <w:p w14:paraId="1D1338D0">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eastAsia"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二</w:t>
      </w: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支出情况</w:t>
      </w:r>
    </w:p>
    <w:p w14:paraId="729D700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default" w:ascii="Times New Roman" w:hAnsi="Times New Roman" w:cs="Times New Roman"/>
          <w:szCs w:val="32"/>
          <w:lang w:val="zh-CN" w:eastAsia="zh-CN"/>
        </w:rPr>
      </w:pPr>
      <w:r>
        <w:rPr>
          <w:rFonts w:hint="eastAsia" w:cs="Times New Roman"/>
          <w:szCs w:val="32"/>
          <w:lang w:val="en-US" w:eastAsia="zh-CN"/>
        </w:rPr>
        <w:t>2024年，县退役军人事务局年初预算支出20189.78万元，其中：基本支出520.98万元（人员经费459.31万元，公用经费61.67万元），占比2.58%，项目支出19668.79万元，占比97.42%；决算报表支出合计21630.96万元，其中：基本支出503.32万元（人员经费433.91万元，公用经费69.42万元），占比2.33%，项目支出21127.63万元，占比97.67%。</w:t>
      </w:r>
    </w:p>
    <w:p w14:paraId="369034B4">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default" w:ascii="Times New Roman" w:hAnsi="Times New Roman" w:eastAsia="楷体_GB2312" w:cs="Times New Roman"/>
          <w:b/>
          <w:szCs w:val="32"/>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w:t>
      </w:r>
      <w:r>
        <w:rPr>
          <w:rFonts w:hint="default" w:ascii="Times New Roman" w:hAnsi="Times New Roman" w:eastAsia="楷体_GB2312" w:cs="Times New Roman"/>
          <w:b/>
          <w:szCs w:val="32"/>
        </w:rPr>
        <w:t>结余分配和结转结余情况</w:t>
      </w:r>
    </w:p>
    <w:p w14:paraId="76FECBC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szCs w:val="32"/>
          <w:lang w:val="en-US" w:eastAsia="zh-CN"/>
        </w:rPr>
      </w:pPr>
      <w:r>
        <w:rPr>
          <w:rFonts w:hint="eastAsia" w:cs="Times New Roman"/>
          <w:szCs w:val="32"/>
          <w:lang w:val="en-US" w:eastAsia="zh-CN"/>
        </w:rPr>
        <w:t>2024年，县退役军人事务局决算收入21630.96万元，决算支出21630.96万元，与年初预算20189.78万元的差异1441.18万元，为年度执行中根据工作实际，按程序报批后追加的预算，无结转结余资金。</w:t>
      </w:r>
    </w:p>
    <w:p w14:paraId="162E40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7A4741AD">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部门预算</w:t>
      </w:r>
      <w:r>
        <w:rPr>
          <w:rFonts w:hint="default" w:ascii="Times New Roman" w:hAnsi="Times New Roman" w:eastAsia="楷体_GB2312" w:cs="Times New Roman"/>
          <w:b/>
          <w:bCs/>
          <w:color w:val="000000"/>
          <w:kern w:val="0"/>
          <w:szCs w:val="32"/>
          <w:highlight w:val="none"/>
          <w:shd w:val="clear" w:color="auto" w:fill="FFFFFF"/>
          <w:lang w:val="zh-CN"/>
        </w:rPr>
        <w:t>总体绩效分析</w:t>
      </w:r>
    </w:p>
    <w:p w14:paraId="12EBCDB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楷体_GB2312" w:eastAsia="楷体_GB2312" w:cs="楷体_GB2312"/>
          <w:color w:val="000000"/>
          <w:kern w:val="0"/>
          <w:szCs w:val="32"/>
          <w:highlight w:val="none"/>
          <w:shd w:val="clear" w:color="auto" w:fill="FFFFFF"/>
          <w:lang w:val="zh-CN"/>
        </w:rPr>
        <w:t>履职效能</w:t>
      </w:r>
    </w:p>
    <w:p w14:paraId="3AB88096">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（1）接收安置</w:t>
      </w:r>
      <w:r>
        <w:rPr>
          <w:rFonts w:hint="eastAsia" w:cs="Times New Roman"/>
          <w:szCs w:val="32"/>
          <w:lang w:val="en-US" w:eastAsia="zh-CN"/>
        </w:rPr>
        <w:t>工作</w:t>
      </w:r>
      <w:r>
        <w:rPr>
          <w:rFonts w:ascii="方正仿宋_GBK" w:hAnsi="方正仿宋_GBK" w:eastAsia="方正仿宋_GBK" w:cs="方正仿宋_GBK"/>
          <w:spacing w:val="7"/>
          <w:sz w:val="31"/>
          <w:szCs w:val="31"/>
        </w:rPr>
        <w:t>履职效果</w:t>
      </w:r>
      <w:r>
        <w:rPr>
          <w:rFonts w:hint="eastAsia" w:ascii="Times New Roman" w:hAnsi="Times New Roman" w:cs="Times New Roman"/>
          <w:szCs w:val="32"/>
          <w:lang w:val="en-US" w:eastAsia="zh-CN"/>
        </w:rPr>
        <w:t>。2024年联合渠县职业中专学校和县内各驾驶培训学校开设机动驾驶、汽车维修等12个培训项目，完成退役军人职业教育和技能培训140人次。开展“戎耀归蜀”“职业宕渠智在賨都”“就业创业沙龙”“渠县2024年春风行动”大型招聘会等专项行动，共举行各类招聘会4场，提供就业岗位4000余个，解决退役军人就业300人，退役士兵稳岗率和满意</w:t>
      </w:r>
      <w:r>
        <w:rPr>
          <w:rFonts w:hint="eastAsia" w:cs="Times New Roman"/>
          <w:szCs w:val="32"/>
          <w:lang w:val="en-US" w:eastAsia="zh-CN"/>
        </w:rPr>
        <w:t>率</w:t>
      </w:r>
      <w:r>
        <w:rPr>
          <w:rFonts w:hint="eastAsia" w:ascii="Times New Roman" w:hAnsi="Times New Roman" w:cs="Times New Roman"/>
          <w:szCs w:val="32"/>
          <w:lang w:val="en-US" w:eastAsia="zh-CN"/>
        </w:rPr>
        <w:t>均达100%。</w:t>
      </w:r>
    </w:p>
    <w:p w14:paraId="74404CC7">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cs="Times New Roman"/>
          <w:szCs w:val="32"/>
          <w:lang w:val="en-US" w:eastAsia="zh-CN"/>
        </w:rPr>
      </w:pPr>
      <w:r>
        <w:rPr>
          <w:rFonts w:hint="eastAsia" w:ascii="Times New Roman" w:hAnsi="Times New Roman" w:cs="Times New Roman"/>
          <w:szCs w:val="32"/>
          <w:lang w:val="en-US" w:eastAsia="zh-CN"/>
        </w:rPr>
        <w:t>（2）</w:t>
      </w:r>
      <w:r>
        <w:rPr>
          <w:rFonts w:hint="eastAsia" w:cs="Times New Roman"/>
          <w:szCs w:val="32"/>
          <w:lang w:val="en-US" w:eastAsia="zh-CN"/>
        </w:rPr>
        <w:t>服务保障工作</w:t>
      </w:r>
      <w:r>
        <w:rPr>
          <w:rFonts w:ascii="方正仿宋_GBK" w:hAnsi="方正仿宋_GBK" w:eastAsia="方正仿宋_GBK" w:cs="方正仿宋_GBK"/>
          <w:spacing w:val="7"/>
          <w:sz w:val="31"/>
          <w:szCs w:val="31"/>
        </w:rPr>
        <w:t>履职效果</w:t>
      </w:r>
      <w:r>
        <w:rPr>
          <w:rFonts w:hint="eastAsia" w:ascii="Times New Roman" w:hAnsi="Times New Roman" w:cs="Times New Roman"/>
          <w:szCs w:val="32"/>
          <w:lang w:val="en-US" w:eastAsia="zh-CN"/>
        </w:rPr>
        <w:t>。</w:t>
      </w:r>
      <w:r>
        <w:rPr>
          <w:rFonts w:hint="eastAsia" w:cs="Times New Roman"/>
          <w:szCs w:val="32"/>
          <w:lang w:val="en-US" w:eastAsia="zh-CN"/>
        </w:rPr>
        <w:t>利用春节、“八一”等重要时间节点，对优抚对象开展走访关爱及慰问活动，发放慰问资金206.32万元。依托乡镇、村（社区）退役军人服务站，精准识别生活困难的退役军人，提供临时救助、医疗救助等多项帮扶措施，确保这些退役军人能够渡过难关。针对患有重大疾病、自然灾害或意外伤害导致家庭生活困难，符合帮扶政策的退役军人和其他优抚对象，针对性开展帮扶工作。</w:t>
      </w:r>
    </w:p>
    <w:p w14:paraId="0EA1BD9D">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eastAsia="方正仿宋_GB2312" w:cs="Times New Roman"/>
          <w:color w:val="auto"/>
          <w:sz w:val="32"/>
          <w:szCs w:val="32"/>
          <w:lang w:val="en-US" w:eastAsia="zh-CN"/>
        </w:rPr>
        <w:t>（</w:t>
      </w:r>
      <w:r>
        <w:rPr>
          <w:rFonts w:hint="eastAsia" w:ascii="Times New Roman" w:hAnsi="Times New Roman" w:cs="Times New Roman"/>
          <w:szCs w:val="32"/>
          <w:lang w:val="en-US" w:eastAsia="zh-CN"/>
        </w:rPr>
        <w:t>3）权益维护工作履职效果。深入落实国家优抚政策，对建国前老军人、烈士家属、伤残军人等特殊群体给予优先关注，加大关怀与支持，力求实质性提升退役军人及其他优抚对象的满意度。落实优抚对象补助发放工作，为1-6级残疾军人缴纳城镇职工医疗保险125.39万元。</w:t>
      </w:r>
    </w:p>
    <w:p w14:paraId="59114DA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2.</w:t>
      </w:r>
      <w:r>
        <w:rPr>
          <w:rFonts w:hint="default" w:ascii="楷体_GB2312" w:hAnsi="楷体_GB2312" w:eastAsia="楷体_GB2312" w:cs="楷体_GB2312"/>
          <w:color w:val="000000"/>
          <w:kern w:val="0"/>
          <w:szCs w:val="32"/>
          <w:highlight w:val="none"/>
          <w:shd w:val="clear" w:color="auto" w:fill="FFFFFF"/>
          <w:lang w:val="zh-CN"/>
        </w:rPr>
        <w:t>预算管理</w:t>
      </w:r>
    </w:p>
    <w:p w14:paraId="6208912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t>（1）预算编制质量。2024年，</w:t>
      </w:r>
      <w:r>
        <w:rPr>
          <w:rFonts w:hint="eastAsia" w:cs="Times New Roman"/>
          <w:color w:val="000000"/>
          <w:kern w:val="0"/>
          <w:szCs w:val="32"/>
          <w:highlight w:val="none"/>
          <w:shd w:val="clear" w:color="auto" w:fill="FFFFFF"/>
          <w:lang w:val="zh-CN" w:eastAsia="zh-CN"/>
        </w:rPr>
        <w:t>县退役军人事务局</w:t>
      </w:r>
      <w:r>
        <w:rPr>
          <w:rFonts w:hint="eastAsia" w:ascii="Times New Roman" w:hAnsi="Times New Roman" w:cs="Times New Roman"/>
          <w:color w:val="000000"/>
          <w:kern w:val="0"/>
          <w:szCs w:val="32"/>
          <w:highlight w:val="none"/>
          <w:shd w:val="clear" w:color="auto" w:fill="FFFFFF"/>
          <w:lang w:val="zh-CN" w:eastAsia="zh-CN"/>
        </w:rPr>
        <w:t>财政拨款年初预算</w:t>
      </w:r>
      <w:r>
        <w:rPr>
          <w:rFonts w:hint="eastAsia" w:cs="Times New Roman"/>
          <w:color w:val="000000"/>
          <w:kern w:val="0"/>
          <w:szCs w:val="32"/>
          <w:highlight w:val="none"/>
          <w:shd w:val="clear" w:color="auto" w:fill="FFFFFF"/>
          <w:lang w:val="zh-CN" w:eastAsia="zh-CN"/>
        </w:rPr>
        <w:t>20189.78</w:t>
      </w:r>
      <w:r>
        <w:rPr>
          <w:rFonts w:hint="eastAsia" w:ascii="Times New Roman" w:hAnsi="Times New Roman" w:cs="Times New Roman"/>
          <w:color w:val="000000"/>
          <w:kern w:val="0"/>
          <w:szCs w:val="32"/>
          <w:highlight w:val="none"/>
          <w:shd w:val="clear" w:color="auto" w:fill="FFFFFF"/>
          <w:lang w:val="zh-CN" w:eastAsia="zh-CN"/>
        </w:rPr>
        <w:t>万元，实际执行数</w:t>
      </w:r>
      <w:r>
        <w:rPr>
          <w:rFonts w:hint="eastAsia" w:cs="Times New Roman"/>
          <w:color w:val="000000"/>
          <w:kern w:val="0"/>
          <w:szCs w:val="32"/>
          <w:highlight w:val="none"/>
          <w:shd w:val="clear" w:color="auto" w:fill="FFFFFF"/>
          <w:lang w:val="zh-CN" w:eastAsia="zh-CN"/>
        </w:rPr>
        <w:t>21630.96</w:t>
      </w:r>
      <w:r>
        <w:rPr>
          <w:rFonts w:hint="eastAsia" w:ascii="Times New Roman" w:hAnsi="Times New Roman" w:cs="Times New Roman"/>
          <w:color w:val="000000"/>
          <w:kern w:val="0"/>
          <w:szCs w:val="32"/>
          <w:highlight w:val="none"/>
          <w:shd w:val="clear" w:color="auto" w:fill="FFFFFF"/>
          <w:lang w:val="zh-CN" w:eastAsia="zh-CN"/>
        </w:rPr>
        <w:t>万元，偏离度为7.14%；资产配置年初预算</w:t>
      </w:r>
      <w:r>
        <w:rPr>
          <w:rFonts w:hint="eastAsia" w:cs="Times New Roman"/>
          <w:color w:val="000000"/>
          <w:kern w:val="0"/>
          <w:szCs w:val="32"/>
          <w:highlight w:val="none"/>
          <w:shd w:val="clear" w:color="auto" w:fill="FFFFFF"/>
          <w:lang w:val="en-US" w:eastAsia="zh-CN"/>
        </w:rPr>
        <w:t>0</w:t>
      </w:r>
      <w:r>
        <w:rPr>
          <w:rFonts w:hint="eastAsia" w:ascii="Times New Roman" w:hAnsi="Times New Roman" w:cs="Times New Roman"/>
          <w:color w:val="000000"/>
          <w:kern w:val="0"/>
          <w:szCs w:val="32"/>
          <w:highlight w:val="none"/>
          <w:shd w:val="clear" w:color="auto" w:fill="FFFFFF"/>
          <w:lang w:val="zh-CN" w:eastAsia="zh-CN"/>
        </w:rPr>
        <w:t>万元，实际执行0万元，偏离度为0%；政府采购年初预算</w:t>
      </w:r>
      <w:r>
        <w:rPr>
          <w:rFonts w:hint="eastAsia" w:cs="Times New Roman"/>
          <w:color w:val="000000"/>
          <w:kern w:val="0"/>
          <w:szCs w:val="32"/>
          <w:highlight w:val="none"/>
          <w:shd w:val="clear" w:color="auto" w:fill="FFFFFF"/>
          <w:lang w:val="en-US" w:eastAsia="zh-CN"/>
        </w:rPr>
        <w:t>0</w:t>
      </w:r>
      <w:r>
        <w:rPr>
          <w:rFonts w:hint="eastAsia" w:ascii="Times New Roman" w:hAnsi="Times New Roman" w:cs="Times New Roman"/>
          <w:color w:val="000000"/>
          <w:kern w:val="0"/>
          <w:szCs w:val="32"/>
          <w:highlight w:val="none"/>
          <w:shd w:val="clear" w:color="auto" w:fill="FFFFFF"/>
          <w:lang w:val="zh-CN" w:eastAsia="zh-CN"/>
        </w:rPr>
        <w:t>万元，实际执行0万元，偏离度为0%。</w:t>
      </w:r>
    </w:p>
    <w:p w14:paraId="5D279F08">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（2）单位收入统筹。县退役军人事务局属于财政全额保障预算单位，2024年度无自有收入预算。</w:t>
      </w:r>
    </w:p>
    <w:p w14:paraId="757DFCD7">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auto"/>
          <w:kern w:val="0"/>
          <w:szCs w:val="32"/>
          <w:highlight w:val="none"/>
          <w:shd w:val="clear" w:color="auto" w:fill="FFFFFF"/>
          <w:lang w:val="zh-CN" w:eastAsia="zh-CN"/>
        </w:rPr>
      </w:pPr>
      <w:r>
        <w:rPr>
          <w:rFonts w:hint="eastAsia" w:cs="Times New Roman"/>
          <w:color w:val="auto"/>
          <w:kern w:val="0"/>
          <w:szCs w:val="32"/>
          <w:highlight w:val="none"/>
          <w:shd w:val="clear" w:color="auto" w:fill="FFFFFF"/>
          <w:lang w:val="zh-CN" w:eastAsia="zh-CN"/>
        </w:rPr>
        <w:t>（3）支出执行进度。县退役军人事务局1-6月部门预算数</w:t>
      </w:r>
      <w:r>
        <w:rPr>
          <w:rFonts w:hint="eastAsia" w:cs="Times New Roman"/>
          <w:color w:val="auto"/>
          <w:kern w:val="0"/>
          <w:szCs w:val="32"/>
          <w:highlight w:val="none"/>
          <w:shd w:val="clear" w:color="auto" w:fill="FFFFFF"/>
          <w:lang w:val="en-US" w:eastAsia="zh-CN"/>
        </w:rPr>
        <w:t>20189.78</w:t>
      </w:r>
      <w:r>
        <w:rPr>
          <w:rFonts w:hint="eastAsia" w:cs="Times New Roman"/>
          <w:color w:val="auto"/>
          <w:kern w:val="0"/>
          <w:szCs w:val="32"/>
          <w:highlight w:val="none"/>
          <w:shd w:val="clear" w:color="auto" w:fill="FFFFFF"/>
          <w:lang w:val="zh-CN" w:eastAsia="zh-CN"/>
        </w:rPr>
        <w:t>万元、预算执行数</w:t>
      </w:r>
      <w:r>
        <w:rPr>
          <w:rFonts w:hint="eastAsia" w:cs="Times New Roman"/>
          <w:color w:val="auto"/>
          <w:kern w:val="0"/>
          <w:szCs w:val="32"/>
          <w:highlight w:val="none"/>
          <w:shd w:val="clear" w:color="auto" w:fill="FFFFFF"/>
          <w:lang w:val="en-US" w:eastAsia="zh-CN"/>
        </w:rPr>
        <w:t>8702.57</w:t>
      </w:r>
      <w:r>
        <w:rPr>
          <w:rFonts w:hint="eastAsia" w:cs="Times New Roman"/>
          <w:color w:val="auto"/>
          <w:kern w:val="0"/>
          <w:szCs w:val="32"/>
          <w:highlight w:val="none"/>
          <w:shd w:val="clear" w:color="auto" w:fill="FFFFFF"/>
          <w:lang w:val="zh-CN" w:eastAsia="zh-CN"/>
        </w:rPr>
        <w:t>万元（其中支出预警金额0万元、支出违规金额0万元），占比</w:t>
      </w:r>
      <w:r>
        <w:rPr>
          <w:rFonts w:hint="eastAsia" w:cs="Times New Roman"/>
          <w:color w:val="auto"/>
          <w:kern w:val="0"/>
          <w:szCs w:val="32"/>
          <w:highlight w:val="none"/>
          <w:shd w:val="clear" w:color="auto" w:fill="FFFFFF"/>
          <w:lang w:val="en-US" w:eastAsia="zh-CN"/>
        </w:rPr>
        <w:t>43.1</w:t>
      </w:r>
      <w:r>
        <w:rPr>
          <w:rFonts w:hint="eastAsia" w:cs="Times New Roman"/>
          <w:color w:val="auto"/>
          <w:kern w:val="0"/>
          <w:szCs w:val="32"/>
          <w:highlight w:val="none"/>
          <w:shd w:val="clear" w:color="auto" w:fill="FFFFFF"/>
          <w:lang w:val="zh-CN" w:eastAsia="zh-CN"/>
        </w:rPr>
        <w:t>%；1-10月部门预算数</w:t>
      </w:r>
      <w:r>
        <w:rPr>
          <w:rFonts w:hint="eastAsia" w:cs="Times New Roman"/>
          <w:color w:val="auto"/>
          <w:kern w:val="0"/>
          <w:szCs w:val="32"/>
          <w:highlight w:val="none"/>
          <w:shd w:val="clear" w:color="auto" w:fill="FFFFFF"/>
          <w:lang w:val="en-US" w:eastAsia="zh-CN"/>
        </w:rPr>
        <w:t>20189.78</w:t>
      </w:r>
      <w:r>
        <w:rPr>
          <w:rFonts w:hint="eastAsia" w:cs="Times New Roman"/>
          <w:color w:val="auto"/>
          <w:kern w:val="0"/>
          <w:szCs w:val="32"/>
          <w:highlight w:val="none"/>
          <w:shd w:val="clear" w:color="auto" w:fill="FFFFFF"/>
          <w:lang w:val="zh-CN" w:eastAsia="zh-CN"/>
        </w:rPr>
        <w:t>万元、预算执行数</w:t>
      </w:r>
      <w:r>
        <w:rPr>
          <w:rFonts w:hint="eastAsia" w:cs="Times New Roman"/>
          <w:color w:val="auto"/>
          <w:kern w:val="0"/>
          <w:szCs w:val="32"/>
          <w:highlight w:val="none"/>
          <w:shd w:val="clear" w:color="auto" w:fill="FFFFFF"/>
          <w:lang w:val="en-US" w:eastAsia="zh-CN"/>
        </w:rPr>
        <w:t>16048.29</w:t>
      </w:r>
      <w:r>
        <w:rPr>
          <w:rFonts w:hint="eastAsia" w:cs="Times New Roman"/>
          <w:color w:val="auto"/>
          <w:kern w:val="0"/>
          <w:szCs w:val="32"/>
          <w:highlight w:val="none"/>
          <w:shd w:val="clear" w:color="auto" w:fill="FFFFFF"/>
          <w:lang w:val="zh-CN" w:eastAsia="zh-CN"/>
        </w:rPr>
        <w:t>万元（其中支出预警金额0万元、支出违规金额0万元），占比</w:t>
      </w:r>
      <w:r>
        <w:rPr>
          <w:rFonts w:hint="eastAsia" w:cs="Times New Roman"/>
          <w:color w:val="auto"/>
          <w:kern w:val="0"/>
          <w:szCs w:val="32"/>
          <w:highlight w:val="none"/>
          <w:shd w:val="clear" w:color="auto" w:fill="FFFFFF"/>
          <w:lang w:val="en-US" w:eastAsia="zh-CN"/>
        </w:rPr>
        <w:t>79.48</w:t>
      </w:r>
      <w:r>
        <w:rPr>
          <w:rFonts w:hint="eastAsia" w:cs="Times New Roman"/>
          <w:color w:val="auto"/>
          <w:kern w:val="0"/>
          <w:szCs w:val="32"/>
          <w:highlight w:val="none"/>
          <w:shd w:val="clear" w:color="auto" w:fill="FFFFFF"/>
          <w:lang w:val="zh-CN" w:eastAsia="zh-CN"/>
        </w:rPr>
        <w:t>%。</w:t>
      </w:r>
    </w:p>
    <w:p w14:paraId="1D9E446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（4）预算年终结余。2024年度全年预算21630.96万元，决算支出21630.96万元，年终部门预算注销</w:t>
      </w:r>
      <w:r>
        <w:rPr>
          <w:rFonts w:hint="eastAsia" w:cs="Times New Roman"/>
          <w:color w:val="000000"/>
          <w:kern w:val="0"/>
          <w:szCs w:val="32"/>
          <w:highlight w:val="none"/>
          <w:shd w:val="clear" w:color="auto" w:fill="FFFFFF"/>
          <w:lang w:val="en-US" w:eastAsia="zh-CN"/>
        </w:rPr>
        <w:t>0万元，</w:t>
      </w:r>
      <w:r>
        <w:rPr>
          <w:rFonts w:hint="eastAsia" w:cs="Times New Roman"/>
          <w:color w:val="000000"/>
          <w:kern w:val="0"/>
          <w:szCs w:val="32"/>
          <w:highlight w:val="none"/>
          <w:shd w:val="clear" w:color="auto" w:fill="FFFFFF"/>
          <w:lang w:val="zh-CN" w:eastAsia="zh-CN"/>
        </w:rPr>
        <w:t>结转</w:t>
      </w:r>
      <w:r>
        <w:rPr>
          <w:rFonts w:hint="eastAsia" w:cs="Times New Roman"/>
          <w:color w:val="000000"/>
          <w:kern w:val="0"/>
          <w:szCs w:val="32"/>
          <w:highlight w:val="none"/>
          <w:shd w:val="clear" w:color="auto" w:fill="FFFFFF"/>
          <w:lang w:val="en-US" w:eastAsia="zh-CN"/>
        </w:rPr>
        <w:t>下年0</w:t>
      </w:r>
      <w:r>
        <w:rPr>
          <w:rFonts w:hint="eastAsia" w:cs="Times New Roman"/>
          <w:color w:val="000000"/>
          <w:kern w:val="0"/>
          <w:szCs w:val="32"/>
          <w:highlight w:val="none"/>
          <w:shd w:val="clear" w:color="auto" w:fill="FFFFFF"/>
          <w:lang w:val="zh-CN" w:eastAsia="zh-CN"/>
        </w:rPr>
        <w:t>万元，整体预算结余率</w:t>
      </w:r>
      <w:r>
        <w:rPr>
          <w:rFonts w:hint="eastAsia" w:cs="Times New Roman"/>
          <w:color w:val="000000"/>
          <w:kern w:val="0"/>
          <w:szCs w:val="32"/>
          <w:highlight w:val="none"/>
          <w:shd w:val="clear" w:color="auto" w:fill="FFFFFF"/>
          <w:lang w:val="en-US" w:eastAsia="zh-CN"/>
        </w:rPr>
        <w:t>0</w:t>
      </w:r>
      <w:r>
        <w:rPr>
          <w:rFonts w:hint="eastAsia" w:cs="Times New Roman"/>
          <w:color w:val="000000"/>
          <w:kern w:val="0"/>
          <w:szCs w:val="32"/>
          <w:highlight w:val="none"/>
          <w:shd w:val="clear" w:color="auto" w:fill="FFFFFF"/>
          <w:lang w:val="zh-CN" w:eastAsia="zh-CN"/>
        </w:rPr>
        <w:t>%。</w:t>
      </w:r>
    </w:p>
    <w:p w14:paraId="07F535C8">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zh-CN" w:eastAsia="zh-CN"/>
        </w:rPr>
        <w:t>（5）严控一般性支出。2023年，县退役军人事务局一般性支出财政拨款</w:t>
      </w:r>
      <w:r>
        <w:rPr>
          <w:rFonts w:hint="eastAsia" w:cs="Times New Roman"/>
          <w:color w:val="000000"/>
          <w:kern w:val="0"/>
          <w:szCs w:val="32"/>
          <w:highlight w:val="none"/>
          <w:shd w:val="clear" w:color="auto" w:fill="FFFFFF"/>
          <w:lang w:val="en-US" w:eastAsia="zh-CN"/>
        </w:rPr>
        <w:t>年初预算数37.43</w:t>
      </w:r>
      <w:r>
        <w:rPr>
          <w:rFonts w:hint="eastAsia" w:cs="Times New Roman"/>
          <w:color w:val="000000"/>
          <w:kern w:val="0"/>
          <w:szCs w:val="32"/>
          <w:highlight w:val="none"/>
          <w:shd w:val="clear" w:color="auto" w:fill="FFFFFF"/>
          <w:lang w:val="zh-CN" w:eastAsia="zh-CN"/>
        </w:rPr>
        <w:t>万元、</w:t>
      </w:r>
      <w:r>
        <w:rPr>
          <w:rFonts w:hint="eastAsia" w:cs="Times New Roman"/>
          <w:color w:val="000000"/>
          <w:kern w:val="0"/>
          <w:szCs w:val="32"/>
          <w:highlight w:val="none"/>
          <w:shd w:val="clear" w:color="auto" w:fill="FFFFFF"/>
          <w:lang w:val="en-US" w:eastAsia="zh-CN"/>
        </w:rPr>
        <w:t>执行数37.03万元</w:t>
      </w:r>
      <w:r>
        <w:rPr>
          <w:rFonts w:hint="eastAsia" w:cs="Times New Roman"/>
          <w:color w:val="000000"/>
          <w:kern w:val="0"/>
          <w:szCs w:val="32"/>
          <w:highlight w:val="none"/>
          <w:shd w:val="clear" w:color="auto" w:fill="FFFFFF"/>
          <w:lang w:val="zh-CN" w:eastAsia="zh-CN"/>
        </w:rPr>
        <w:t>；2024年，县退役军人事务局一般性支出财政拨款年初预算</w:t>
      </w:r>
      <w:r>
        <w:rPr>
          <w:rFonts w:hint="eastAsia" w:cs="Times New Roman"/>
          <w:color w:val="000000"/>
          <w:kern w:val="0"/>
          <w:szCs w:val="32"/>
          <w:highlight w:val="none"/>
          <w:shd w:val="clear" w:color="auto" w:fill="FFFFFF"/>
          <w:lang w:val="en-US" w:eastAsia="zh-CN"/>
        </w:rPr>
        <w:t>29.05</w:t>
      </w:r>
      <w:r>
        <w:rPr>
          <w:rFonts w:hint="eastAsia" w:cs="Times New Roman"/>
          <w:color w:val="000000"/>
          <w:kern w:val="0"/>
          <w:szCs w:val="32"/>
          <w:highlight w:val="none"/>
          <w:shd w:val="clear" w:color="auto" w:fill="FFFFFF"/>
          <w:lang w:val="zh-CN" w:eastAsia="zh-CN"/>
        </w:rPr>
        <w:t>万元、</w:t>
      </w:r>
      <w:r>
        <w:rPr>
          <w:rFonts w:hint="eastAsia" w:cs="Times New Roman"/>
          <w:color w:val="000000"/>
          <w:kern w:val="0"/>
          <w:szCs w:val="32"/>
          <w:highlight w:val="none"/>
          <w:shd w:val="clear" w:color="auto" w:fill="FFFFFF"/>
          <w:lang w:val="en-US" w:eastAsia="zh-CN"/>
        </w:rPr>
        <w:t>执行数25.75万元</w:t>
      </w:r>
      <w:r>
        <w:rPr>
          <w:rFonts w:hint="eastAsia" w:cs="Times New Roman"/>
          <w:color w:val="000000"/>
          <w:kern w:val="0"/>
          <w:szCs w:val="32"/>
          <w:highlight w:val="none"/>
          <w:shd w:val="clear" w:color="auto" w:fill="FFFFFF"/>
          <w:lang w:val="zh-CN" w:eastAsia="zh-CN"/>
        </w:rPr>
        <w:t>，与上年相比，</w:t>
      </w:r>
      <w:r>
        <w:rPr>
          <w:rFonts w:hint="eastAsia" w:cs="Times New Roman"/>
          <w:color w:val="000000"/>
          <w:kern w:val="0"/>
          <w:szCs w:val="32"/>
          <w:highlight w:val="none"/>
          <w:shd w:val="clear" w:color="auto" w:fill="FFFFFF"/>
          <w:lang w:val="en-US" w:eastAsia="zh-CN"/>
        </w:rPr>
        <w:t>分别压减22.39</w:t>
      </w:r>
      <w:r>
        <w:rPr>
          <w:rFonts w:hint="eastAsia" w:cs="Times New Roman"/>
          <w:color w:val="000000"/>
          <w:kern w:val="0"/>
          <w:szCs w:val="32"/>
          <w:highlight w:val="none"/>
          <w:shd w:val="clear" w:color="auto" w:fill="FFFFFF"/>
          <w:lang w:val="zh-CN" w:eastAsia="zh-CN"/>
        </w:rPr>
        <w:t>%</w:t>
      </w:r>
      <w:r>
        <w:rPr>
          <w:rFonts w:hint="eastAsia" w:cs="Times New Roman"/>
          <w:color w:val="000000"/>
          <w:kern w:val="0"/>
          <w:szCs w:val="32"/>
          <w:highlight w:val="none"/>
          <w:shd w:val="clear" w:color="auto" w:fill="FFFFFF"/>
          <w:lang w:val="en-US" w:eastAsia="zh-CN"/>
        </w:rPr>
        <w:t>和30.46%。</w:t>
      </w:r>
    </w:p>
    <w:p w14:paraId="200C927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3.财务管理</w:t>
      </w:r>
    </w:p>
    <w:p w14:paraId="5EA55037">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（1）财务管理制度。</w:t>
      </w:r>
      <w:r>
        <w:rPr>
          <w:rFonts w:hint="eastAsia" w:cs="Times New Roman"/>
          <w:color w:val="000000"/>
          <w:kern w:val="0"/>
          <w:szCs w:val="32"/>
          <w:highlight w:val="none"/>
          <w:shd w:val="clear" w:color="auto" w:fill="FFFFFF"/>
          <w:lang w:val="en-US" w:eastAsia="zh-CN"/>
        </w:rPr>
        <w:t>县退役军人事务局</w:t>
      </w:r>
      <w:r>
        <w:rPr>
          <w:rFonts w:hint="eastAsia" w:cs="Times New Roman"/>
          <w:color w:val="000000"/>
          <w:kern w:val="0"/>
          <w:szCs w:val="32"/>
          <w:highlight w:val="none"/>
          <w:shd w:val="clear" w:color="auto" w:fill="FFFFFF"/>
          <w:lang w:val="zh-CN" w:eastAsia="zh-CN"/>
        </w:rPr>
        <w:t>按照相关要求编制了内控制度，对部门内部财务管理制度进行了规范</w:t>
      </w:r>
      <w:r>
        <w:rPr>
          <w:rFonts w:hint="eastAsia" w:ascii="Times New Roman" w:hAnsi="Times New Roman" w:cs="Times New Roman"/>
          <w:color w:val="000000"/>
          <w:kern w:val="0"/>
          <w:szCs w:val="32"/>
          <w:highlight w:val="none"/>
          <w:shd w:val="clear" w:color="auto" w:fill="FFFFFF"/>
          <w:lang w:val="zh-CN" w:eastAsia="zh-CN"/>
        </w:rPr>
        <w:t>。从每年开展的</w:t>
      </w:r>
      <w:r>
        <w:rPr>
          <w:rFonts w:hint="eastAsia" w:cs="Times New Roman"/>
          <w:color w:val="000000"/>
          <w:kern w:val="0"/>
          <w:szCs w:val="32"/>
          <w:highlight w:val="none"/>
          <w:shd w:val="clear" w:color="auto" w:fill="FFFFFF"/>
          <w:lang w:val="zh-CN" w:eastAsia="zh-CN"/>
        </w:rPr>
        <w:t>内控制度评价情况，以及往年绩效评价结果来看，相关财务管理制度要素完整、内容规范、权责明晰、流程明确、执行有效。</w:t>
      </w:r>
    </w:p>
    <w:p w14:paraId="26DCDA5D">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2）财务岗位设置。县退役军人事务局财务岗位设置符合相关财务管理制度要求，岗位职责权限明确，按照不相容岗位相分离的原则，对支出申请与审批、支出审批与付款、业务经办与会计核算等不相容岗位予以分离，并明确了相关职责权限。</w:t>
      </w:r>
    </w:p>
    <w:p w14:paraId="47B468A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（3）资金使用规范。县退役军人事务局严格按照财政局批复的资金用途使用资金，未发现违反国家财经法律法规的</w:t>
      </w:r>
      <w:r>
        <w:rPr>
          <w:rFonts w:hint="eastAsia" w:ascii="Times New Roman" w:hAnsi="Times New Roman" w:cs="Times New Roman"/>
          <w:color w:val="000000"/>
          <w:kern w:val="0"/>
          <w:szCs w:val="32"/>
          <w:highlight w:val="none"/>
          <w:shd w:val="clear" w:color="auto" w:fill="FFFFFF"/>
          <w:lang w:val="zh-CN" w:eastAsia="zh-CN"/>
        </w:rPr>
        <w:t>行为。</w:t>
      </w:r>
    </w:p>
    <w:p w14:paraId="092E9E9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4.资产管理</w:t>
      </w:r>
    </w:p>
    <w:p w14:paraId="61FF45B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t>（1）人均资产变化率。2024年度，</w:t>
      </w:r>
      <w:r>
        <w:rPr>
          <w:rFonts w:hint="eastAsia" w:cs="Times New Roman"/>
          <w:color w:val="000000"/>
          <w:kern w:val="0"/>
          <w:szCs w:val="32"/>
          <w:highlight w:val="none"/>
          <w:shd w:val="clear" w:color="auto" w:fill="FFFFFF"/>
          <w:lang w:val="zh-CN" w:eastAsia="zh-CN"/>
        </w:rPr>
        <w:t>县退役军人事务局</w:t>
      </w:r>
      <w:r>
        <w:rPr>
          <w:rFonts w:hint="eastAsia" w:ascii="Times New Roman" w:hAnsi="Times New Roman" w:cs="Times New Roman"/>
          <w:color w:val="000000"/>
          <w:kern w:val="0"/>
          <w:szCs w:val="32"/>
          <w:highlight w:val="none"/>
          <w:shd w:val="clear" w:color="auto" w:fill="FFFFFF"/>
          <w:lang w:val="zh-CN" w:eastAsia="zh-CN"/>
        </w:rPr>
        <w:t>人均占有资产</w:t>
      </w:r>
      <w:r>
        <w:rPr>
          <w:rFonts w:hint="eastAsia" w:cs="Times New Roman"/>
          <w:color w:val="000000"/>
          <w:kern w:val="0"/>
          <w:szCs w:val="32"/>
          <w:highlight w:val="none"/>
          <w:shd w:val="clear" w:color="auto" w:fill="FFFFFF"/>
          <w:lang w:val="en-US" w:eastAsia="zh-CN"/>
        </w:rPr>
        <w:t>1.70</w:t>
      </w:r>
      <w:r>
        <w:rPr>
          <w:rFonts w:hint="eastAsia" w:ascii="Times New Roman" w:hAnsi="Times New Roman" w:cs="Times New Roman"/>
          <w:color w:val="000000"/>
          <w:kern w:val="0"/>
          <w:szCs w:val="32"/>
          <w:highlight w:val="none"/>
          <w:shd w:val="clear" w:color="auto" w:fill="FFFFFF"/>
          <w:lang w:val="zh-CN" w:eastAsia="zh-CN"/>
        </w:rPr>
        <w:t>万元，与202</w:t>
      </w:r>
      <w:r>
        <w:rPr>
          <w:rFonts w:hint="eastAsia" w:ascii="Times New Roman" w:hAnsi="Times New Roman" w:cs="Times New Roman"/>
          <w:color w:val="000000"/>
          <w:kern w:val="0"/>
          <w:szCs w:val="32"/>
          <w:highlight w:val="none"/>
          <w:shd w:val="clear" w:color="auto" w:fill="FFFFFF"/>
          <w:lang w:val="en-US" w:eastAsia="zh-CN"/>
        </w:rPr>
        <w:t>3</w:t>
      </w:r>
      <w:r>
        <w:rPr>
          <w:rFonts w:hint="eastAsia" w:ascii="Times New Roman" w:hAnsi="Times New Roman" w:cs="Times New Roman"/>
          <w:color w:val="000000"/>
          <w:kern w:val="0"/>
          <w:szCs w:val="32"/>
          <w:highlight w:val="none"/>
          <w:shd w:val="clear" w:color="auto" w:fill="FFFFFF"/>
          <w:lang w:val="zh-CN" w:eastAsia="zh-CN"/>
        </w:rPr>
        <w:t>年人均占有资产</w:t>
      </w:r>
      <w:r>
        <w:rPr>
          <w:rFonts w:hint="eastAsia" w:cs="Times New Roman"/>
          <w:color w:val="000000"/>
          <w:kern w:val="0"/>
          <w:szCs w:val="32"/>
          <w:highlight w:val="none"/>
          <w:shd w:val="clear" w:color="auto" w:fill="FFFFFF"/>
          <w:lang w:val="en-US" w:eastAsia="zh-CN"/>
        </w:rPr>
        <w:t>1.74</w:t>
      </w:r>
      <w:r>
        <w:rPr>
          <w:rFonts w:hint="eastAsia" w:ascii="Times New Roman" w:hAnsi="Times New Roman" w:cs="Times New Roman"/>
          <w:color w:val="000000"/>
          <w:kern w:val="0"/>
          <w:szCs w:val="32"/>
          <w:highlight w:val="none"/>
          <w:shd w:val="clear" w:color="auto" w:fill="FFFFFF"/>
          <w:lang w:val="zh-CN" w:eastAsia="zh-CN"/>
        </w:rPr>
        <w:t>万元相比，人均资产变化率为</w:t>
      </w:r>
      <w:r>
        <w:rPr>
          <w:rFonts w:hint="eastAsia" w:cs="Times New Roman"/>
          <w:color w:val="000000"/>
          <w:kern w:val="0"/>
          <w:szCs w:val="32"/>
          <w:highlight w:val="none"/>
          <w:shd w:val="clear" w:color="auto" w:fill="FFFFFF"/>
          <w:lang w:val="en-US" w:eastAsia="zh-CN"/>
        </w:rPr>
        <w:t>2.35</w:t>
      </w:r>
      <w:r>
        <w:rPr>
          <w:rFonts w:hint="eastAsia" w:ascii="Times New Roman" w:hAnsi="Times New Roman" w:cs="Times New Roman"/>
          <w:color w:val="000000"/>
          <w:kern w:val="0"/>
          <w:szCs w:val="32"/>
          <w:highlight w:val="none"/>
          <w:shd w:val="clear" w:color="auto" w:fill="FFFFFF"/>
          <w:lang w:val="zh-CN" w:eastAsia="zh-CN"/>
        </w:rPr>
        <w:t>%。人均资产变化率</w:t>
      </w:r>
      <w:r>
        <w:rPr>
          <w:rFonts w:hint="eastAsia" w:cs="Times New Roman"/>
          <w:color w:val="000000"/>
          <w:kern w:val="0"/>
          <w:szCs w:val="32"/>
          <w:highlight w:val="none"/>
          <w:shd w:val="clear" w:color="auto" w:fill="FFFFFF"/>
          <w:lang w:val="en-US" w:eastAsia="zh-CN"/>
        </w:rPr>
        <w:t>小</w:t>
      </w:r>
      <w:r>
        <w:rPr>
          <w:rFonts w:hint="eastAsia" w:ascii="Times New Roman" w:hAnsi="Times New Roman" w:cs="Times New Roman"/>
          <w:color w:val="000000"/>
          <w:kern w:val="0"/>
          <w:szCs w:val="32"/>
          <w:highlight w:val="none"/>
          <w:shd w:val="clear" w:color="auto" w:fill="FFFFFF"/>
          <w:lang w:val="zh-CN" w:eastAsia="zh-CN"/>
        </w:rPr>
        <w:t>于行政事业单位人均资产变化率6.88%。</w:t>
      </w:r>
    </w:p>
    <w:p w14:paraId="6F413CF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2）资产利用率。2024年，县退役军人事务局办公家具超最低使用年限资产利用率为0%，与行政事业单位2024年办公家具超最低使用年限资产利用率平均值15.72%相比，低于行政事业单位2024年办公家具超最低使用年限资产利用率；2024年，县退役军人事务局办公设备超最低使用年限资产利用率为</w:t>
      </w:r>
      <w:r>
        <w:rPr>
          <w:rFonts w:hint="eastAsia" w:cs="Times New Roman"/>
          <w:color w:val="000000"/>
          <w:kern w:val="0"/>
          <w:szCs w:val="32"/>
          <w:highlight w:val="none"/>
          <w:shd w:val="clear" w:color="auto" w:fill="FFFFFF"/>
          <w:lang w:val="en-US" w:eastAsia="zh-CN"/>
        </w:rPr>
        <w:t>50.08</w:t>
      </w:r>
      <w:r>
        <w:rPr>
          <w:rFonts w:hint="eastAsia" w:cs="Times New Roman"/>
          <w:color w:val="000000"/>
          <w:kern w:val="0"/>
          <w:szCs w:val="32"/>
          <w:highlight w:val="none"/>
          <w:shd w:val="clear" w:color="auto" w:fill="FFFFFF"/>
          <w:lang w:val="zh-CN" w:eastAsia="zh-CN"/>
        </w:rPr>
        <w:t>%，与行政事业单位2024年办公设备超最低使用年限资产利用率平均值40.45%相比，</w:t>
      </w:r>
      <w:r>
        <w:rPr>
          <w:rFonts w:hint="eastAsia" w:cs="Times New Roman"/>
          <w:color w:val="000000"/>
          <w:kern w:val="0"/>
          <w:szCs w:val="32"/>
          <w:highlight w:val="none"/>
          <w:shd w:val="clear" w:color="auto" w:fill="FFFFFF"/>
          <w:lang w:val="en-US" w:eastAsia="zh-CN"/>
        </w:rPr>
        <w:t>高</w:t>
      </w:r>
      <w:r>
        <w:rPr>
          <w:rFonts w:hint="eastAsia" w:cs="Times New Roman"/>
          <w:color w:val="000000"/>
          <w:kern w:val="0"/>
          <w:szCs w:val="32"/>
          <w:highlight w:val="none"/>
          <w:shd w:val="clear" w:color="auto" w:fill="FFFFFF"/>
          <w:lang w:val="zh-CN" w:eastAsia="zh-CN"/>
        </w:rPr>
        <w:t>于行政事业单位2024年办公设备超最低使用年限资产利用率。</w:t>
      </w:r>
    </w:p>
    <w:p w14:paraId="68CBB81D">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zh-CN" w:eastAsia="zh-CN"/>
        </w:rPr>
        <w:t>（3）资产盘活率。县退役军人事务局202</w:t>
      </w:r>
      <w:r>
        <w:rPr>
          <w:rFonts w:hint="eastAsia" w:cs="Times New Roman"/>
          <w:color w:val="000000"/>
          <w:kern w:val="0"/>
          <w:szCs w:val="32"/>
          <w:highlight w:val="none"/>
          <w:shd w:val="clear" w:color="auto" w:fill="FFFFFF"/>
          <w:lang w:val="en-US" w:eastAsia="zh-CN"/>
        </w:rPr>
        <w:t>3</w:t>
      </w:r>
      <w:r>
        <w:rPr>
          <w:rFonts w:hint="eastAsia" w:cs="Times New Roman"/>
          <w:color w:val="000000"/>
          <w:kern w:val="0"/>
          <w:szCs w:val="32"/>
          <w:highlight w:val="none"/>
          <w:shd w:val="clear" w:color="auto" w:fill="FFFFFF"/>
          <w:lang w:val="zh-CN" w:eastAsia="zh-CN"/>
        </w:rPr>
        <w:t>年和2024年均无闲置资产。</w:t>
      </w:r>
    </w:p>
    <w:p w14:paraId="78F7E22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5.</w:t>
      </w:r>
      <w:r>
        <w:rPr>
          <w:rFonts w:hint="default" w:ascii="楷体_GB2312" w:hAnsi="楷体_GB2312" w:eastAsia="楷体_GB2312" w:cs="楷体_GB2312"/>
          <w:color w:val="000000"/>
          <w:kern w:val="0"/>
          <w:szCs w:val="32"/>
          <w:highlight w:val="none"/>
          <w:shd w:val="clear" w:color="auto" w:fill="FFFFFF"/>
          <w:lang w:val="zh-CN"/>
        </w:rPr>
        <w:t>采购管理</w:t>
      </w:r>
    </w:p>
    <w:p w14:paraId="0F8471E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Times New Roman" w:hAnsi="Times New Roman" w:cs="Times New Roman"/>
          <w:color w:val="auto"/>
          <w:kern w:val="0"/>
          <w:szCs w:val="32"/>
          <w:highlight w:val="none"/>
          <w:shd w:val="clear" w:color="auto" w:fill="FFFFFF"/>
          <w:lang w:val="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1</w:t>
      </w:r>
      <w:r>
        <w:rPr>
          <w:rFonts w:hint="eastAsia" w:cs="Times New Roman"/>
          <w:color w:val="auto"/>
          <w:kern w:val="0"/>
          <w:szCs w:val="32"/>
          <w:highlight w:val="none"/>
          <w:shd w:val="clear" w:color="auto" w:fill="FFFFFF"/>
          <w:lang w:val="zh-CN"/>
        </w:rPr>
        <w:t>）</w:t>
      </w:r>
      <w:r>
        <w:rPr>
          <w:rFonts w:hint="eastAsia" w:ascii="Times New Roman" w:hAnsi="Times New Roman" w:cs="Times New Roman"/>
          <w:color w:val="auto"/>
          <w:kern w:val="0"/>
          <w:szCs w:val="32"/>
          <w:highlight w:val="none"/>
          <w:shd w:val="clear" w:color="auto" w:fill="FFFFFF"/>
          <w:lang w:val="zh-CN"/>
        </w:rPr>
        <w:t>支持中小企业发展</w:t>
      </w:r>
      <w:r>
        <w:rPr>
          <w:rFonts w:hint="eastAsia" w:cs="Times New Roman"/>
          <w:color w:val="auto"/>
          <w:kern w:val="0"/>
          <w:szCs w:val="32"/>
          <w:highlight w:val="none"/>
          <w:shd w:val="clear" w:color="auto" w:fill="FFFFFF"/>
          <w:lang w:val="zh-CN"/>
        </w:rPr>
        <w:t>。202</w:t>
      </w:r>
      <w:r>
        <w:rPr>
          <w:rFonts w:hint="eastAsia" w:cs="Times New Roman"/>
          <w:color w:val="auto"/>
          <w:kern w:val="0"/>
          <w:szCs w:val="32"/>
          <w:highlight w:val="none"/>
          <w:shd w:val="clear" w:color="auto" w:fill="FFFFFF"/>
          <w:lang w:val="en-US" w:eastAsia="zh-CN"/>
        </w:rPr>
        <w:t>4</w:t>
      </w:r>
      <w:r>
        <w:rPr>
          <w:rFonts w:hint="eastAsia" w:cs="Times New Roman"/>
          <w:color w:val="auto"/>
          <w:kern w:val="0"/>
          <w:szCs w:val="32"/>
          <w:highlight w:val="none"/>
          <w:shd w:val="clear" w:color="auto" w:fill="FFFFFF"/>
          <w:lang w:val="zh-CN"/>
        </w:rPr>
        <w:t>年，</w:t>
      </w:r>
      <w:r>
        <w:rPr>
          <w:rFonts w:hint="eastAsia" w:cs="Times New Roman"/>
          <w:color w:val="auto"/>
          <w:kern w:val="0"/>
          <w:szCs w:val="32"/>
          <w:highlight w:val="none"/>
          <w:shd w:val="clear" w:color="auto" w:fill="FFFFFF"/>
          <w:lang w:val="en-US" w:eastAsia="zh-CN"/>
        </w:rPr>
        <w:t>县退役军人事务局</w:t>
      </w:r>
      <w:r>
        <w:rPr>
          <w:rFonts w:hint="eastAsia" w:cs="Times New Roman"/>
          <w:color w:val="auto"/>
          <w:kern w:val="0"/>
          <w:szCs w:val="32"/>
          <w:highlight w:val="none"/>
          <w:shd w:val="clear" w:color="auto" w:fill="FFFFFF"/>
          <w:lang w:val="zh-CN"/>
        </w:rPr>
        <w:t>严格执行政府采购促进中小企业发展相关管理办法，在政府采购项目</w:t>
      </w:r>
      <w:r>
        <w:rPr>
          <w:rFonts w:hint="eastAsia" w:cs="Times New Roman"/>
          <w:color w:val="auto"/>
          <w:kern w:val="0"/>
          <w:szCs w:val="32"/>
          <w:highlight w:val="none"/>
          <w:shd w:val="clear" w:color="auto" w:fill="FFFFFF"/>
          <w:lang w:val="en-US" w:eastAsia="zh-CN"/>
        </w:rPr>
        <w:t>中</w:t>
      </w:r>
      <w:r>
        <w:rPr>
          <w:rFonts w:hint="eastAsia" w:cs="Times New Roman"/>
          <w:color w:val="auto"/>
          <w:kern w:val="0"/>
          <w:szCs w:val="32"/>
          <w:highlight w:val="none"/>
          <w:shd w:val="clear" w:color="auto" w:fill="FFFFFF"/>
          <w:lang w:val="zh-CN"/>
        </w:rPr>
        <w:t>对适宜由中小企业提供的采购项目和采购包，预留采购份额专门面向中小企业采购，并在采购预算中单独列示。</w:t>
      </w:r>
    </w:p>
    <w:p w14:paraId="145BA30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2</w:t>
      </w:r>
      <w:r>
        <w:rPr>
          <w:rFonts w:hint="eastAsia" w:cs="Times New Roman"/>
          <w:color w:val="auto"/>
          <w:kern w:val="0"/>
          <w:szCs w:val="32"/>
          <w:highlight w:val="none"/>
          <w:shd w:val="clear" w:color="auto" w:fill="FFFFFF"/>
          <w:lang w:val="zh-CN"/>
        </w:rPr>
        <w:t>）采购执行率</w:t>
      </w:r>
      <w:r>
        <w:rPr>
          <w:rFonts w:hint="eastAsia" w:ascii="Times New Roman" w:hAnsi="Times New Roman"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2024年，县退役军人事务局政府采购预算11.35万元，实际执行政府采购金额0万元，采购执行率0%。</w:t>
      </w:r>
    </w:p>
    <w:p w14:paraId="225C2D9F">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ar-SA"/>
        </w:rPr>
      </w:pPr>
      <w:r>
        <w:rPr>
          <w:rFonts w:hint="eastAsia" w:cs="Times New Roman"/>
          <w:color w:val="auto"/>
          <w:kern w:val="0"/>
          <w:sz w:val="32"/>
          <w:szCs w:val="32"/>
          <w:highlight w:val="none"/>
          <w:shd w:val="clear" w:color="auto" w:fill="FFFFFF"/>
          <w:lang w:val="en-US" w:eastAsia="zh-CN" w:bidi="ar-SA"/>
        </w:rPr>
        <w:t>县退役军人事务局</w:t>
      </w:r>
      <w:r>
        <w:rPr>
          <w:rFonts w:hint="default" w:ascii="Times New Roman" w:hAnsi="Times New Roman" w:eastAsia="仿宋_GB2312" w:cs="Times New Roman"/>
          <w:color w:val="auto"/>
          <w:kern w:val="0"/>
          <w:sz w:val="32"/>
          <w:szCs w:val="32"/>
          <w:highlight w:val="none"/>
          <w:shd w:val="clear" w:color="auto" w:fill="FFFFFF"/>
          <w:lang w:val="en-US" w:eastAsia="zh-CN" w:bidi="ar-SA"/>
        </w:rPr>
        <w:t>按照《预算法》和《政府采购法》编制政府采购预算和实施政府采购计划，按规定并取得了县财政局审批，并在四川政府采购网进行备案。</w:t>
      </w:r>
    </w:p>
    <w:p w14:paraId="52C6171A">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（二）部门预算项目绩效分析</w:t>
      </w:r>
    </w:p>
    <w:p w14:paraId="0BFE32B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eastAsia="仿宋_GB2312" w:cs="Times New Roman"/>
          <w:color w:val="auto"/>
          <w:kern w:val="0"/>
          <w:sz w:val="32"/>
          <w:szCs w:val="32"/>
          <w:highlight w:val="none"/>
          <w:shd w:val="clear" w:color="auto" w:fill="FFFFFF"/>
          <w:lang w:val="zh-CN" w:eastAsia="zh-CN" w:bidi="ar-SA"/>
        </w:rPr>
      </w:pPr>
      <w:r>
        <w:rPr>
          <w:rFonts w:hint="default" w:cs="Times New Roman"/>
          <w:color w:val="000000"/>
          <w:kern w:val="0"/>
          <w:szCs w:val="32"/>
          <w:highlight w:val="none"/>
          <w:shd w:val="clear" w:color="auto" w:fill="FFFFFF"/>
          <w:lang w:val="en-US" w:eastAsia="zh-CN"/>
        </w:rPr>
        <w:t>常年项目绩效分析。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21</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19668.79</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ascii="Times New Roman" w:hAnsi="Times New Roman" w:eastAsia="仿宋_GB2312" w:cs="Times New Roman"/>
          <w:color w:val="auto"/>
          <w:kern w:val="0"/>
          <w:sz w:val="32"/>
          <w:szCs w:val="32"/>
          <w:highlight w:val="none"/>
          <w:shd w:val="clear" w:color="auto" w:fill="FFFFFF"/>
          <w:lang w:val="zh-CN" w:eastAsia="zh-CN" w:bidi="ar-SA"/>
        </w:rPr>
        <w:t>个</w:t>
      </w:r>
      <w:r>
        <w:rPr>
          <w:rFonts w:hint="eastAsia" w:ascii="Times New Roman" w:hAnsi="Times New Roman" w:eastAsia="仿宋_GB2312" w:cs="Times New Roman"/>
          <w:color w:val="auto"/>
          <w:kern w:val="0"/>
          <w:sz w:val="32"/>
          <w:szCs w:val="32"/>
          <w:highlight w:val="none"/>
          <w:shd w:val="clear" w:color="auto" w:fill="FFFFFF"/>
          <w:lang w:val="zh-CN" w:eastAsia="zh-CN" w:bidi="ar-SA"/>
        </w:rPr>
        <w:t>，</w:t>
      </w:r>
      <w:r>
        <w:rPr>
          <w:rFonts w:hint="default" w:ascii="Times New Roman" w:hAnsi="Times New Roman" w:eastAsia="仿宋_GB2312" w:cs="Times New Roman"/>
          <w:color w:val="auto"/>
          <w:kern w:val="0"/>
          <w:sz w:val="32"/>
          <w:szCs w:val="32"/>
          <w:highlight w:val="none"/>
          <w:shd w:val="clear" w:color="auto" w:fill="FFFFFF"/>
          <w:lang w:val="en-US" w:eastAsia="zh-CN" w:bidi="ar-SA"/>
        </w:rPr>
        <w:t>部分阶段项目执行中产生的结余资金，已在年度内按规定程序上缴财政或统筹用于其他急需支出，故部门整体决算无结转结余资金</w:t>
      </w:r>
      <w:r>
        <w:rPr>
          <w:rFonts w:hint="default" w:ascii="Times New Roman" w:hAnsi="Times New Roman" w:eastAsia="仿宋_GB2312" w:cs="Times New Roman"/>
          <w:color w:val="auto"/>
          <w:kern w:val="0"/>
          <w:sz w:val="32"/>
          <w:szCs w:val="32"/>
          <w:highlight w:val="none"/>
          <w:shd w:val="clear" w:color="auto" w:fill="FFFFFF"/>
          <w:lang w:val="zh-CN" w:eastAsia="zh-CN" w:bidi="ar-SA"/>
        </w:rPr>
        <w:t>。</w:t>
      </w:r>
    </w:p>
    <w:p w14:paraId="5ADB5CF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阶段</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一次性</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35</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1458.84</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zh-CN"/>
        </w:rPr>
        <w:t>，</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4</w:t>
      </w:r>
      <w:r>
        <w:rPr>
          <w:rFonts w:hint="default" w:cs="Times New Roman"/>
          <w:color w:val="000000"/>
          <w:kern w:val="0"/>
          <w:szCs w:val="32"/>
          <w:highlight w:val="none"/>
          <w:shd w:val="clear" w:color="auto" w:fill="FFFFFF"/>
          <w:lang w:val="zh-CN" w:eastAsia="zh-CN"/>
        </w:rPr>
        <w:t>个。</w:t>
      </w:r>
    </w:p>
    <w:p w14:paraId="10B9A6D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楷体_GB2312" w:eastAsia="楷体_GB2312" w:cs="楷体_GB2312"/>
          <w:color w:val="000000"/>
          <w:kern w:val="0"/>
          <w:szCs w:val="32"/>
          <w:highlight w:val="none"/>
          <w:shd w:val="clear" w:color="auto" w:fill="FFFFFF"/>
          <w:lang w:val="zh-CN"/>
        </w:rPr>
        <w:t>项目决策</w:t>
      </w:r>
    </w:p>
    <w:p w14:paraId="0164152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eastAsia="仿宋_GB2312"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1</w:t>
      </w:r>
      <w:r>
        <w:rPr>
          <w:rFonts w:hint="eastAsia" w:cs="Times New Roman"/>
          <w:color w:val="auto"/>
          <w:kern w:val="0"/>
          <w:szCs w:val="32"/>
          <w:highlight w:val="none"/>
          <w:shd w:val="clear" w:color="auto" w:fill="FFFFFF"/>
          <w:lang w:val="zh-CN"/>
        </w:rPr>
        <w:t>）决策程序。</w:t>
      </w:r>
      <w:r>
        <w:rPr>
          <w:rFonts w:hint="eastAsia" w:cs="Times New Roman"/>
          <w:color w:val="auto"/>
          <w:kern w:val="0"/>
          <w:szCs w:val="32"/>
          <w:highlight w:val="none"/>
          <w:shd w:val="clear" w:color="auto" w:fill="FFFFFF"/>
          <w:lang w:val="en-US" w:eastAsia="zh-CN"/>
        </w:rPr>
        <w:t>2024年，县退役军人事务局</w:t>
      </w:r>
      <w:r>
        <w:rPr>
          <w:rFonts w:hint="eastAsia" w:cs="Times New Roman"/>
          <w:color w:val="auto"/>
          <w:kern w:val="0"/>
          <w:szCs w:val="32"/>
          <w:highlight w:val="none"/>
          <w:shd w:val="clear" w:color="auto" w:fill="FFFFFF"/>
          <w:lang w:val="zh-CN"/>
        </w:rPr>
        <w:t>预算项目设立按规定履行</w:t>
      </w:r>
      <w:r>
        <w:rPr>
          <w:rFonts w:hint="eastAsia" w:cs="Times New Roman"/>
          <w:color w:val="auto"/>
          <w:kern w:val="0"/>
          <w:szCs w:val="32"/>
          <w:highlight w:val="none"/>
          <w:shd w:val="clear" w:color="auto" w:fill="FFFFFF"/>
          <w:lang w:val="en-US" w:eastAsia="zh-CN"/>
        </w:rPr>
        <w:t>了</w:t>
      </w:r>
      <w:r>
        <w:rPr>
          <w:rFonts w:hint="eastAsia" w:cs="Times New Roman"/>
          <w:color w:val="auto"/>
          <w:kern w:val="0"/>
          <w:szCs w:val="32"/>
          <w:highlight w:val="none"/>
          <w:shd w:val="clear" w:color="auto" w:fill="FFFFFF"/>
          <w:lang w:val="zh-CN"/>
        </w:rPr>
        <w:t>评估论证、申报程序，</w:t>
      </w:r>
      <w:r>
        <w:rPr>
          <w:rFonts w:hint="eastAsia" w:cs="Times New Roman"/>
          <w:color w:val="auto"/>
          <w:kern w:val="0"/>
          <w:szCs w:val="32"/>
          <w:highlight w:val="none"/>
          <w:shd w:val="clear" w:color="auto" w:fill="FFFFFF"/>
          <w:lang w:val="en-US" w:eastAsia="zh-CN"/>
        </w:rPr>
        <w:t>对符合事前评估条件的部门预算项目均实施了事前评估论证程序</w:t>
      </w:r>
      <w:r>
        <w:rPr>
          <w:rFonts w:hint="eastAsia" w:cs="Times New Roman"/>
          <w:color w:val="auto"/>
          <w:kern w:val="0"/>
          <w:szCs w:val="32"/>
          <w:highlight w:val="none"/>
          <w:shd w:val="clear" w:color="auto" w:fill="FFFFFF"/>
          <w:lang w:val="zh-CN"/>
        </w:rPr>
        <w:t>。部门年度预算草案按照</w:t>
      </w:r>
      <w:r>
        <w:rPr>
          <w:rFonts w:hint="eastAsia" w:cs="Times New Roman"/>
          <w:color w:val="auto"/>
          <w:kern w:val="0"/>
          <w:szCs w:val="32"/>
          <w:highlight w:val="none"/>
          <w:shd w:val="clear" w:color="auto" w:fill="FFFFFF"/>
          <w:lang w:val="en-US" w:eastAsia="zh-CN"/>
        </w:rPr>
        <w:t>相关</w:t>
      </w:r>
      <w:r>
        <w:rPr>
          <w:rFonts w:hint="eastAsia" w:cs="Times New Roman"/>
          <w:color w:val="auto"/>
          <w:kern w:val="0"/>
          <w:szCs w:val="32"/>
          <w:highlight w:val="none"/>
          <w:shd w:val="clear" w:color="auto" w:fill="FFFFFF"/>
          <w:lang w:val="zh-CN"/>
        </w:rPr>
        <w:t>要求，履行集体决策程序后报财政</w:t>
      </w:r>
      <w:r>
        <w:rPr>
          <w:rFonts w:hint="eastAsia" w:cs="Times New Roman"/>
          <w:color w:val="auto"/>
          <w:kern w:val="0"/>
          <w:szCs w:val="32"/>
          <w:highlight w:val="none"/>
          <w:shd w:val="clear" w:color="auto" w:fill="FFFFFF"/>
          <w:lang w:val="en-US" w:eastAsia="zh-CN"/>
        </w:rPr>
        <w:t>局。</w:t>
      </w:r>
    </w:p>
    <w:p w14:paraId="4A4C4DB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auto"/>
          <w:kern w:val="0"/>
          <w:szCs w:val="32"/>
          <w:highlight w:val="none"/>
          <w:shd w:val="clear" w:color="auto" w:fill="FFFFFF"/>
          <w:lang w:val="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2</w:t>
      </w:r>
      <w:r>
        <w:rPr>
          <w:rFonts w:hint="eastAsia" w:cs="Times New Roman"/>
          <w:color w:val="auto"/>
          <w:kern w:val="0"/>
          <w:szCs w:val="32"/>
          <w:highlight w:val="none"/>
          <w:shd w:val="clear" w:color="auto" w:fill="FFFFFF"/>
          <w:lang w:val="zh-CN"/>
        </w:rPr>
        <w:t>）目标设置</w:t>
      </w:r>
      <w:r>
        <w:rPr>
          <w:rFonts w:hint="eastAsia" w:cs="Times New Roman"/>
          <w:color w:val="auto"/>
          <w:kern w:val="0"/>
          <w:szCs w:val="32"/>
          <w:highlight w:val="none"/>
          <w:shd w:val="clear" w:color="auto" w:fill="FFFFFF"/>
          <w:lang w:val="en-US" w:eastAsia="zh-CN"/>
        </w:rPr>
        <w:t>。2024年度，县退役军人事务局共有常年项目和阶段（一次性）项目56个，均按相关要求，编制了绩效目标，绩效目标内容完整、要素齐全，预算与实施内容匹配。</w:t>
      </w:r>
    </w:p>
    <w:p w14:paraId="651759A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楷体_GB2312" w:hAnsi="楷体_GB2312" w:eastAsia="楷体_GB2312" w:cs="楷体_GB2312"/>
          <w:color w:val="auto"/>
          <w:kern w:val="0"/>
          <w:szCs w:val="32"/>
          <w:highlight w:val="none"/>
          <w:shd w:val="clear" w:color="auto" w:fill="FFFFFF"/>
          <w:lang w:val="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3</w:t>
      </w:r>
      <w:r>
        <w:rPr>
          <w:rFonts w:hint="eastAsia" w:cs="Times New Roman"/>
          <w:color w:val="auto"/>
          <w:kern w:val="0"/>
          <w:szCs w:val="32"/>
          <w:highlight w:val="none"/>
          <w:shd w:val="clear" w:color="auto" w:fill="FFFFFF"/>
          <w:lang w:val="zh-CN"/>
        </w:rPr>
        <w:t>）项目入库</w:t>
      </w:r>
      <w:r>
        <w:rPr>
          <w:rFonts w:hint="eastAsia" w:ascii="Times New Roman" w:hAnsi="Times New Roman"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县退役军人事务局</w:t>
      </w:r>
      <w:r>
        <w:rPr>
          <w:rFonts w:hint="eastAsia" w:ascii="Times New Roman" w:hAnsi="Times New Roman" w:cs="Times New Roman"/>
          <w:color w:val="auto"/>
          <w:kern w:val="0"/>
          <w:szCs w:val="32"/>
          <w:highlight w:val="none"/>
          <w:shd w:val="clear" w:color="auto" w:fill="FFFFFF"/>
          <w:lang w:val="zh-CN"/>
        </w:rPr>
        <w:t>202</w:t>
      </w:r>
      <w:r>
        <w:rPr>
          <w:rFonts w:hint="eastAsia" w:cs="Times New Roman"/>
          <w:color w:val="auto"/>
          <w:kern w:val="0"/>
          <w:szCs w:val="32"/>
          <w:highlight w:val="none"/>
          <w:shd w:val="clear" w:color="auto" w:fill="FFFFFF"/>
          <w:lang w:val="en-US" w:eastAsia="zh-CN"/>
        </w:rPr>
        <w:t>4</w:t>
      </w:r>
      <w:r>
        <w:rPr>
          <w:rFonts w:hint="eastAsia" w:ascii="Times New Roman" w:hAnsi="Times New Roman" w:cs="Times New Roman"/>
          <w:color w:val="auto"/>
          <w:kern w:val="0"/>
          <w:szCs w:val="32"/>
          <w:highlight w:val="none"/>
          <w:shd w:val="clear" w:color="auto" w:fill="FFFFFF"/>
          <w:lang w:val="zh-CN"/>
        </w:rPr>
        <w:t>年度</w:t>
      </w:r>
      <w:r>
        <w:rPr>
          <w:rFonts w:hint="eastAsia" w:cs="Times New Roman"/>
          <w:color w:val="auto"/>
          <w:kern w:val="0"/>
          <w:szCs w:val="32"/>
          <w:highlight w:val="none"/>
          <w:shd w:val="clear" w:color="auto" w:fill="FFFFFF"/>
          <w:lang w:val="en-US" w:eastAsia="zh-CN"/>
        </w:rPr>
        <w:t>56个</w:t>
      </w:r>
      <w:r>
        <w:rPr>
          <w:rFonts w:hint="eastAsia" w:ascii="Times New Roman" w:hAnsi="Times New Roman" w:cs="Times New Roman"/>
          <w:color w:val="auto"/>
          <w:kern w:val="0"/>
          <w:szCs w:val="32"/>
          <w:highlight w:val="none"/>
          <w:shd w:val="clear" w:color="auto" w:fill="FFFFFF"/>
          <w:lang w:val="zh-CN"/>
        </w:rPr>
        <w:t>常年项目和阶段（一次性）项目已入库，项目入库及时率100%</w:t>
      </w:r>
      <w:r>
        <w:rPr>
          <w:rFonts w:hint="eastAsia" w:cs="Times New Roman"/>
          <w:color w:val="auto"/>
          <w:kern w:val="0"/>
          <w:szCs w:val="32"/>
          <w:highlight w:val="none"/>
          <w:shd w:val="clear" w:color="auto" w:fill="FFFFFF"/>
          <w:lang w:val="zh-CN"/>
        </w:rPr>
        <w:t>。</w:t>
      </w:r>
    </w:p>
    <w:p w14:paraId="726160B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2.项目执行</w:t>
      </w:r>
    </w:p>
    <w:p w14:paraId="6793683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auto"/>
          <w:kern w:val="0"/>
          <w:szCs w:val="32"/>
          <w:highlight w:val="none"/>
          <w:shd w:val="clear" w:color="auto" w:fill="FFFFFF"/>
          <w:lang w:val="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1</w:t>
      </w:r>
      <w:r>
        <w:rPr>
          <w:rFonts w:hint="eastAsia" w:cs="Times New Roman"/>
          <w:color w:val="auto"/>
          <w:kern w:val="0"/>
          <w:szCs w:val="32"/>
          <w:highlight w:val="none"/>
          <w:shd w:val="clear" w:color="auto" w:fill="FFFFFF"/>
          <w:lang w:val="zh-CN"/>
        </w:rPr>
        <w:t>）执行同向。</w:t>
      </w:r>
      <w:r>
        <w:rPr>
          <w:rFonts w:hint="eastAsia" w:cs="Times New Roman"/>
          <w:color w:val="auto"/>
          <w:kern w:val="0"/>
          <w:szCs w:val="32"/>
          <w:highlight w:val="none"/>
          <w:shd w:val="clear" w:color="auto" w:fill="FFFFFF"/>
          <w:lang w:val="en-US" w:eastAsia="zh-CN"/>
        </w:rPr>
        <w:t>通过对56个项目开展自评，项目实际列支内容均与绩效目标设置方向相符，吻合率100%，未发现资金用于非关键领域、存在不合理支出或低效浪费等情况</w:t>
      </w:r>
      <w:r>
        <w:rPr>
          <w:rFonts w:hint="eastAsia" w:cs="Times New Roman"/>
          <w:color w:val="auto"/>
          <w:kern w:val="0"/>
          <w:szCs w:val="32"/>
          <w:highlight w:val="none"/>
          <w:shd w:val="clear" w:color="auto" w:fill="FFFFFF"/>
          <w:lang w:val="zh-CN"/>
        </w:rPr>
        <w:t>。</w:t>
      </w:r>
    </w:p>
    <w:p w14:paraId="4F90540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2</w:t>
      </w:r>
      <w:r>
        <w:rPr>
          <w:rFonts w:hint="eastAsia" w:cs="Times New Roman"/>
          <w:color w:val="auto"/>
          <w:kern w:val="0"/>
          <w:szCs w:val="32"/>
          <w:highlight w:val="none"/>
          <w:shd w:val="clear" w:color="auto" w:fill="FFFFFF"/>
          <w:lang w:val="zh-CN"/>
        </w:rPr>
        <w:t>）项目调整。</w:t>
      </w:r>
      <w:r>
        <w:rPr>
          <w:rFonts w:hint="eastAsia" w:cs="Times New Roman"/>
          <w:color w:val="auto"/>
          <w:kern w:val="0"/>
          <w:szCs w:val="32"/>
          <w:highlight w:val="none"/>
          <w:shd w:val="clear" w:color="auto" w:fill="FFFFFF"/>
          <w:lang w:val="en-US" w:eastAsia="zh-CN"/>
        </w:rPr>
        <w:t>根据相关要求，县退役军人事务局对所有预算项目开展了绩效运行监控，监控重点包括项目过程管控、预算执行进度、绩效目标实现程度等。并根据监控结果，采取了对应调整措施。</w:t>
      </w:r>
    </w:p>
    <w:p w14:paraId="59B6692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cs="Times New Roman"/>
          <w:color w:val="000000"/>
          <w:kern w:val="0"/>
          <w:szCs w:val="32"/>
          <w:highlight w:val="none"/>
          <w:shd w:val="clear" w:color="auto" w:fill="FFFFFF"/>
          <w:lang w:val="zh-CN"/>
        </w:rPr>
      </w:pPr>
      <w:r>
        <w:rPr>
          <w:rFonts w:hint="eastAsia"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3</w:t>
      </w:r>
      <w:r>
        <w:rPr>
          <w:rFonts w:hint="eastAsia" w:cs="Times New Roman"/>
          <w:color w:val="000000"/>
          <w:kern w:val="0"/>
          <w:szCs w:val="32"/>
          <w:highlight w:val="none"/>
          <w:shd w:val="clear" w:color="auto" w:fill="FFFFFF"/>
          <w:lang w:val="zh-CN"/>
        </w:rPr>
        <w:t>）执行结果。202</w:t>
      </w:r>
      <w:r>
        <w:rPr>
          <w:rFonts w:hint="eastAsia" w:cs="Times New Roman"/>
          <w:color w:val="000000"/>
          <w:kern w:val="0"/>
          <w:szCs w:val="32"/>
          <w:highlight w:val="none"/>
          <w:shd w:val="clear" w:color="auto" w:fill="FFFFFF"/>
          <w:lang w:val="en-US" w:eastAsia="zh-CN"/>
        </w:rPr>
        <w:t>4</w:t>
      </w:r>
      <w:r>
        <w:rPr>
          <w:rFonts w:hint="eastAsia" w:cs="Times New Roman"/>
          <w:color w:val="000000"/>
          <w:kern w:val="0"/>
          <w:szCs w:val="32"/>
          <w:highlight w:val="none"/>
          <w:shd w:val="clear" w:color="auto" w:fill="FFFFFF"/>
          <w:lang w:val="zh-CN"/>
        </w:rPr>
        <w:t>年度，县退役军人事务局</w:t>
      </w:r>
      <w:r>
        <w:rPr>
          <w:rFonts w:hint="eastAsia" w:cs="Times New Roman"/>
          <w:color w:val="000000"/>
          <w:kern w:val="0"/>
          <w:szCs w:val="32"/>
          <w:highlight w:val="none"/>
          <w:shd w:val="clear" w:color="auto" w:fill="FFFFFF"/>
          <w:lang w:val="en-US" w:eastAsia="zh-CN"/>
        </w:rPr>
        <w:t>21</w:t>
      </w:r>
      <w:r>
        <w:rPr>
          <w:rFonts w:hint="eastAsia" w:cs="Times New Roman"/>
          <w:color w:val="000000"/>
          <w:kern w:val="0"/>
          <w:szCs w:val="32"/>
          <w:highlight w:val="none"/>
          <w:shd w:val="clear" w:color="auto" w:fill="FFFFFF"/>
          <w:lang w:val="zh-CN"/>
        </w:rPr>
        <w:t>个常年项目中预算结余率小于10%的项目</w:t>
      </w:r>
      <w:r>
        <w:rPr>
          <w:rFonts w:hint="eastAsia" w:cs="Times New Roman"/>
          <w:color w:val="000000"/>
          <w:kern w:val="0"/>
          <w:szCs w:val="32"/>
          <w:highlight w:val="none"/>
          <w:shd w:val="clear" w:color="auto" w:fill="FFFFFF"/>
          <w:lang w:val="en-US" w:eastAsia="zh-CN"/>
        </w:rPr>
        <w:t>21</w:t>
      </w:r>
      <w:r>
        <w:rPr>
          <w:rFonts w:hint="eastAsia" w:cs="Times New Roman"/>
          <w:color w:val="000000"/>
          <w:kern w:val="0"/>
          <w:szCs w:val="32"/>
          <w:highlight w:val="none"/>
          <w:shd w:val="clear" w:color="auto" w:fill="FFFFFF"/>
          <w:lang w:val="zh-CN"/>
        </w:rPr>
        <w:t>个，占比</w:t>
      </w:r>
      <w:r>
        <w:rPr>
          <w:rFonts w:hint="eastAsia" w:cs="Times New Roman"/>
          <w:color w:val="000000"/>
          <w:kern w:val="0"/>
          <w:szCs w:val="32"/>
          <w:highlight w:val="none"/>
          <w:shd w:val="clear" w:color="auto" w:fill="FFFFFF"/>
          <w:lang w:val="en-US" w:eastAsia="zh-CN"/>
        </w:rPr>
        <w:t>100</w:t>
      </w:r>
      <w:r>
        <w:rPr>
          <w:rFonts w:hint="eastAsia"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35</w:t>
      </w:r>
      <w:r>
        <w:rPr>
          <w:rFonts w:hint="eastAsia" w:cs="Times New Roman"/>
          <w:color w:val="000000"/>
          <w:kern w:val="0"/>
          <w:szCs w:val="32"/>
          <w:highlight w:val="none"/>
          <w:shd w:val="clear" w:color="auto" w:fill="FFFFFF"/>
          <w:lang w:val="zh-CN"/>
        </w:rPr>
        <w:t>个阶段（一次性）项目中预算结余率小于10%的项目</w:t>
      </w:r>
      <w:r>
        <w:rPr>
          <w:rFonts w:hint="eastAsia" w:cs="Times New Roman"/>
          <w:color w:val="000000"/>
          <w:kern w:val="0"/>
          <w:szCs w:val="32"/>
          <w:highlight w:val="none"/>
          <w:shd w:val="clear" w:color="auto" w:fill="FFFFFF"/>
          <w:lang w:val="en-US" w:eastAsia="zh-CN"/>
        </w:rPr>
        <w:t>31</w:t>
      </w:r>
      <w:r>
        <w:rPr>
          <w:rFonts w:hint="eastAsia" w:cs="Times New Roman"/>
          <w:color w:val="000000"/>
          <w:kern w:val="0"/>
          <w:szCs w:val="32"/>
          <w:highlight w:val="none"/>
          <w:shd w:val="clear" w:color="auto" w:fill="FFFFFF"/>
          <w:lang w:val="zh-CN"/>
        </w:rPr>
        <w:t>个，占比</w:t>
      </w:r>
      <w:r>
        <w:rPr>
          <w:rFonts w:hint="eastAsia" w:cs="Times New Roman"/>
          <w:color w:val="000000"/>
          <w:kern w:val="0"/>
          <w:szCs w:val="32"/>
          <w:highlight w:val="none"/>
          <w:shd w:val="clear" w:color="auto" w:fill="FFFFFF"/>
          <w:lang w:val="en-US" w:eastAsia="zh-CN"/>
        </w:rPr>
        <w:t>88.57%</w:t>
      </w:r>
      <w:r>
        <w:rPr>
          <w:rFonts w:hint="eastAsia" w:cs="Times New Roman"/>
          <w:color w:val="000000"/>
          <w:kern w:val="0"/>
          <w:szCs w:val="32"/>
          <w:highlight w:val="none"/>
          <w:shd w:val="clear" w:color="auto" w:fill="FFFFFF"/>
          <w:lang w:val="zh-CN"/>
        </w:rPr>
        <w:t>。</w:t>
      </w:r>
    </w:p>
    <w:p w14:paraId="3D0A400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3.</w:t>
      </w:r>
      <w:r>
        <w:rPr>
          <w:rFonts w:hint="eastAsia" w:ascii="楷体_GB2312" w:hAnsi="楷体_GB2312" w:eastAsia="楷体_GB2312" w:cs="楷体_GB2312"/>
          <w:color w:val="000000"/>
          <w:kern w:val="0"/>
          <w:szCs w:val="32"/>
          <w:highlight w:val="none"/>
          <w:shd w:val="clear" w:color="auto" w:fill="FFFFFF"/>
          <w:lang w:val="zh-CN"/>
        </w:rPr>
        <w:t>目标实现</w:t>
      </w:r>
    </w:p>
    <w:p w14:paraId="3EEE4ED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1</w:t>
      </w:r>
      <w:r>
        <w:rPr>
          <w:rFonts w:hint="eastAsia" w:cs="Times New Roman"/>
          <w:color w:val="000000"/>
          <w:kern w:val="0"/>
          <w:szCs w:val="32"/>
          <w:highlight w:val="none"/>
          <w:shd w:val="clear" w:color="auto" w:fill="FFFFFF"/>
          <w:lang w:val="zh-CN"/>
        </w:rPr>
        <w:t>）目标完成</w:t>
      </w:r>
      <w:r>
        <w:rPr>
          <w:rFonts w:hint="eastAsia" w:cs="Times New Roman"/>
          <w:color w:val="000000"/>
          <w:kern w:val="0"/>
          <w:szCs w:val="32"/>
          <w:highlight w:val="none"/>
          <w:shd w:val="clear" w:color="auto" w:fill="FFFFFF"/>
          <w:lang w:val="en-US" w:eastAsia="zh-CN"/>
        </w:rPr>
        <w:t>。</w:t>
      </w:r>
      <w:r>
        <w:rPr>
          <w:rFonts w:hint="eastAsia" w:cs="Times New Roman"/>
          <w:color w:val="000000"/>
          <w:kern w:val="0"/>
          <w:szCs w:val="32"/>
          <w:highlight w:val="none"/>
          <w:shd w:val="clear" w:color="auto" w:fill="FFFFFF"/>
          <w:lang w:val="zh-CN"/>
        </w:rPr>
        <w:t>202</w:t>
      </w:r>
      <w:r>
        <w:rPr>
          <w:rFonts w:hint="eastAsia" w:cs="Times New Roman"/>
          <w:color w:val="000000"/>
          <w:kern w:val="0"/>
          <w:szCs w:val="32"/>
          <w:highlight w:val="none"/>
          <w:shd w:val="clear" w:color="auto" w:fill="FFFFFF"/>
          <w:lang w:val="en-US" w:eastAsia="zh-CN"/>
        </w:rPr>
        <w:t>4</w:t>
      </w:r>
      <w:r>
        <w:rPr>
          <w:rFonts w:hint="eastAsia" w:cs="Times New Roman"/>
          <w:color w:val="000000"/>
          <w:kern w:val="0"/>
          <w:szCs w:val="32"/>
          <w:highlight w:val="none"/>
          <w:shd w:val="clear" w:color="auto" w:fill="FFFFFF"/>
          <w:lang w:val="zh-CN"/>
        </w:rPr>
        <w:t>年度，</w:t>
      </w:r>
      <w:r>
        <w:rPr>
          <w:rFonts w:hint="eastAsia" w:cs="Times New Roman"/>
          <w:color w:val="000000"/>
          <w:kern w:val="0"/>
          <w:szCs w:val="32"/>
          <w:highlight w:val="none"/>
          <w:shd w:val="clear" w:color="auto" w:fill="FFFFFF"/>
          <w:lang w:val="en-US" w:eastAsia="zh-CN"/>
        </w:rPr>
        <w:t>县退役军人事务局</w:t>
      </w:r>
      <w:bookmarkStart w:id="3" w:name="_GoBack"/>
      <w:bookmarkEnd w:id="3"/>
      <w:r>
        <w:rPr>
          <w:rFonts w:hint="eastAsia" w:cs="Times New Roman"/>
          <w:color w:val="000000"/>
          <w:kern w:val="0"/>
          <w:szCs w:val="32"/>
          <w:highlight w:val="none"/>
          <w:shd w:val="clear" w:color="auto" w:fill="FFFFFF"/>
          <w:lang w:val="en-US" w:eastAsia="zh-CN"/>
        </w:rPr>
        <w:t>56个部门</w:t>
      </w:r>
      <w:r>
        <w:rPr>
          <w:rFonts w:hint="eastAsia" w:cs="Times New Roman"/>
          <w:color w:val="000000"/>
          <w:kern w:val="0"/>
          <w:szCs w:val="32"/>
          <w:highlight w:val="none"/>
          <w:shd w:val="clear" w:color="auto" w:fill="FFFFFF"/>
          <w:lang w:val="zh-CN"/>
        </w:rPr>
        <w:t>预算项目涉及</w:t>
      </w:r>
      <w:r>
        <w:rPr>
          <w:rFonts w:hint="eastAsia" w:cs="Times New Roman"/>
          <w:color w:val="000000"/>
          <w:kern w:val="0"/>
          <w:szCs w:val="32"/>
          <w:highlight w:val="none"/>
          <w:shd w:val="clear" w:color="auto" w:fill="FFFFFF"/>
          <w:lang w:val="zh-CN" w:eastAsia="zh-CN"/>
        </w:rPr>
        <w:t>数量指标60个</w:t>
      </w:r>
      <w:r>
        <w:rPr>
          <w:rFonts w:hint="eastAsia" w:cs="Times New Roman"/>
          <w:color w:val="000000"/>
          <w:kern w:val="0"/>
          <w:szCs w:val="32"/>
          <w:highlight w:val="none"/>
          <w:shd w:val="clear" w:color="auto" w:fill="FFFFFF"/>
          <w:lang w:val="zh-CN"/>
        </w:rPr>
        <w:t>，其中</w:t>
      </w:r>
      <w:r>
        <w:rPr>
          <w:rFonts w:hint="eastAsia" w:cs="Times New Roman"/>
          <w:color w:val="000000"/>
          <w:kern w:val="0"/>
          <w:szCs w:val="32"/>
          <w:highlight w:val="none"/>
          <w:shd w:val="clear" w:color="auto" w:fill="FFFFFF"/>
          <w:lang w:val="en-US" w:eastAsia="zh-CN"/>
        </w:rPr>
        <w:t>0</w:t>
      </w:r>
      <w:r>
        <w:rPr>
          <w:rFonts w:hint="eastAsia" w:cs="Times New Roman"/>
          <w:color w:val="000000"/>
          <w:kern w:val="0"/>
          <w:szCs w:val="32"/>
          <w:highlight w:val="none"/>
          <w:shd w:val="clear" w:color="auto" w:fill="FFFFFF"/>
          <w:lang w:val="zh-CN"/>
        </w:rPr>
        <w:t>个指标未达到预期目标值，数量指标完成率</w:t>
      </w:r>
      <w:r>
        <w:rPr>
          <w:rFonts w:hint="eastAsia" w:cs="Times New Roman"/>
          <w:color w:val="000000"/>
          <w:kern w:val="0"/>
          <w:szCs w:val="32"/>
          <w:highlight w:val="none"/>
          <w:shd w:val="clear" w:color="auto" w:fill="FFFFFF"/>
          <w:lang w:val="en-US" w:eastAsia="zh-CN"/>
        </w:rPr>
        <w:t>100</w:t>
      </w:r>
      <w:r>
        <w:rPr>
          <w:rFonts w:hint="eastAsia"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w:t>
      </w:r>
    </w:p>
    <w:p w14:paraId="5259669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2</w:t>
      </w:r>
      <w:r>
        <w:rPr>
          <w:rFonts w:hint="eastAsia" w:cs="Times New Roman"/>
          <w:color w:val="000000"/>
          <w:kern w:val="0"/>
          <w:szCs w:val="32"/>
          <w:highlight w:val="none"/>
          <w:shd w:val="clear" w:color="auto" w:fill="FFFFFF"/>
          <w:lang w:val="zh-CN"/>
        </w:rPr>
        <w:t>）目标偏离。202</w:t>
      </w:r>
      <w:r>
        <w:rPr>
          <w:rFonts w:hint="eastAsia" w:cs="Times New Roman"/>
          <w:color w:val="000000"/>
          <w:kern w:val="0"/>
          <w:szCs w:val="32"/>
          <w:highlight w:val="none"/>
          <w:shd w:val="clear" w:color="auto" w:fill="FFFFFF"/>
          <w:lang w:val="en-US" w:eastAsia="zh-CN"/>
        </w:rPr>
        <w:t>4</w:t>
      </w:r>
      <w:r>
        <w:rPr>
          <w:rFonts w:hint="eastAsia" w:cs="Times New Roman"/>
          <w:color w:val="000000"/>
          <w:kern w:val="0"/>
          <w:szCs w:val="32"/>
          <w:highlight w:val="none"/>
          <w:shd w:val="clear" w:color="auto" w:fill="FFFFFF"/>
          <w:lang w:val="zh-CN"/>
        </w:rPr>
        <w:t>年度，</w:t>
      </w:r>
      <w:r>
        <w:rPr>
          <w:rFonts w:hint="eastAsia" w:cs="Times New Roman"/>
          <w:color w:val="000000"/>
          <w:kern w:val="0"/>
          <w:szCs w:val="32"/>
          <w:highlight w:val="none"/>
          <w:shd w:val="clear" w:color="auto" w:fill="FFFFFF"/>
          <w:lang w:val="en-US" w:eastAsia="zh-CN"/>
        </w:rPr>
        <w:t>县退役军人事务局56个部门</w:t>
      </w:r>
      <w:r>
        <w:rPr>
          <w:rFonts w:hint="eastAsia" w:cs="Times New Roman"/>
          <w:color w:val="000000"/>
          <w:kern w:val="0"/>
          <w:szCs w:val="32"/>
          <w:highlight w:val="none"/>
          <w:shd w:val="clear" w:color="auto" w:fill="FFFFFF"/>
          <w:lang w:val="zh-CN"/>
        </w:rPr>
        <w:t>预算项目涉及</w:t>
      </w:r>
      <w:r>
        <w:rPr>
          <w:rFonts w:hint="eastAsia" w:cs="Times New Roman"/>
          <w:color w:val="000000"/>
          <w:kern w:val="0"/>
          <w:szCs w:val="32"/>
          <w:highlight w:val="none"/>
          <w:shd w:val="clear" w:color="auto" w:fill="FFFFFF"/>
          <w:lang w:val="zh-CN" w:eastAsia="zh-CN"/>
        </w:rPr>
        <w:t>数量指标60个</w:t>
      </w:r>
      <w:r>
        <w:rPr>
          <w:rFonts w:hint="eastAsia" w:cs="Times New Roman"/>
          <w:color w:val="000000"/>
          <w:kern w:val="0"/>
          <w:szCs w:val="32"/>
          <w:highlight w:val="none"/>
          <w:shd w:val="clear" w:color="auto" w:fill="FFFFFF"/>
          <w:lang w:val="zh-CN"/>
        </w:rPr>
        <w:t>，偏离度超过30%的数量指标共</w:t>
      </w:r>
      <w:r>
        <w:rPr>
          <w:rFonts w:hint="eastAsia" w:cs="Times New Roman"/>
          <w:color w:val="000000"/>
          <w:kern w:val="0"/>
          <w:szCs w:val="32"/>
          <w:highlight w:val="none"/>
          <w:shd w:val="clear" w:color="auto" w:fill="FFFFFF"/>
          <w:lang w:val="en-US" w:eastAsia="zh-CN"/>
        </w:rPr>
        <w:t>3</w:t>
      </w:r>
      <w:r>
        <w:rPr>
          <w:rFonts w:hint="eastAsia" w:cs="Times New Roman"/>
          <w:color w:val="000000"/>
          <w:kern w:val="0"/>
          <w:szCs w:val="32"/>
          <w:highlight w:val="none"/>
          <w:shd w:val="clear" w:color="auto" w:fill="FFFFFF"/>
          <w:lang w:val="zh-CN"/>
        </w:rPr>
        <w:t>个。</w:t>
      </w:r>
    </w:p>
    <w:p w14:paraId="2EA1FB88">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rPr>
      </w:pPr>
      <w:r>
        <w:rPr>
          <w:rFonts w:hint="eastAsia"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3</w:t>
      </w:r>
      <w:r>
        <w:rPr>
          <w:rFonts w:hint="eastAsia" w:cs="Times New Roman"/>
          <w:color w:val="000000"/>
          <w:kern w:val="0"/>
          <w:szCs w:val="32"/>
          <w:highlight w:val="none"/>
          <w:shd w:val="clear" w:color="auto" w:fill="FFFFFF"/>
          <w:lang w:val="zh-CN"/>
        </w:rPr>
        <w:t>）实现效果。</w:t>
      </w:r>
      <w:r>
        <w:rPr>
          <w:rFonts w:hint="eastAsia" w:cs="Times New Roman"/>
          <w:color w:val="000000"/>
          <w:kern w:val="0"/>
          <w:szCs w:val="32"/>
          <w:highlight w:val="none"/>
          <w:shd w:val="clear" w:color="auto" w:fill="FFFFFF"/>
          <w:lang w:val="en-US" w:eastAsia="zh-CN"/>
        </w:rPr>
        <w:t>2024年度，县退役军人事务局56个部门预算项目涉及效益指标93个（含满意度指标），完成效益指标93个，效益指标完成率100%。</w:t>
      </w:r>
    </w:p>
    <w:p w14:paraId="322A011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pPr>
      <w:r>
        <w:rPr>
          <w:rFonts w:hint="eastAsia" w:cs="Times New Roman"/>
          <w:color w:val="000000"/>
          <w:kern w:val="0"/>
          <w:szCs w:val="32"/>
          <w:highlight w:val="none"/>
          <w:shd w:val="clear" w:color="auto" w:fill="FFFFFF"/>
          <w:lang w:val="zh-CN" w:eastAsia="zh-CN"/>
        </w:rPr>
        <w:t>县退役军人事务局组织对2024年度一般公共预算、政府性基金预算安排的常年项目、阶段项目开展了绩效自评。</w:t>
      </w:r>
      <w:r>
        <w:rPr>
          <w:rFonts w:hint="eastAsia" w:cs="Times New Roman"/>
          <w:color w:val="auto"/>
          <w:kern w:val="0"/>
          <w:szCs w:val="32"/>
          <w:highlight w:val="none"/>
          <w:shd w:val="clear" w:color="auto" w:fill="FFFFFF"/>
          <w:lang w:val="zh-CN" w:eastAsia="zh-CN"/>
        </w:rPr>
        <w:t>2024年退役安置补助资金项目绩效自评得分为9</w:t>
      </w:r>
      <w:r>
        <w:rPr>
          <w:rFonts w:hint="eastAsia" w:cs="Times New Roman"/>
          <w:color w:val="auto"/>
          <w:kern w:val="0"/>
          <w:szCs w:val="32"/>
          <w:highlight w:val="none"/>
          <w:shd w:val="clear" w:color="auto" w:fill="FFFFFF"/>
          <w:lang w:val="en-US" w:eastAsia="zh-CN"/>
        </w:rPr>
        <w:t>7</w:t>
      </w:r>
      <w:r>
        <w:rPr>
          <w:rFonts w:hint="eastAsia" w:cs="Times New Roman"/>
          <w:color w:val="auto"/>
          <w:kern w:val="0"/>
          <w:szCs w:val="32"/>
          <w:highlight w:val="none"/>
          <w:shd w:val="clear" w:color="auto" w:fill="FFFFFF"/>
          <w:lang w:val="zh-CN" w:eastAsia="zh-CN"/>
        </w:rPr>
        <w:t>分，绩效自评综述：</w:t>
      </w:r>
      <w:r>
        <w:rPr>
          <w:rFonts w:hint="eastAsia" w:cs="Times New Roman"/>
          <w:color w:val="auto"/>
          <w:kern w:val="0"/>
          <w:szCs w:val="32"/>
          <w:highlight w:val="none"/>
          <w:shd w:val="clear" w:color="auto" w:fill="FFFFFF"/>
          <w:lang w:val="en-US" w:eastAsia="zh-CN"/>
        </w:rPr>
        <w:t>项目决策科学合理，管理制度基本健全，资金使用总体规范安全，各项补助资金基本按时足额发放到位，有效保障了退役军人的合法权益和基本生活需求，促进了部分退役军人就业创业，政策社会效益显著，服务对象满意度较高，基本实现了项目的预期目标</w:t>
      </w:r>
      <w:r>
        <w:rPr>
          <w:rFonts w:hint="eastAsia" w:cs="Times New Roman"/>
          <w:color w:val="auto"/>
          <w:kern w:val="0"/>
          <w:szCs w:val="32"/>
          <w:highlight w:val="none"/>
          <w:shd w:val="clear" w:color="auto" w:fill="FFFFFF"/>
          <w:lang w:val="zh-CN" w:eastAsia="zh-CN"/>
        </w:rPr>
        <w:t>。2024年优抚对象医疗补助资金</w:t>
      </w:r>
      <w:r>
        <w:rPr>
          <w:rFonts w:hint="eastAsia" w:cs="Times New Roman"/>
          <w:color w:val="auto"/>
          <w:kern w:val="0"/>
          <w:szCs w:val="32"/>
          <w:highlight w:val="none"/>
          <w:shd w:val="clear" w:color="auto" w:fill="FFFFFF"/>
          <w:lang w:val="en-US" w:eastAsia="zh-CN"/>
        </w:rPr>
        <w:t>项目自评得分为97分，</w:t>
      </w:r>
      <w:r>
        <w:rPr>
          <w:rFonts w:hint="eastAsia" w:cs="Times New Roman"/>
          <w:color w:val="auto"/>
          <w:kern w:val="0"/>
          <w:szCs w:val="32"/>
          <w:highlight w:val="none"/>
          <w:shd w:val="clear" w:color="auto" w:fill="FFFFFF"/>
          <w:lang w:val="zh-CN" w:eastAsia="zh-CN"/>
        </w:rPr>
        <w:t>绩效自评综述：项目基本实现政策目标，优抚对象住院费用实际报销比例达到标准，有效缓解医疗负担，取得了良好的经济效益和社会效益。2024年军队转业干部补助经费</w:t>
      </w:r>
      <w:r>
        <w:rPr>
          <w:rFonts w:hint="eastAsia" w:cs="Times New Roman"/>
          <w:color w:val="auto"/>
          <w:kern w:val="0"/>
          <w:szCs w:val="32"/>
          <w:highlight w:val="none"/>
          <w:shd w:val="clear" w:color="auto" w:fill="FFFFFF"/>
          <w:lang w:val="en-US" w:eastAsia="zh-CN"/>
        </w:rPr>
        <w:t>项目自评得分为97分，</w:t>
      </w:r>
      <w:r>
        <w:rPr>
          <w:rFonts w:hint="eastAsia" w:cs="Times New Roman"/>
          <w:color w:val="auto"/>
          <w:kern w:val="0"/>
          <w:szCs w:val="32"/>
          <w:highlight w:val="none"/>
          <w:shd w:val="clear" w:color="auto" w:fill="FFFFFF"/>
          <w:lang w:val="zh-CN" w:eastAsia="zh-CN"/>
        </w:rPr>
        <w:t>绩效自评综述：资金发放及时精准，基本实现政策目标；转业干部生活保障有效提升，社会反响良好。</w:t>
      </w:r>
      <w:r>
        <w:rPr>
          <w:rFonts w:hint="eastAsia" w:cs="Times New Roman"/>
          <w:color w:val="auto"/>
          <w:kern w:val="0"/>
          <w:szCs w:val="32"/>
          <w:highlight w:val="none"/>
          <w:shd w:val="clear" w:color="auto" w:fill="FFFFFF"/>
          <w:lang w:val="en-US" w:eastAsia="zh-CN"/>
        </w:rPr>
        <w:t>2024年</w:t>
      </w:r>
      <w:r>
        <w:rPr>
          <w:rFonts w:hint="eastAsia" w:cs="Times New Roman"/>
          <w:color w:val="auto"/>
          <w:kern w:val="0"/>
          <w:szCs w:val="32"/>
          <w:highlight w:val="none"/>
          <w:shd w:val="clear" w:color="auto" w:fill="FFFFFF"/>
          <w:lang w:val="zh-CN" w:eastAsia="zh-CN"/>
        </w:rPr>
        <w:t>优抚对象抚恤和生活补助经费</w:t>
      </w:r>
      <w:r>
        <w:rPr>
          <w:rFonts w:hint="eastAsia" w:cs="Times New Roman"/>
          <w:color w:val="auto"/>
          <w:kern w:val="0"/>
          <w:szCs w:val="32"/>
          <w:highlight w:val="none"/>
          <w:shd w:val="clear" w:color="auto" w:fill="FFFFFF"/>
          <w:lang w:val="en-US" w:eastAsia="zh-CN"/>
        </w:rPr>
        <w:t>项目自评得分为97分，</w:t>
      </w:r>
      <w:r>
        <w:rPr>
          <w:rFonts w:hint="eastAsia" w:cs="Times New Roman"/>
          <w:color w:val="auto"/>
          <w:kern w:val="0"/>
          <w:szCs w:val="32"/>
          <w:highlight w:val="none"/>
          <w:shd w:val="clear" w:color="auto" w:fill="FFFFFF"/>
          <w:lang w:val="zh-CN" w:eastAsia="zh-CN"/>
        </w:rPr>
        <w:t>绩效自评综述：通过项目的实施，让优抚对象等人员的基本生活得到有效保障，能有效解决优抚对象生活困难，取得了良好的社会效益。</w:t>
      </w:r>
    </w:p>
    <w:p w14:paraId="67C5971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pPr>
      <w:r>
        <w:rPr>
          <w:rFonts w:hint="eastAsia" w:cs="Times New Roman"/>
          <w:color w:val="auto"/>
          <w:kern w:val="0"/>
          <w:szCs w:val="32"/>
          <w:highlight w:val="none"/>
          <w:shd w:val="clear" w:color="auto" w:fill="FFFFFF"/>
          <w:lang w:val="zh-CN" w:eastAsia="zh-CN"/>
        </w:rPr>
        <w:t>2024年县退役军人事务局不涉及国有资本经营预算、债券资金、政府购买服务等重点领域的预算绩效管理工作。</w:t>
      </w:r>
    </w:p>
    <w:p w14:paraId="3581B2E3">
      <w:pPr>
        <w:keepNext w:val="0"/>
        <w:keepLines w:val="0"/>
        <w:pageBreakBefore w:val="0"/>
        <w:widowControl w:val="0"/>
        <w:kinsoku/>
        <w:wordWrap/>
        <w:overflowPunct/>
        <w:topLinePunct w:val="0"/>
        <w:autoSpaceDE/>
        <w:autoSpaceDN/>
        <w:bidi w:val="0"/>
        <w:snapToGrid w:val="0"/>
        <w:spacing w:line="570" w:lineRule="exact"/>
        <w:ind w:firstLine="643" w:firstLineChars="200"/>
        <w:textAlignment w:val="auto"/>
        <w:rPr>
          <w:rFonts w:hint="eastAsia" w:ascii="Times New Roman" w:hAnsi="Times New Roman" w:eastAsia="楷体_GB2312" w:cs="Times New Roman"/>
          <w:b/>
          <w:bCs/>
          <w:szCs w:val="32"/>
          <w:lang w:val="zh-CN"/>
        </w:rPr>
      </w:pPr>
      <w:r>
        <w:rPr>
          <w:rFonts w:hint="default" w:ascii="Times New Roman" w:hAnsi="Times New Roman" w:eastAsia="楷体_GB2312" w:cs="Times New Roman"/>
          <w:b/>
          <w:bCs/>
          <w:szCs w:val="32"/>
          <w:lang w:val="zh-CN"/>
        </w:rPr>
        <w:t>（</w:t>
      </w:r>
      <w:r>
        <w:rPr>
          <w:rFonts w:hint="eastAsia" w:eastAsia="楷体_GB2312" w:cs="Times New Roman"/>
          <w:b/>
          <w:bCs/>
          <w:szCs w:val="32"/>
          <w:lang w:val="en-US" w:eastAsia="zh-CN"/>
        </w:rPr>
        <w:t>三</w:t>
      </w:r>
      <w:r>
        <w:rPr>
          <w:rFonts w:hint="default" w:ascii="Times New Roman" w:hAnsi="Times New Roman" w:eastAsia="楷体_GB2312" w:cs="Times New Roman"/>
          <w:b/>
          <w:bCs/>
          <w:szCs w:val="32"/>
          <w:lang w:val="zh-CN"/>
        </w:rPr>
        <w:t>）绩效结果应用情况</w:t>
      </w:r>
    </w:p>
    <w:p w14:paraId="04CACD77">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en-US" w:eastAsia="zh-CN"/>
        </w:rPr>
        <w:t>1.</w:t>
      </w:r>
      <w:r>
        <w:rPr>
          <w:rFonts w:hint="eastAsia" w:cs="Times New Roman"/>
          <w:color w:val="000000"/>
          <w:kern w:val="0"/>
          <w:szCs w:val="32"/>
          <w:highlight w:val="none"/>
          <w:shd w:val="clear" w:color="auto" w:fill="FFFFFF"/>
          <w:lang w:val="zh-CN" w:eastAsia="zh-CN"/>
        </w:rPr>
        <w:t>内部应用</w:t>
      </w:r>
      <w:r>
        <w:rPr>
          <w:rFonts w:hint="eastAsia" w:cs="Times New Roman"/>
          <w:color w:val="000000"/>
          <w:kern w:val="0"/>
          <w:szCs w:val="32"/>
          <w:highlight w:val="none"/>
          <w:shd w:val="clear" w:color="auto" w:fill="FFFFFF"/>
          <w:lang w:val="en-US" w:eastAsia="zh-CN"/>
        </w:rPr>
        <w:t>情况</w:t>
      </w:r>
      <w:r>
        <w:rPr>
          <w:rFonts w:hint="eastAsia" w:cs="Times New Roman"/>
          <w:color w:val="000000"/>
          <w:kern w:val="0"/>
          <w:szCs w:val="32"/>
          <w:highlight w:val="none"/>
          <w:shd w:val="clear" w:color="auto" w:fill="FFFFFF"/>
          <w:lang w:val="zh-CN" w:eastAsia="zh-CN"/>
        </w:rPr>
        <w:t>。</w:t>
      </w:r>
      <w:r>
        <w:rPr>
          <w:rFonts w:hint="eastAsia" w:cs="Times New Roman"/>
          <w:color w:val="000000"/>
          <w:kern w:val="0"/>
          <w:szCs w:val="32"/>
          <w:highlight w:val="none"/>
          <w:shd w:val="clear" w:color="auto" w:fill="FFFFFF"/>
          <w:lang w:val="en-US" w:eastAsia="zh-CN"/>
        </w:rPr>
        <w:t>将预算绩效评价结果作为完善制度、改进管理的依据，进一步健全规章制度，完善预算管理，增强支出责任，规范资金使用，提高资金使用效率</w:t>
      </w:r>
      <w:r>
        <w:rPr>
          <w:rFonts w:hint="eastAsia" w:cs="Times New Roman"/>
          <w:color w:val="000000"/>
          <w:kern w:val="0"/>
          <w:szCs w:val="32"/>
          <w:highlight w:val="none"/>
          <w:shd w:val="clear" w:color="auto" w:fill="FFFFFF"/>
          <w:lang w:val="zh-CN" w:eastAsia="zh-CN"/>
        </w:rPr>
        <w:t>。</w:t>
      </w:r>
    </w:p>
    <w:p w14:paraId="732ECED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eastAsia="zh-CN"/>
        </w:rPr>
        <w:t>信息公开</w:t>
      </w:r>
      <w:r>
        <w:rPr>
          <w:rFonts w:hint="eastAsia" w:cs="Times New Roman"/>
          <w:color w:val="000000"/>
          <w:kern w:val="0"/>
          <w:szCs w:val="32"/>
          <w:highlight w:val="none"/>
          <w:shd w:val="clear" w:color="auto" w:fill="FFFFFF"/>
          <w:lang w:val="en-US" w:eastAsia="zh-CN"/>
        </w:rPr>
        <w:t>情况</w:t>
      </w:r>
      <w:r>
        <w:rPr>
          <w:rFonts w:hint="eastAsia" w:cs="Times New Roman"/>
          <w:color w:val="000000"/>
          <w:kern w:val="0"/>
          <w:szCs w:val="32"/>
          <w:highlight w:val="none"/>
          <w:shd w:val="clear" w:color="auto" w:fill="FFFFFF"/>
          <w:lang w:val="zh-CN" w:eastAsia="zh-CN"/>
        </w:rPr>
        <w:t>。</w:t>
      </w:r>
      <w:r>
        <w:rPr>
          <w:rFonts w:hint="eastAsia" w:cs="Times New Roman"/>
          <w:color w:val="000000"/>
          <w:kern w:val="0"/>
          <w:szCs w:val="32"/>
          <w:highlight w:val="none"/>
          <w:shd w:val="clear" w:color="auto" w:fill="FFFFFF"/>
          <w:lang w:val="en-US" w:eastAsia="zh-CN"/>
        </w:rPr>
        <w:t>县退役军人事务局</w:t>
      </w:r>
      <w:r>
        <w:rPr>
          <w:rFonts w:hint="eastAsia" w:cs="Times New Roman"/>
          <w:color w:val="000000"/>
          <w:kern w:val="0"/>
          <w:szCs w:val="32"/>
          <w:highlight w:val="none"/>
          <w:shd w:val="clear" w:color="auto" w:fill="FFFFFF"/>
          <w:lang w:val="zh-CN" w:eastAsia="zh-CN"/>
        </w:rPr>
        <w:t>整体绩效目标、项目绩效目标等非涉密项目的绩效相关情况，随部门预（决）算按财政</w:t>
      </w:r>
      <w:r>
        <w:rPr>
          <w:rFonts w:hint="eastAsia" w:cs="Times New Roman"/>
          <w:color w:val="000000"/>
          <w:kern w:val="0"/>
          <w:szCs w:val="32"/>
          <w:highlight w:val="none"/>
          <w:shd w:val="clear" w:color="auto" w:fill="FFFFFF"/>
          <w:lang w:val="en-US" w:eastAsia="zh-CN"/>
        </w:rPr>
        <w:t>局</w:t>
      </w:r>
      <w:r>
        <w:rPr>
          <w:rFonts w:hint="eastAsia" w:cs="Times New Roman"/>
          <w:color w:val="000000"/>
          <w:kern w:val="0"/>
          <w:szCs w:val="32"/>
          <w:highlight w:val="none"/>
          <w:shd w:val="clear" w:color="auto" w:fill="FFFFFF"/>
          <w:lang w:val="zh-CN" w:eastAsia="zh-CN"/>
        </w:rPr>
        <w:t>要求在</w:t>
      </w:r>
      <w:r>
        <w:rPr>
          <w:rFonts w:hint="eastAsia" w:cs="Times New Roman"/>
          <w:color w:val="000000"/>
          <w:kern w:val="0"/>
          <w:szCs w:val="32"/>
          <w:highlight w:val="none"/>
          <w:shd w:val="clear" w:color="auto" w:fill="FFFFFF"/>
          <w:lang w:val="en-US" w:eastAsia="zh-CN"/>
        </w:rPr>
        <w:t>渠县人民政府</w:t>
      </w:r>
      <w:r>
        <w:rPr>
          <w:rFonts w:hint="eastAsia" w:cs="Times New Roman"/>
          <w:color w:val="000000"/>
          <w:kern w:val="0"/>
          <w:szCs w:val="32"/>
          <w:highlight w:val="none"/>
          <w:shd w:val="clear" w:color="auto" w:fill="FFFFFF"/>
          <w:lang w:val="zh-CN" w:eastAsia="zh-CN"/>
        </w:rPr>
        <w:t>门户网站上公开。</w:t>
      </w:r>
    </w:p>
    <w:p w14:paraId="0F47066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zh-CN"/>
        </w:rPr>
      </w:pPr>
      <w:r>
        <w:rPr>
          <w:rFonts w:hint="eastAsia" w:cs="Times New Roman"/>
          <w:color w:val="000000"/>
          <w:kern w:val="0"/>
          <w:szCs w:val="32"/>
          <w:highlight w:val="none"/>
          <w:shd w:val="clear" w:color="auto" w:fill="FFFFFF"/>
          <w:lang w:val="en-US" w:eastAsia="zh-CN"/>
        </w:rPr>
        <w:t>3.</w:t>
      </w:r>
      <w:r>
        <w:rPr>
          <w:rFonts w:hint="default" w:cs="Times New Roman"/>
          <w:color w:val="000000"/>
          <w:kern w:val="0"/>
          <w:szCs w:val="32"/>
          <w:highlight w:val="none"/>
          <w:shd w:val="clear" w:color="auto" w:fill="FFFFFF"/>
          <w:lang w:val="zh-CN" w:eastAsia="zh-CN"/>
        </w:rPr>
        <w:t>整改反馈</w:t>
      </w:r>
      <w:r>
        <w:rPr>
          <w:rFonts w:hint="eastAsia" w:cs="Times New Roman"/>
          <w:color w:val="000000"/>
          <w:kern w:val="0"/>
          <w:szCs w:val="32"/>
          <w:highlight w:val="none"/>
          <w:shd w:val="clear" w:color="auto" w:fill="FFFFFF"/>
          <w:lang w:val="en-US" w:eastAsia="zh-CN"/>
        </w:rPr>
        <w:t>情况</w:t>
      </w:r>
      <w:r>
        <w:rPr>
          <w:rFonts w:hint="eastAsia" w:cs="Times New Roman"/>
          <w:color w:val="000000"/>
          <w:kern w:val="0"/>
          <w:szCs w:val="32"/>
          <w:highlight w:val="none"/>
          <w:shd w:val="clear" w:color="auto" w:fill="FFFFFF"/>
          <w:lang w:val="zh-CN" w:eastAsia="zh-CN"/>
        </w:rPr>
        <w:t>。</w:t>
      </w:r>
      <w:r>
        <w:rPr>
          <w:rFonts w:hint="eastAsia" w:cs="Times New Roman"/>
          <w:color w:val="000000"/>
          <w:kern w:val="0"/>
          <w:szCs w:val="32"/>
          <w:highlight w:val="none"/>
          <w:shd w:val="clear" w:color="auto" w:fill="FFFFFF"/>
          <w:lang w:val="en-US" w:eastAsia="zh-CN"/>
        </w:rPr>
        <w:t>根据项目绩效自行监控结果，对预期值和完成值偏差度过大的项目绩效目标及时向财政局申请调整。针对年中追加项目牵头组织、指导责任股室设定项目绩效目标并进行动态监控，做到绩效监控全覆盖</w:t>
      </w:r>
      <w:r>
        <w:rPr>
          <w:rFonts w:hint="eastAsia" w:cs="Times New Roman"/>
          <w:color w:val="000000"/>
          <w:kern w:val="0"/>
          <w:szCs w:val="32"/>
          <w:highlight w:val="none"/>
          <w:shd w:val="clear" w:color="auto" w:fill="FFFFFF"/>
          <w:lang w:val="zh-CN" w:eastAsia="zh-CN"/>
        </w:rPr>
        <w:t>。</w:t>
      </w:r>
    </w:p>
    <w:p w14:paraId="55ED63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lang w:eastAsia="zh-CN"/>
        </w:rPr>
        <w:t>四、</w:t>
      </w:r>
      <w:r>
        <w:rPr>
          <w:rFonts w:hint="default" w:ascii="Times New Roman" w:hAnsi="Times New Roman" w:eastAsia="黑体" w:cs="Times New Roman"/>
          <w:color w:val="000000"/>
          <w:kern w:val="0"/>
          <w:szCs w:val="32"/>
          <w:highlight w:val="none"/>
          <w:shd w:val="clear" w:color="auto" w:fill="FFFFFF"/>
        </w:rPr>
        <w:t>评价结论及建议</w:t>
      </w:r>
    </w:p>
    <w:p w14:paraId="5F36346F">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（一）评价结论</w:t>
      </w:r>
    </w:p>
    <w:p w14:paraId="425DC20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县退役军人事务局2024年度绩效自评得分为91.81分。从总体上看，县退役军人事务局部门整体绩效情况良好，基本完成了年初设定的绩效目标。从各个绩效自评指标来看，在预算管理、履职效能、财务管理、资产管理、采购管理以及项目管理方面完成情况良好。</w:t>
      </w:r>
    </w:p>
    <w:p w14:paraId="65485FAA">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二</w:t>
      </w:r>
      <w:r>
        <w:rPr>
          <w:rFonts w:hint="default" w:ascii="Times New Roman" w:hAnsi="Times New Roman" w:eastAsia="楷体_GB2312" w:cs="Times New Roman"/>
          <w:b/>
          <w:bCs/>
          <w:color w:val="000000"/>
          <w:kern w:val="0"/>
          <w:szCs w:val="32"/>
          <w:highlight w:val="none"/>
          <w:shd w:val="clear" w:color="auto" w:fill="FFFFFF"/>
          <w:lang w:val="zh-CN"/>
        </w:rPr>
        <w:t>）存在问题</w:t>
      </w:r>
    </w:p>
    <w:p w14:paraId="3BE7968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1.财务和业务股在预算绩效管理工作中沟通不够，协调配合程度不高，难以形成管理合力。</w:t>
      </w:r>
    </w:p>
    <w:p w14:paraId="6D39427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2.制约作用还未得到充分体现，推进单位长效优化发展的作用还有待提高。</w:t>
      </w:r>
    </w:p>
    <w:p w14:paraId="5CDC6B3B">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eastAsia="zh-CN"/>
        </w:rPr>
        <w:t>（三</w:t>
      </w:r>
      <w:r>
        <w:rPr>
          <w:rFonts w:hint="eastAsia" w:eastAsia="楷体_GB2312" w:cs="Times New Roman"/>
          <w:b/>
          <w:bCs/>
          <w:color w:val="000000"/>
          <w:kern w:val="0"/>
          <w:szCs w:val="32"/>
          <w:highlight w:val="none"/>
          <w:shd w:val="clear" w:color="auto" w:fill="FFFFFF"/>
          <w:lang w:val="zh-CN" w:eastAsia="zh-CN"/>
        </w:rPr>
        <w:t>）</w:t>
      </w:r>
      <w:r>
        <w:rPr>
          <w:rFonts w:hint="default" w:ascii="Times New Roman" w:hAnsi="Times New Roman" w:eastAsia="楷体_GB2312" w:cs="Times New Roman"/>
          <w:b/>
          <w:bCs/>
          <w:color w:val="000000"/>
          <w:kern w:val="0"/>
          <w:szCs w:val="32"/>
          <w:highlight w:val="none"/>
          <w:shd w:val="clear" w:color="auto" w:fill="FFFFFF"/>
          <w:lang w:val="zh-CN" w:eastAsia="zh-CN"/>
        </w:rPr>
        <w:t>改进建议</w:t>
      </w:r>
      <w:bookmarkStart w:id="2" w:name="_Hlk110546638"/>
    </w:p>
    <w:p w14:paraId="4471916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1.通过加强培训和宣传的方式明确预算绩效管理责任分工与工作内容，真正提升单位全员参与水平，全面推进预算绩效管理。</w:t>
      </w:r>
    </w:p>
    <w:p w14:paraId="0D9EEAB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2.充分落实预算绩效管理要求，强化绩效目标引领和绩效结果应用两大支撑，强化预算绩效考评结果的严格落实，以结果促效果，实现长效优化、逐年提升单位预算绩效管理水平的目的。</w:t>
      </w:r>
    </w:p>
    <w:p w14:paraId="058543D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cs="Times New Roman"/>
          <w:color w:val="000000"/>
          <w:kern w:val="0"/>
          <w:szCs w:val="32"/>
          <w:highlight w:val="none"/>
          <w:shd w:val="clear" w:color="auto" w:fill="FFFFFF"/>
          <w:lang w:val="en" w:eastAsia="zh-CN"/>
        </w:rPr>
      </w:pPr>
    </w:p>
    <w:bookmarkEnd w:id="2"/>
    <w:p w14:paraId="655FF43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zh-CN" w:eastAsia="zh-CN"/>
        </w:rPr>
        <w:t>附件</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eastAsia="zh-CN"/>
        </w:rPr>
        <w:t>部门预算项目</w:t>
      </w:r>
      <w:r>
        <w:rPr>
          <w:rFonts w:hint="eastAsia" w:cs="Times New Roman"/>
          <w:color w:val="000000"/>
          <w:kern w:val="0"/>
          <w:szCs w:val="32"/>
          <w:highlight w:val="none"/>
          <w:shd w:val="clear" w:color="auto" w:fill="FFFFFF"/>
          <w:lang w:val="en-US" w:eastAsia="zh-CN"/>
        </w:rPr>
        <w:t>支出</w:t>
      </w:r>
      <w:r>
        <w:rPr>
          <w:rFonts w:hint="default" w:cs="Times New Roman"/>
          <w:color w:val="000000"/>
          <w:kern w:val="0"/>
          <w:szCs w:val="32"/>
          <w:highlight w:val="none"/>
          <w:shd w:val="clear" w:color="auto" w:fill="FFFFFF"/>
          <w:lang w:val="zh-CN" w:eastAsia="zh-CN"/>
        </w:rPr>
        <w:t>绩效</w:t>
      </w:r>
      <w:r>
        <w:rPr>
          <w:rFonts w:hint="eastAsia" w:cs="Times New Roman"/>
          <w:color w:val="000000"/>
          <w:kern w:val="0"/>
          <w:szCs w:val="32"/>
          <w:highlight w:val="none"/>
          <w:shd w:val="clear" w:color="auto" w:fill="FFFFFF"/>
          <w:lang w:val="en-US" w:eastAsia="zh-CN"/>
        </w:rPr>
        <w:t>评价</w:t>
      </w:r>
      <w:r>
        <w:rPr>
          <w:rFonts w:hint="default" w:cs="Times New Roman"/>
          <w:color w:val="000000"/>
          <w:kern w:val="0"/>
          <w:szCs w:val="32"/>
          <w:highlight w:val="none"/>
          <w:shd w:val="clear" w:color="auto" w:fill="FFFFFF"/>
          <w:lang w:val="zh-CN" w:eastAsia="zh-CN"/>
        </w:rPr>
        <w:t>表</w:t>
      </w:r>
    </w:p>
    <w:p w14:paraId="79BCD28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left"/>
        <w:textAlignment w:val="auto"/>
        <w:outlineLvl w:val="9"/>
        <w:rPr>
          <w:rFonts w:hint="eastAsia"/>
          <w:lang w:val="en" w:eastAsia="zh-CN"/>
        </w:rPr>
      </w:pPr>
      <w:r>
        <w:rPr>
          <w:rFonts w:hint="eastAsia" w:cs="Times New Roman"/>
          <w:color w:val="000000"/>
          <w:kern w:val="0"/>
          <w:szCs w:val="32"/>
          <w:highlight w:val="none"/>
          <w:shd w:val="clear" w:color="auto" w:fill="FFFFFF"/>
          <w:lang w:val="en-US" w:eastAsia="zh-CN"/>
        </w:rPr>
        <w:t xml:space="preserve">     </w:t>
      </w:r>
    </w:p>
    <w:p w14:paraId="4FB88E8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SA"/>
        </w:rPr>
      </w:pPr>
    </w:p>
    <w:sectPr>
      <w:headerReference r:id="rId3" w:type="default"/>
      <w:footerReference r:id="rId4" w:type="default"/>
      <w:pgSz w:w="11906" w:h="16838"/>
      <w:pgMar w:top="2098" w:right="1474" w:bottom="1984" w:left="1587"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A46275-4262-48D9-B2E2-751783C16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FC15369-33C5-4F48-A6F7-705916443F07}"/>
  </w:font>
  <w:font w:name="仿宋">
    <w:panose1 w:val="02010609060101010101"/>
    <w:charset w:val="86"/>
    <w:family w:val="auto"/>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E0000" w:usb2="00000000" w:usb3="00000000" w:csb0="00040000" w:csb1="00000000"/>
    <w:embedRegular r:id="rId3" w:fontKey="{5B37A28B-5859-47D5-B2E2-D977B59C8DDD}"/>
  </w:font>
  <w:font w:name="楷体_GB2312">
    <w:panose1 w:val="02010609030101010101"/>
    <w:charset w:val="86"/>
    <w:family w:val="auto"/>
    <w:pitch w:val="default"/>
    <w:sig w:usb0="00000001" w:usb1="080E0000" w:usb2="00000000" w:usb3="00000000" w:csb0="00040000" w:csb1="00000000"/>
    <w:embedRegular r:id="rId4" w:fontKey="{2AD504E8-2D57-44CC-960E-CEF14ED14AD8}"/>
  </w:font>
  <w:font w:name="方正仿宋_GBK">
    <w:panose1 w:val="03000509000000000000"/>
    <w:charset w:val="86"/>
    <w:family w:val="auto"/>
    <w:pitch w:val="default"/>
    <w:sig w:usb0="00000001" w:usb1="080E0000" w:usb2="00000000" w:usb3="00000000" w:csb0="00040000" w:csb1="00000000"/>
    <w:embedRegular r:id="rId5" w:fontKey="{960CA989-A169-485D-9524-F70C949C5B4E}"/>
  </w:font>
  <w:font w:name="方正仿宋_GB2312">
    <w:panose1 w:val="02000000000000000000"/>
    <w:charset w:val="86"/>
    <w:family w:val="auto"/>
    <w:pitch w:val="default"/>
    <w:sig w:usb0="A00002BF" w:usb1="184F6CFA" w:usb2="00000012" w:usb3="00000000" w:csb0="00040001" w:csb1="00000000"/>
    <w:embedRegular r:id="rId6" w:fontKey="{4B454656-1170-4E49-B59D-ABA5A7A598CD}"/>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FA0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3DE33">
                          <w:pPr>
                            <w:pStyle w:val="8"/>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2F87082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D3DE33">
                    <w:pPr>
                      <w:pStyle w:val="8"/>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2F87082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E0C1">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MjFjYmYxNWRlMWM2N2ZlNjA1NDE4NDc1NDkwOTY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1550"/>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D10E6"/>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1F65"/>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1103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635D2"/>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7C7276"/>
    <w:rsid w:val="02301FCF"/>
    <w:rsid w:val="02A1111E"/>
    <w:rsid w:val="02A67A28"/>
    <w:rsid w:val="032C75B2"/>
    <w:rsid w:val="03761C79"/>
    <w:rsid w:val="04290777"/>
    <w:rsid w:val="043B2EAD"/>
    <w:rsid w:val="05373674"/>
    <w:rsid w:val="056B1570"/>
    <w:rsid w:val="05704DD8"/>
    <w:rsid w:val="064B4F40"/>
    <w:rsid w:val="07E202EE"/>
    <w:rsid w:val="08FE3363"/>
    <w:rsid w:val="095A7B28"/>
    <w:rsid w:val="098565CE"/>
    <w:rsid w:val="09F63AFE"/>
    <w:rsid w:val="0A586566"/>
    <w:rsid w:val="0AEB73DB"/>
    <w:rsid w:val="0B3D7C1F"/>
    <w:rsid w:val="0DC31556"/>
    <w:rsid w:val="0DC7755F"/>
    <w:rsid w:val="0F22295F"/>
    <w:rsid w:val="0F3C218A"/>
    <w:rsid w:val="0F672DA8"/>
    <w:rsid w:val="0F9B0CA3"/>
    <w:rsid w:val="102173FB"/>
    <w:rsid w:val="1043348D"/>
    <w:rsid w:val="10F13A5C"/>
    <w:rsid w:val="110B3874"/>
    <w:rsid w:val="11E905CC"/>
    <w:rsid w:val="1224683B"/>
    <w:rsid w:val="12296A3A"/>
    <w:rsid w:val="12DE5A49"/>
    <w:rsid w:val="13E257B4"/>
    <w:rsid w:val="1413052D"/>
    <w:rsid w:val="14FC21E4"/>
    <w:rsid w:val="15C03212"/>
    <w:rsid w:val="16010C3D"/>
    <w:rsid w:val="17487963"/>
    <w:rsid w:val="17E527DE"/>
    <w:rsid w:val="18E436BB"/>
    <w:rsid w:val="19207EF9"/>
    <w:rsid w:val="193D71F3"/>
    <w:rsid w:val="19F3005A"/>
    <w:rsid w:val="1A3D6143"/>
    <w:rsid w:val="1A732F49"/>
    <w:rsid w:val="1A90237D"/>
    <w:rsid w:val="1ACD2659"/>
    <w:rsid w:val="1ADC289C"/>
    <w:rsid w:val="1B972C67"/>
    <w:rsid w:val="1BD603AA"/>
    <w:rsid w:val="1C013801"/>
    <w:rsid w:val="1CFF6D16"/>
    <w:rsid w:val="1D226EEA"/>
    <w:rsid w:val="1DFD8D3B"/>
    <w:rsid w:val="1ECA608C"/>
    <w:rsid w:val="1EF5217E"/>
    <w:rsid w:val="1F136AA8"/>
    <w:rsid w:val="1FA63478"/>
    <w:rsid w:val="1FB79DC9"/>
    <w:rsid w:val="1FBFC3F2"/>
    <w:rsid w:val="1FFFE033"/>
    <w:rsid w:val="209E05F3"/>
    <w:rsid w:val="217F0425"/>
    <w:rsid w:val="21851C5F"/>
    <w:rsid w:val="218940D0"/>
    <w:rsid w:val="22951078"/>
    <w:rsid w:val="23E97DD8"/>
    <w:rsid w:val="241646BB"/>
    <w:rsid w:val="2435126F"/>
    <w:rsid w:val="24A361D8"/>
    <w:rsid w:val="25047A59"/>
    <w:rsid w:val="26301CEE"/>
    <w:rsid w:val="263434C1"/>
    <w:rsid w:val="26396DF4"/>
    <w:rsid w:val="265F25D3"/>
    <w:rsid w:val="26B118F2"/>
    <w:rsid w:val="26C32B62"/>
    <w:rsid w:val="26DD00C8"/>
    <w:rsid w:val="279862A6"/>
    <w:rsid w:val="27BD02CA"/>
    <w:rsid w:val="27F352A6"/>
    <w:rsid w:val="28CD1A76"/>
    <w:rsid w:val="28CF1C92"/>
    <w:rsid w:val="28E76FDC"/>
    <w:rsid w:val="29136553"/>
    <w:rsid w:val="29385A89"/>
    <w:rsid w:val="2A1262DA"/>
    <w:rsid w:val="2A574170"/>
    <w:rsid w:val="2A677CA8"/>
    <w:rsid w:val="2A831BEF"/>
    <w:rsid w:val="2B405CF9"/>
    <w:rsid w:val="2B9219BC"/>
    <w:rsid w:val="2BEF61A7"/>
    <w:rsid w:val="2C9F7BCD"/>
    <w:rsid w:val="2CF41CC7"/>
    <w:rsid w:val="2D527252"/>
    <w:rsid w:val="2D6329A9"/>
    <w:rsid w:val="2D746964"/>
    <w:rsid w:val="2DDC1740"/>
    <w:rsid w:val="2DE628C9"/>
    <w:rsid w:val="2E2948CC"/>
    <w:rsid w:val="2E556795"/>
    <w:rsid w:val="2E6469D8"/>
    <w:rsid w:val="2E956646"/>
    <w:rsid w:val="2EA96AE1"/>
    <w:rsid w:val="2EAE55F2"/>
    <w:rsid w:val="2EDF4302"/>
    <w:rsid w:val="2EFE1A04"/>
    <w:rsid w:val="2F0A3A24"/>
    <w:rsid w:val="307373A7"/>
    <w:rsid w:val="31132938"/>
    <w:rsid w:val="314A45AB"/>
    <w:rsid w:val="329F456F"/>
    <w:rsid w:val="3355074A"/>
    <w:rsid w:val="33EF143A"/>
    <w:rsid w:val="349E4B2E"/>
    <w:rsid w:val="34EE6CC1"/>
    <w:rsid w:val="35175EB0"/>
    <w:rsid w:val="35BBF80F"/>
    <w:rsid w:val="35BF4E3C"/>
    <w:rsid w:val="35CF507F"/>
    <w:rsid w:val="363B2715"/>
    <w:rsid w:val="36A66B6B"/>
    <w:rsid w:val="373D426B"/>
    <w:rsid w:val="37D86D09"/>
    <w:rsid w:val="38637D01"/>
    <w:rsid w:val="386817BB"/>
    <w:rsid w:val="388A2AD4"/>
    <w:rsid w:val="38BE2A68"/>
    <w:rsid w:val="38CA7D80"/>
    <w:rsid w:val="390406F2"/>
    <w:rsid w:val="39124CF9"/>
    <w:rsid w:val="391979BC"/>
    <w:rsid w:val="39335925"/>
    <w:rsid w:val="39467462"/>
    <w:rsid w:val="394F0285"/>
    <w:rsid w:val="39614A70"/>
    <w:rsid w:val="39C80763"/>
    <w:rsid w:val="3A1E65D5"/>
    <w:rsid w:val="3A254F27"/>
    <w:rsid w:val="3A3C4CAD"/>
    <w:rsid w:val="3A7C154E"/>
    <w:rsid w:val="3AFB2473"/>
    <w:rsid w:val="3B736F08"/>
    <w:rsid w:val="3BC44F5A"/>
    <w:rsid w:val="3BE3D531"/>
    <w:rsid w:val="3D431A40"/>
    <w:rsid w:val="3D6A3716"/>
    <w:rsid w:val="3E241CE0"/>
    <w:rsid w:val="3ED74FA5"/>
    <w:rsid w:val="3EFF42CA"/>
    <w:rsid w:val="3F620D12"/>
    <w:rsid w:val="3FD140EA"/>
    <w:rsid w:val="3FD5AF3D"/>
    <w:rsid w:val="3FE05414"/>
    <w:rsid w:val="3FFED8BE"/>
    <w:rsid w:val="3FFF43BB"/>
    <w:rsid w:val="40FE2CBD"/>
    <w:rsid w:val="414745DB"/>
    <w:rsid w:val="41686388"/>
    <w:rsid w:val="418D5DEE"/>
    <w:rsid w:val="426D00FA"/>
    <w:rsid w:val="430734D1"/>
    <w:rsid w:val="433DCF8E"/>
    <w:rsid w:val="439E42E3"/>
    <w:rsid w:val="4484797D"/>
    <w:rsid w:val="45107462"/>
    <w:rsid w:val="45B918A8"/>
    <w:rsid w:val="45CC5137"/>
    <w:rsid w:val="45E61401"/>
    <w:rsid w:val="45FF973D"/>
    <w:rsid w:val="46001285"/>
    <w:rsid w:val="464253F9"/>
    <w:rsid w:val="46F012F9"/>
    <w:rsid w:val="47550EBA"/>
    <w:rsid w:val="475E2707"/>
    <w:rsid w:val="477A0590"/>
    <w:rsid w:val="478C2DB8"/>
    <w:rsid w:val="47E32C0C"/>
    <w:rsid w:val="47E64B81"/>
    <w:rsid w:val="481E3C44"/>
    <w:rsid w:val="48873598"/>
    <w:rsid w:val="48A033D2"/>
    <w:rsid w:val="494B6CBB"/>
    <w:rsid w:val="4A062BE2"/>
    <w:rsid w:val="4A092BD6"/>
    <w:rsid w:val="4B8C4E7D"/>
    <w:rsid w:val="4BBA0C38"/>
    <w:rsid w:val="4BF7E09D"/>
    <w:rsid w:val="4CC56D84"/>
    <w:rsid w:val="4CE018A9"/>
    <w:rsid w:val="4D085E32"/>
    <w:rsid w:val="4D1E35BD"/>
    <w:rsid w:val="4D607212"/>
    <w:rsid w:val="4D826A23"/>
    <w:rsid w:val="4EA019A4"/>
    <w:rsid w:val="4F9D2F68"/>
    <w:rsid w:val="4FD55530"/>
    <w:rsid w:val="503C735D"/>
    <w:rsid w:val="5095081C"/>
    <w:rsid w:val="51053BF3"/>
    <w:rsid w:val="5224454D"/>
    <w:rsid w:val="53110C93"/>
    <w:rsid w:val="53A414A2"/>
    <w:rsid w:val="53BB74FC"/>
    <w:rsid w:val="544D5DC2"/>
    <w:rsid w:val="54574766"/>
    <w:rsid w:val="552A3C28"/>
    <w:rsid w:val="55A15E16"/>
    <w:rsid w:val="55C52AA8"/>
    <w:rsid w:val="55FDDF92"/>
    <w:rsid w:val="55FFBC03"/>
    <w:rsid w:val="562B7AC3"/>
    <w:rsid w:val="56824B56"/>
    <w:rsid w:val="568F31E4"/>
    <w:rsid w:val="56CDA72E"/>
    <w:rsid w:val="56EF6ED8"/>
    <w:rsid w:val="5726041F"/>
    <w:rsid w:val="574161E5"/>
    <w:rsid w:val="575136EE"/>
    <w:rsid w:val="576F5916"/>
    <w:rsid w:val="577FDAE2"/>
    <w:rsid w:val="57B36157"/>
    <w:rsid w:val="57FBE2C7"/>
    <w:rsid w:val="588673C8"/>
    <w:rsid w:val="59367040"/>
    <w:rsid w:val="593A6404"/>
    <w:rsid w:val="5A470DD9"/>
    <w:rsid w:val="5B2E68FC"/>
    <w:rsid w:val="5B335734"/>
    <w:rsid w:val="5B7F322F"/>
    <w:rsid w:val="5BC30933"/>
    <w:rsid w:val="5BCAB023"/>
    <w:rsid w:val="5BCE7A03"/>
    <w:rsid w:val="5C62639E"/>
    <w:rsid w:val="5C735F42"/>
    <w:rsid w:val="5C7614BE"/>
    <w:rsid w:val="5C974299"/>
    <w:rsid w:val="5D2F14BF"/>
    <w:rsid w:val="5DBE6BD8"/>
    <w:rsid w:val="5DBF512A"/>
    <w:rsid w:val="5DCD7847"/>
    <w:rsid w:val="5DDA9B94"/>
    <w:rsid w:val="5E3A7A9D"/>
    <w:rsid w:val="5EAA39B6"/>
    <w:rsid w:val="5EAB810D"/>
    <w:rsid w:val="5EFF9DA6"/>
    <w:rsid w:val="5F021772"/>
    <w:rsid w:val="5F7751B9"/>
    <w:rsid w:val="5F9F7232"/>
    <w:rsid w:val="5F9F9588"/>
    <w:rsid w:val="5FBD32D2"/>
    <w:rsid w:val="5FD450B0"/>
    <w:rsid w:val="5FEF60CD"/>
    <w:rsid w:val="5FF53085"/>
    <w:rsid w:val="5FFB203D"/>
    <w:rsid w:val="5FFB8CF9"/>
    <w:rsid w:val="6025396A"/>
    <w:rsid w:val="60432042"/>
    <w:rsid w:val="607B17DC"/>
    <w:rsid w:val="60EA04E2"/>
    <w:rsid w:val="60FD6695"/>
    <w:rsid w:val="61C84EF5"/>
    <w:rsid w:val="61D80564"/>
    <w:rsid w:val="61E0223F"/>
    <w:rsid w:val="61F54E8E"/>
    <w:rsid w:val="622163B3"/>
    <w:rsid w:val="62257C51"/>
    <w:rsid w:val="63AA2F5C"/>
    <w:rsid w:val="63DBAF21"/>
    <w:rsid w:val="646661E3"/>
    <w:rsid w:val="648F6561"/>
    <w:rsid w:val="65132E65"/>
    <w:rsid w:val="65BC3D94"/>
    <w:rsid w:val="6636451A"/>
    <w:rsid w:val="668A4527"/>
    <w:rsid w:val="67D37DE7"/>
    <w:rsid w:val="67DE80AA"/>
    <w:rsid w:val="697A7955"/>
    <w:rsid w:val="697E3B47"/>
    <w:rsid w:val="69BF132E"/>
    <w:rsid w:val="6A4B0A5C"/>
    <w:rsid w:val="6A7A48B2"/>
    <w:rsid w:val="6AC51274"/>
    <w:rsid w:val="6AEA4DC6"/>
    <w:rsid w:val="6BD05AAD"/>
    <w:rsid w:val="6BFEE5F3"/>
    <w:rsid w:val="6C353187"/>
    <w:rsid w:val="6C465394"/>
    <w:rsid w:val="6C494E84"/>
    <w:rsid w:val="6C733391"/>
    <w:rsid w:val="6CAFF34E"/>
    <w:rsid w:val="6CFFCF4F"/>
    <w:rsid w:val="6D741A8D"/>
    <w:rsid w:val="6D9F73AA"/>
    <w:rsid w:val="6DFFF8B6"/>
    <w:rsid w:val="6E2434B3"/>
    <w:rsid w:val="6EEDE807"/>
    <w:rsid w:val="6EEE4BE4"/>
    <w:rsid w:val="6EF65E9C"/>
    <w:rsid w:val="6F305E87"/>
    <w:rsid w:val="6F3D9197"/>
    <w:rsid w:val="6F516715"/>
    <w:rsid w:val="6FAB3EC4"/>
    <w:rsid w:val="6FB6AF41"/>
    <w:rsid w:val="6FD894C8"/>
    <w:rsid w:val="6FE36A9E"/>
    <w:rsid w:val="6FE91CF3"/>
    <w:rsid w:val="6FEFB2D1"/>
    <w:rsid w:val="6FF15617"/>
    <w:rsid w:val="6FFF97E6"/>
    <w:rsid w:val="70F762AA"/>
    <w:rsid w:val="711E68DF"/>
    <w:rsid w:val="71397E03"/>
    <w:rsid w:val="71FB5B08"/>
    <w:rsid w:val="720A5912"/>
    <w:rsid w:val="726D668A"/>
    <w:rsid w:val="72884F1D"/>
    <w:rsid w:val="72BB66BA"/>
    <w:rsid w:val="72C9287B"/>
    <w:rsid w:val="73FB87D9"/>
    <w:rsid w:val="746960C4"/>
    <w:rsid w:val="7524023C"/>
    <w:rsid w:val="757C5983"/>
    <w:rsid w:val="75D679F7"/>
    <w:rsid w:val="75EF0FBA"/>
    <w:rsid w:val="7607C293"/>
    <w:rsid w:val="76210EAB"/>
    <w:rsid w:val="762C55FB"/>
    <w:rsid w:val="7641097A"/>
    <w:rsid w:val="76733229"/>
    <w:rsid w:val="76DFA4E8"/>
    <w:rsid w:val="76ED06E5"/>
    <w:rsid w:val="770C2D36"/>
    <w:rsid w:val="778720BD"/>
    <w:rsid w:val="77A7D615"/>
    <w:rsid w:val="77EB5041"/>
    <w:rsid w:val="77FF366A"/>
    <w:rsid w:val="77FF8C96"/>
    <w:rsid w:val="77FFA8F9"/>
    <w:rsid w:val="7878159A"/>
    <w:rsid w:val="78D43D28"/>
    <w:rsid w:val="79207313"/>
    <w:rsid w:val="7976604B"/>
    <w:rsid w:val="79F3BC78"/>
    <w:rsid w:val="7A5A200A"/>
    <w:rsid w:val="7A5B6CAA"/>
    <w:rsid w:val="7A9314AC"/>
    <w:rsid w:val="7B0408F4"/>
    <w:rsid w:val="7B4F6850"/>
    <w:rsid w:val="7B7B048A"/>
    <w:rsid w:val="7B851309"/>
    <w:rsid w:val="7BABD5C4"/>
    <w:rsid w:val="7BB12055"/>
    <w:rsid w:val="7BBFADBA"/>
    <w:rsid w:val="7BD623FC"/>
    <w:rsid w:val="7BFF492D"/>
    <w:rsid w:val="7C631402"/>
    <w:rsid w:val="7C978C63"/>
    <w:rsid w:val="7C991510"/>
    <w:rsid w:val="7CA35AD0"/>
    <w:rsid w:val="7CDF8BC3"/>
    <w:rsid w:val="7CEB72A5"/>
    <w:rsid w:val="7CF6426C"/>
    <w:rsid w:val="7D18750B"/>
    <w:rsid w:val="7D3E3E65"/>
    <w:rsid w:val="7DAB45AC"/>
    <w:rsid w:val="7DDFDC39"/>
    <w:rsid w:val="7E140770"/>
    <w:rsid w:val="7E1626EC"/>
    <w:rsid w:val="7E301A00"/>
    <w:rsid w:val="7E5D92FB"/>
    <w:rsid w:val="7EAD19FC"/>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4">
    <w:name w:val="Document Map"/>
    <w:basedOn w:val="1"/>
    <w:link w:val="23"/>
    <w:qFormat/>
    <w:uiPriority w:val="0"/>
    <w:rPr>
      <w:rFonts w:ascii="宋体" w:eastAsia="宋体"/>
      <w:sz w:val="18"/>
      <w:szCs w:val="18"/>
    </w:rPr>
  </w:style>
  <w:style w:type="paragraph" w:styleId="5">
    <w:name w:val="Body Text"/>
    <w:basedOn w:val="1"/>
    <w:qFormat/>
    <w:uiPriority w:val="0"/>
    <w:pPr>
      <w:spacing w:after="120"/>
    </w:pPr>
  </w:style>
  <w:style w:type="paragraph" w:styleId="6">
    <w:name w:val="Body Text Indent"/>
    <w:basedOn w:val="1"/>
    <w:qFormat/>
    <w:uiPriority w:val="0"/>
    <w:pPr>
      <w:spacing w:after="120"/>
      <w:ind w:leftChars="200"/>
    </w:pPr>
    <w:rPr>
      <w:rFonts w:ascii="仿宋_GB2312"/>
      <w:szCs w:val="32"/>
    </w:r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0">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11">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TML Code"/>
    <w:basedOn w:val="15"/>
    <w:qFormat/>
    <w:uiPriority w:val="0"/>
    <w:rPr>
      <w:rFonts w:ascii="Courier New" w:hAnsi="Courier New"/>
      <w:sz w:val="20"/>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0">
    <w:name w:val="样式 行距: 固定值 28.9 磅"/>
    <w:basedOn w:val="1"/>
    <w:qFormat/>
    <w:uiPriority w:val="0"/>
    <w:pPr>
      <w:spacing w:line="578" w:lineRule="exact"/>
    </w:pPr>
    <w:rPr>
      <w:rFonts w:cs="宋体"/>
      <w:szCs w:val="20"/>
    </w:rPr>
  </w:style>
  <w:style w:type="paragraph" w:customStyle="1" w:styleId="21">
    <w:name w:val="四号正文"/>
    <w:basedOn w:val="1"/>
    <w:link w:val="22"/>
    <w:qFormat/>
    <w:uiPriority w:val="0"/>
    <w:pPr>
      <w:spacing w:line="360" w:lineRule="auto"/>
    </w:pPr>
    <w:rPr>
      <w:rFonts w:ascii="??" w:hAnsi="??" w:eastAsia="宋体" w:cs="宋体"/>
      <w:color w:val="000000"/>
      <w:kern w:val="0"/>
      <w:sz w:val="28"/>
      <w:szCs w:val="21"/>
    </w:rPr>
  </w:style>
  <w:style w:type="character" w:customStyle="1" w:styleId="22">
    <w:name w:val="四号正文 Char"/>
    <w:basedOn w:val="15"/>
    <w:link w:val="21"/>
    <w:qFormat/>
    <w:uiPriority w:val="0"/>
    <w:rPr>
      <w:rFonts w:ascii="??" w:hAnsi="??" w:eastAsia="宋体" w:cs="宋体"/>
      <w:color w:val="000000"/>
      <w:sz w:val="28"/>
      <w:szCs w:val="21"/>
      <w:lang w:val="en-US" w:eastAsia="zh-CN" w:bidi="ar-SA"/>
    </w:rPr>
  </w:style>
  <w:style w:type="character" w:customStyle="1" w:styleId="23">
    <w:name w:val="文档结构图 Char"/>
    <w:basedOn w:val="15"/>
    <w:link w:val="4"/>
    <w:qFormat/>
    <w:uiPriority w:val="0"/>
    <w:rPr>
      <w:rFonts w:ascii="宋体"/>
      <w:kern w:val="2"/>
      <w:sz w:val="18"/>
      <w:szCs w:val="18"/>
    </w:rPr>
  </w:style>
  <w:style w:type="paragraph" w:customStyle="1" w:styleId="24">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页脚 Char"/>
    <w:basedOn w:val="15"/>
    <w:link w:val="8"/>
    <w:qFormat/>
    <w:uiPriority w:val="99"/>
    <w:rPr>
      <w:kern w:val="2"/>
      <w:sz w:val="18"/>
      <w:szCs w:val="18"/>
    </w:rPr>
  </w:style>
  <w:style w:type="character" w:customStyle="1" w:styleId="26">
    <w:name w:val="font31"/>
    <w:basedOn w:val="15"/>
    <w:qFormat/>
    <w:uiPriority w:val="0"/>
    <w:rPr>
      <w:rFonts w:hint="eastAsia" w:ascii="宋体" w:hAnsi="宋体" w:eastAsia="宋体" w:cs="宋体"/>
      <w:color w:val="000000"/>
      <w:sz w:val="24"/>
      <w:szCs w:val="24"/>
      <w:u w:val="none"/>
    </w:rPr>
  </w:style>
  <w:style w:type="character" w:customStyle="1" w:styleId="27">
    <w:name w:val="font51"/>
    <w:basedOn w:val="15"/>
    <w:qFormat/>
    <w:uiPriority w:val="0"/>
    <w:rPr>
      <w:rFonts w:hint="default" w:ascii="Wingdings 2" w:hAnsi="Wingdings 2" w:eastAsia="Wingdings 2" w:cs="Wingdings 2"/>
      <w:color w:val="000000"/>
      <w:sz w:val="18"/>
      <w:szCs w:val="18"/>
      <w:u w:val="none"/>
    </w:rPr>
  </w:style>
  <w:style w:type="character" w:customStyle="1" w:styleId="28">
    <w:name w:val="font01"/>
    <w:basedOn w:val="15"/>
    <w:qFormat/>
    <w:uiPriority w:val="0"/>
    <w:rPr>
      <w:rFonts w:ascii="宋体" w:hAnsi="宋体" w:eastAsia="宋体" w:cs="宋体"/>
      <w:color w:val="000000"/>
      <w:sz w:val="18"/>
      <w:szCs w:val="18"/>
      <w:u w:val="none"/>
    </w:rPr>
  </w:style>
  <w:style w:type="character" w:customStyle="1" w:styleId="29">
    <w:name w:val="font41"/>
    <w:basedOn w:val="15"/>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460</Words>
  <Characters>489</Characters>
  <Lines>2</Lines>
  <Paragraphs>1</Paragraphs>
  <TotalTime>14</TotalTime>
  <ScaleCrop>false</ScaleCrop>
  <LinksUpToDate>false</LinksUpToDate>
  <CharactersWithSpaces>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2019-05-27T19:06:00Z</dcterms:created>
  <dc:creator>陈萍</dc:creator>
  <cp:lastModifiedBy>钟耀辉</cp:lastModifiedBy>
  <cp:lastPrinted>2025-09-05T03:28:00Z</cp:lastPrinted>
  <dcterms:modified xsi:type="dcterms:W3CDTF">2025-10-27T07:33:36Z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77B8C50368D347A39B2DC463F5029D92_13</vt:lpwstr>
  </property>
  <property fmtid="{D5CDD505-2E9C-101B-9397-08002B2CF9AE}" pid="4" name="KSOTemplateDocerSaveRecord">
    <vt:lpwstr>eyJoZGlkIjoiYzRhZTZlN2M0NGU3NmUyYTMyYThlOWNjODAxMTc4NjgiLCJ1c2VySWQiOiIxNzEzMjE3MzA5In0=</vt:lpwstr>
  </property>
</Properties>
</file>