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3" w:line="225" w:lineRule="auto"/>
        <w:ind w:left="2750"/>
        <w:outlineLvl w:val="0"/>
        <w:rPr>
          <w:rFonts w:ascii="黑体" w:hAnsi="黑体" w:eastAsia="黑体" w:cs="黑体"/>
          <w:sz w:val="43"/>
          <w:szCs w:val="43"/>
        </w:rPr>
      </w:pPr>
      <w:bookmarkStart w:id="0" w:name="_Toc16466_WPSOffice_Level1"/>
      <w:bookmarkStart w:id="1" w:name="_Toc1137_WPSOffice_Level1"/>
      <w:r>
        <w:rPr>
          <w:rFonts w:ascii="黑体" w:hAnsi="黑体" w:eastAsia="黑体" w:cs="黑体"/>
          <w:spacing w:val="8"/>
          <w:sz w:val="43"/>
          <w:szCs w:val="43"/>
          <w14:textOutline w14:w="7972" w14:cap="sq" w14:cmpd="sng">
            <w14:solidFill>
              <w14:srgbClr w14:val="000000"/>
            </w14:solidFill>
            <w14:prstDash w14:val="solid"/>
            <w14:bevel/>
          </w14:textOutline>
        </w:rPr>
        <w:t>第四部分</w:t>
      </w:r>
      <w:r>
        <w:rPr>
          <w:rFonts w:ascii="黑体" w:hAnsi="黑体" w:eastAsia="黑体" w:cs="黑体"/>
          <w:spacing w:val="8"/>
          <w:sz w:val="43"/>
          <w:szCs w:val="43"/>
        </w:rPr>
        <w:t xml:space="preserve"> </w:t>
      </w:r>
      <w:r>
        <w:rPr>
          <w:rFonts w:ascii="黑体" w:hAnsi="黑体" w:eastAsia="黑体" w:cs="黑体"/>
          <w:spacing w:val="8"/>
          <w:sz w:val="43"/>
          <w:szCs w:val="43"/>
          <w14:textOutline w14:w="7972" w14:cap="sq" w14:cmpd="sng">
            <w14:solidFill>
              <w14:srgbClr w14:val="000000"/>
            </w14:solidFill>
            <w14:prstDash w14:val="solid"/>
            <w14:bevel/>
          </w14:textOutline>
        </w:rPr>
        <w:t>附</w:t>
      </w:r>
      <w:r>
        <w:rPr>
          <w:rFonts w:ascii="黑体" w:hAnsi="黑体" w:eastAsia="黑体" w:cs="黑体"/>
          <w:spacing w:val="7"/>
          <w:sz w:val="43"/>
          <w:szCs w:val="43"/>
          <w14:textOutline w14:w="7972" w14:cap="sq" w14:cmpd="sng">
            <w14:solidFill>
              <w14:srgbClr w14:val="000000"/>
            </w14:solidFill>
            <w14:prstDash w14:val="solid"/>
            <w14:bevel/>
          </w14:textOutline>
        </w:rPr>
        <w:t>件</w:t>
      </w:r>
      <w:bookmarkEnd w:id="0"/>
      <w:bookmarkEnd w:id="1"/>
    </w:p>
    <w:p>
      <w:pPr>
        <w:spacing w:line="311" w:lineRule="auto"/>
        <w:rPr>
          <w:rFonts w:ascii="Arial"/>
          <w:sz w:val="21"/>
        </w:rPr>
      </w:pPr>
    </w:p>
    <w:p>
      <w:pPr>
        <w:spacing w:line="311" w:lineRule="auto"/>
        <w:rPr>
          <w:rFonts w:ascii="Arial"/>
          <w:sz w:val="21"/>
        </w:rPr>
      </w:pPr>
    </w:p>
    <w:p>
      <w:pPr>
        <w:spacing w:before="101" w:line="230" w:lineRule="auto"/>
        <w:ind w:left="44"/>
        <w:rPr>
          <w:rFonts w:ascii="Times New Roman" w:hAnsi="Times New Roman" w:eastAsia="Times New Roman" w:cs="Times New Roman"/>
          <w:sz w:val="31"/>
          <w:szCs w:val="31"/>
        </w:rPr>
      </w:pPr>
      <w:r>
        <w:rPr>
          <w:rFonts w:ascii="黑体" w:hAnsi="黑体" w:eastAsia="黑体" w:cs="黑体"/>
          <w:spacing w:val="-12"/>
          <w:sz w:val="31"/>
          <w:szCs w:val="31"/>
        </w:rPr>
        <w:t xml:space="preserve">附件 </w:t>
      </w:r>
      <w:r>
        <w:rPr>
          <w:rFonts w:ascii="Times New Roman" w:hAnsi="Times New Roman" w:eastAsia="Times New Roman" w:cs="Times New Roman"/>
          <w:spacing w:val="-12"/>
          <w:sz w:val="31"/>
          <w:szCs w:val="31"/>
        </w:rPr>
        <w:t>1</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黑体_GBK" w:cs="Times New Roman"/>
          <w:sz w:val="32"/>
          <w:szCs w:val="32"/>
        </w:rPr>
      </w:pPr>
      <w:bookmarkStart w:id="2" w:name="_Toc18314_WPSOffice_Level2"/>
      <w:bookmarkStart w:id="3" w:name="_Toc21895_WPSOffice_Level2"/>
      <w:bookmarkStart w:id="4" w:name="_Toc31075_WPSOffice_Level2"/>
      <w:bookmarkStart w:id="5" w:name="_Toc29451_WPSOffice_Level2"/>
      <w:bookmarkStart w:id="6" w:name="_Toc22948_WPSOffice_Level2"/>
      <w:bookmarkStart w:id="7" w:name="_Toc16954_WPSOffice_Level2"/>
      <w:r>
        <w:rPr>
          <w:rFonts w:hint="default" w:ascii="Times New Roman" w:hAnsi="Times New Roman" w:eastAsia="方正黑体_GBK" w:cs="Times New Roman"/>
          <w:color w:val="000000"/>
          <w:kern w:val="0"/>
          <w:sz w:val="32"/>
          <w:szCs w:val="32"/>
          <w:highlight w:val="none"/>
          <w:shd w:val="clear" w:color="auto" w:fill="FFFFFF"/>
          <w:lang w:val="zh-CN"/>
        </w:rPr>
        <w:t>一、部门（单位）基本情况</w:t>
      </w:r>
      <w:bookmarkEnd w:id="2"/>
      <w:bookmarkEnd w:id="3"/>
      <w:bookmarkEnd w:id="4"/>
      <w:bookmarkEnd w:id="5"/>
      <w:bookmarkEnd w:id="6"/>
      <w:bookmarkEnd w:id="7"/>
    </w:p>
    <w:p>
      <w:pPr>
        <w:widowControl/>
        <w:adjustRightInd w:val="0"/>
        <w:snapToGrid w:val="0"/>
        <w:spacing w:line="578" w:lineRule="exact"/>
        <w:ind w:firstLine="640" w:firstLineChars="200"/>
        <w:contextualSpacing/>
        <w:jc w:val="left"/>
        <w:outlineLvl w:val="1"/>
        <w:rPr>
          <w:rFonts w:hint="eastAsia" w:ascii="方正楷体_GB2312" w:hAnsi="方正楷体_GB2312" w:eastAsia="方正楷体_GB2312" w:cs="方正楷体_GB2312"/>
          <w:color w:val="000000"/>
          <w:kern w:val="0"/>
          <w:sz w:val="32"/>
          <w:szCs w:val="32"/>
          <w:shd w:val="clear" w:color="auto" w:fill="FFFFFF"/>
          <w:lang w:val="zh-CN"/>
        </w:rPr>
      </w:pPr>
      <w:bookmarkStart w:id="8" w:name="_Toc22772_WPSOffice_Level2"/>
      <w:bookmarkStart w:id="9" w:name="_Toc16012_WPSOffice_Level2"/>
      <w:bookmarkStart w:id="10" w:name="_Toc7608_WPSOffice_Level2"/>
      <w:bookmarkStart w:id="11" w:name="_Toc10106_WPSOffice_Level2"/>
      <w:bookmarkStart w:id="12" w:name="_Toc434_WPSOffice_Level2"/>
      <w:bookmarkStart w:id="13" w:name="_Toc5063_WPSOffice_Level2"/>
      <w:r>
        <w:rPr>
          <w:rFonts w:hint="eastAsia" w:ascii="方正楷体_GB2312" w:hAnsi="方正楷体_GB2312" w:eastAsia="方正楷体_GB2312" w:cs="方正楷体_GB2312"/>
          <w:color w:val="000000"/>
          <w:kern w:val="0"/>
          <w:sz w:val="32"/>
          <w:szCs w:val="32"/>
          <w:shd w:val="clear" w:color="auto" w:fill="FFFFFF"/>
          <w:lang w:val="zh-CN"/>
        </w:rPr>
        <w:t>（一）机构组成</w:t>
      </w:r>
    </w:p>
    <w:p>
      <w:pPr>
        <w:widowControl/>
        <w:adjustRightInd w:val="0"/>
        <w:snapToGrid w:val="0"/>
        <w:spacing w:line="578" w:lineRule="exact"/>
        <w:ind w:firstLine="640" w:firstLineChars="200"/>
        <w:contextualSpacing/>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渠县静边镇第</w:t>
      </w:r>
      <w:r>
        <w:rPr>
          <w:rFonts w:hint="eastAsia" w:ascii="方正仿宋_GB2312" w:hAnsi="方正仿宋_GB2312" w:eastAsia="方正仿宋_GB2312" w:cs="方正仿宋_GB2312"/>
          <w:sz w:val="32"/>
          <w:szCs w:val="32"/>
          <w:lang w:val="en-US" w:eastAsia="zh-CN"/>
        </w:rPr>
        <w:t>三学校为</w:t>
      </w:r>
      <w:r>
        <w:rPr>
          <w:rFonts w:hint="eastAsia" w:ascii="方正仿宋_GB2312" w:hAnsi="方正仿宋_GB2312" w:eastAsia="方正仿宋_GB2312" w:cs="方正仿宋_GB2312"/>
          <w:sz w:val="32"/>
          <w:szCs w:val="32"/>
        </w:rPr>
        <w:t>一级独立预算事业单位， 渠县静边镇第</w:t>
      </w:r>
      <w:r>
        <w:rPr>
          <w:rFonts w:hint="eastAsia" w:ascii="方正仿宋_GB2312" w:hAnsi="方正仿宋_GB2312" w:eastAsia="方正仿宋_GB2312" w:cs="方正仿宋_GB2312"/>
          <w:sz w:val="32"/>
          <w:szCs w:val="32"/>
          <w:lang w:val="en-US" w:eastAsia="zh-CN"/>
        </w:rPr>
        <w:t>三学校</w:t>
      </w:r>
      <w:r>
        <w:rPr>
          <w:rFonts w:hint="eastAsia" w:ascii="方正仿宋_GB2312" w:hAnsi="方正仿宋_GB2312" w:eastAsia="方正仿宋_GB2312" w:cs="方正仿宋_GB2312"/>
          <w:sz w:val="32"/>
          <w:szCs w:val="32"/>
        </w:rPr>
        <w:t>是</w:t>
      </w:r>
      <w:r>
        <w:rPr>
          <w:rFonts w:hint="eastAsia" w:ascii="方正仿宋_GB2312" w:hAnsi="方正仿宋_GB2312" w:eastAsia="方正仿宋_GB2312" w:cs="方正仿宋_GB2312"/>
          <w:sz w:val="32"/>
          <w:szCs w:val="32"/>
          <w:lang w:val="en-US" w:eastAsia="zh-CN"/>
        </w:rPr>
        <w:t>九年一贯制学校</w:t>
      </w:r>
      <w:r>
        <w:rPr>
          <w:rFonts w:hint="eastAsia" w:ascii="方正仿宋_GB2312" w:hAnsi="方正仿宋_GB2312" w:eastAsia="方正仿宋_GB2312" w:cs="方正仿宋_GB2312"/>
          <w:sz w:val="32"/>
          <w:szCs w:val="32"/>
        </w:rPr>
        <w:t>，内设办公室、教务处、</w:t>
      </w:r>
      <w:r>
        <w:rPr>
          <w:rFonts w:hint="eastAsia" w:ascii="方正仿宋_GB2312" w:hAnsi="方正仿宋_GB2312" w:eastAsia="方正仿宋_GB2312" w:cs="方正仿宋_GB2312"/>
          <w:sz w:val="32"/>
          <w:szCs w:val="32"/>
          <w:lang w:val="en-US" w:eastAsia="zh-CN"/>
        </w:rPr>
        <w:t>后勤</w:t>
      </w:r>
      <w:r>
        <w:rPr>
          <w:rFonts w:hint="eastAsia" w:ascii="方正仿宋_GB2312" w:hAnsi="方正仿宋_GB2312" w:eastAsia="方正仿宋_GB2312" w:cs="方正仿宋_GB2312"/>
          <w:sz w:val="32"/>
          <w:szCs w:val="32"/>
        </w:rPr>
        <w:t>处。本单位属事业单位，为财政拨款预算单位。</w:t>
      </w:r>
    </w:p>
    <w:p>
      <w:pPr>
        <w:widowControl/>
        <w:adjustRightInd w:val="0"/>
        <w:snapToGrid w:val="0"/>
        <w:spacing w:line="578" w:lineRule="exact"/>
        <w:ind w:firstLine="640" w:firstLineChars="200"/>
        <w:contextualSpacing/>
        <w:jc w:val="left"/>
        <w:outlineLvl w:val="1"/>
        <w:rPr>
          <w:rFonts w:hint="eastAsia" w:ascii="方正楷体_GB2312" w:hAnsi="方正楷体_GB2312" w:eastAsia="方正楷体_GB2312" w:cs="方正楷体_GB2312"/>
          <w:color w:val="000000"/>
          <w:kern w:val="0"/>
          <w:sz w:val="32"/>
          <w:szCs w:val="32"/>
          <w:shd w:val="clear" w:color="auto" w:fill="FFFFFF"/>
          <w:lang w:val="zh-CN"/>
        </w:rPr>
      </w:pPr>
      <w:r>
        <w:rPr>
          <w:rFonts w:hint="eastAsia" w:ascii="方正楷体_GB2312" w:hAnsi="方正楷体_GB2312" w:eastAsia="方正楷体_GB2312" w:cs="方正楷体_GB2312"/>
          <w:color w:val="000000"/>
          <w:kern w:val="0"/>
          <w:sz w:val="32"/>
          <w:szCs w:val="32"/>
          <w:shd w:val="clear" w:color="auto" w:fill="FFFFFF"/>
          <w:lang w:val="zh-CN"/>
        </w:rPr>
        <w:t>（二）机构职能</w:t>
      </w:r>
    </w:p>
    <w:p>
      <w:pPr>
        <w:pStyle w:val="5"/>
        <w:widowControl/>
        <w:shd w:val="clear" w:color="auto" w:fill="FFFFFF"/>
        <w:spacing w:beforeAutospacing="0" w:afterAutospacing="0" w:line="578" w:lineRule="exact"/>
        <w:ind w:firstLine="640" w:firstLineChars="200"/>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rPr>
        <w:t>实施</w:t>
      </w:r>
      <w:r>
        <w:rPr>
          <w:rFonts w:hint="eastAsia" w:ascii="方正仿宋_GB2312" w:hAnsi="方正仿宋_GB2312" w:eastAsia="方正仿宋_GB2312" w:cs="方正仿宋_GB2312"/>
          <w:kern w:val="2"/>
          <w:sz w:val="32"/>
          <w:szCs w:val="32"/>
          <w:lang w:val="en-US" w:eastAsia="zh-CN"/>
        </w:rPr>
        <w:t>九年</w:t>
      </w:r>
      <w:r>
        <w:rPr>
          <w:rFonts w:hint="eastAsia" w:ascii="方正仿宋_GB2312" w:hAnsi="方正仿宋_GB2312" w:eastAsia="方正仿宋_GB2312" w:cs="方正仿宋_GB2312"/>
          <w:kern w:val="2"/>
          <w:sz w:val="32"/>
          <w:szCs w:val="32"/>
        </w:rPr>
        <w:t>义务教育，促进基础教育发展。正确贯彻执行党和国家的教育方针、政策、法规。维护学校的教学秩序，为学生创造良好的学习环境；积极稳妥地推进教育改革，按</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"https://www.baidu.com/s?wd=%E6%95%99%E8%82%B2%E8%A7%84%E5%BE%8B&amp;tn=SE_PcZhidaonwhc_ngpagmjz&amp;rsv_dl=gh_pc_zhidao"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kern w:val="2"/>
          <w:sz w:val="32"/>
          <w:szCs w:val="32"/>
        </w:rPr>
        <w:t>教育规律</w:t>
      </w:r>
      <w:r>
        <w:rPr>
          <w:rFonts w:hint="eastAsia" w:ascii="方正仿宋_GB2312" w:hAnsi="方正仿宋_GB2312" w:eastAsia="方正仿宋_GB2312" w:cs="方正仿宋_GB2312"/>
          <w:kern w:val="2"/>
          <w:sz w:val="32"/>
          <w:szCs w:val="32"/>
        </w:rPr>
        <w:fldChar w:fldCharType="end"/>
      </w:r>
      <w:r>
        <w:rPr>
          <w:rFonts w:hint="eastAsia" w:ascii="方正仿宋_GB2312" w:hAnsi="方正仿宋_GB2312" w:eastAsia="方正仿宋_GB2312" w:cs="方正仿宋_GB2312"/>
          <w:kern w:val="2"/>
          <w:sz w:val="32"/>
          <w:szCs w:val="32"/>
        </w:rPr>
        <w:t>办事，不断提高</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"https://www.baidu.com/s?wd=%E6%95%99%E8%82%B2%E8%B4%A8%E9%87%8F&amp;tn=SE_PcZhidaonwhc_ngpagmjz&amp;rsv_dl=gh_pc_zhidao"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kern w:val="2"/>
          <w:sz w:val="32"/>
          <w:szCs w:val="32"/>
        </w:rPr>
        <w:t>教育质量</w:t>
      </w:r>
      <w:r>
        <w:rPr>
          <w:rFonts w:hint="eastAsia" w:ascii="方正仿宋_GB2312" w:hAnsi="方正仿宋_GB2312" w:eastAsia="方正仿宋_GB2312" w:cs="方正仿宋_GB2312"/>
          <w:kern w:val="2"/>
          <w:sz w:val="32"/>
          <w:szCs w:val="32"/>
        </w:rPr>
        <w:fldChar w:fldCharType="end"/>
      </w:r>
      <w:r>
        <w:rPr>
          <w:rFonts w:hint="eastAsia" w:ascii="方正仿宋_GB2312" w:hAnsi="方正仿宋_GB2312" w:eastAsia="方正仿宋_GB2312" w:cs="方正仿宋_GB2312"/>
          <w:kern w:val="2"/>
          <w:sz w:val="32"/>
          <w:szCs w:val="32"/>
        </w:rPr>
        <w:t>；根据学校规模，设置学校管理机构，建立健全各项规章制度和</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"https://www.baidu.com/s?wd=%E5%B2%97%E4%BD%8D%E8%B4%A3%E4%BB%BB%E5%88%B6&amp;tn=SE_PcZhidaonwhc_ngpagmjz&amp;rsv_dl=gh_pc_zhidao"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kern w:val="2"/>
          <w:sz w:val="32"/>
          <w:szCs w:val="32"/>
        </w:rPr>
        <w:t>岗位责任制</w:t>
      </w:r>
      <w:r>
        <w:rPr>
          <w:rFonts w:hint="eastAsia" w:ascii="方正仿宋_GB2312" w:hAnsi="方正仿宋_GB2312" w:eastAsia="方正仿宋_GB2312" w:cs="方正仿宋_GB2312"/>
          <w:kern w:val="2"/>
          <w:sz w:val="32"/>
          <w:szCs w:val="32"/>
        </w:rPr>
        <w:fldChar w:fldCharType="end"/>
      </w:r>
      <w:r>
        <w:rPr>
          <w:rFonts w:hint="eastAsia" w:ascii="方正仿宋_GB2312" w:hAnsi="方正仿宋_GB2312" w:eastAsia="方正仿宋_GB2312" w:cs="方正仿宋_GB2312"/>
          <w:kern w:val="2"/>
          <w:sz w:val="32"/>
          <w:szCs w:val="32"/>
        </w:rPr>
        <w:t>。坚持教书育人，服务育人，环境育人方针，加强对学生的</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"https://www.baidu.com/s?wd=%E6%80%9D%E6%83%B3%E5%93%81%E5%BE%B7&amp;tn=SE_PcZhidaonwhc_ngpagmjz&amp;rsv_dl=gh_pc_zhidao"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kern w:val="2"/>
          <w:sz w:val="32"/>
          <w:szCs w:val="32"/>
        </w:rPr>
        <w:t>思想品德</w:t>
      </w:r>
      <w:r>
        <w:rPr>
          <w:rFonts w:hint="eastAsia" w:ascii="方正仿宋_GB2312" w:hAnsi="方正仿宋_GB2312" w:eastAsia="方正仿宋_GB2312" w:cs="方正仿宋_GB2312"/>
          <w:kern w:val="2"/>
          <w:sz w:val="32"/>
          <w:szCs w:val="32"/>
        </w:rPr>
        <w:fldChar w:fldCharType="end"/>
      </w:r>
      <w:r>
        <w:rPr>
          <w:rFonts w:hint="eastAsia" w:ascii="方正仿宋_GB2312" w:hAnsi="方正仿宋_GB2312" w:eastAsia="方正仿宋_GB2312" w:cs="方正仿宋_GB2312"/>
          <w:kern w:val="2"/>
          <w:sz w:val="32"/>
          <w:szCs w:val="32"/>
        </w:rPr>
        <w:t>教育，使学生的德智体全面发展。抓好教师队伍建设，使每个教师都热心于教育事业；</w:t>
      </w:r>
      <w:r>
        <w:rPr>
          <w:rFonts w:hint="eastAsia" w:ascii="方正仿宋_GB2312" w:hAnsi="方正仿宋_GB2312" w:eastAsia="方正仿宋_GB2312" w:cs="方正仿宋_GB2312"/>
          <w:kern w:val="2"/>
          <w:sz w:val="32"/>
          <w:szCs w:val="32"/>
          <w:lang w:val="zh-CN"/>
        </w:rPr>
        <w:t>实施义务教育，促进基础教育发展。</w:t>
      </w:r>
    </w:p>
    <w:p>
      <w:pPr>
        <w:widowControl/>
        <w:adjustRightInd w:val="0"/>
        <w:snapToGrid w:val="0"/>
        <w:spacing w:line="578" w:lineRule="exact"/>
        <w:ind w:firstLine="640" w:firstLineChars="200"/>
        <w:contextualSpacing/>
        <w:jc w:val="left"/>
        <w:outlineLvl w:val="1"/>
        <w:rPr>
          <w:rFonts w:hint="eastAsia" w:ascii="方正楷体_GB2312" w:hAnsi="方正楷体_GB2312" w:eastAsia="方正楷体_GB2312" w:cs="方正楷体_GB2312"/>
          <w:color w:val="000000"/>
          <w:kern w:val="0"/>
          <w:sz w:val="32"/>
          <w:szCs w:val="32"/>
          <w:shd w:val="clear" w:color="auto" w:fill="FFFFFF"/>
          <w:lang w:val="zh-CN"/>
        </w:rPr>
      </w:pPr>
      <w:r>
        <w:rPr>
          <w:rFonts w:hint="eastAsia" w:ascii="方正楷体_GB2312" w:hAnsi="方正楷体_GB2312" w:eastAsia="方正楷体_GB2312" w:cs="方正楷体_GB2312"/>
          <w:color w:val="000000"/>
          <w:kern w:val="0"/>
          <w:sz w:val="32"/>
          <w:szCs w:val="32"/>
          <w:shd w:val="clear" w:color="auto" w:fill="FFFFFF"/>
          <w:lang w:val="zh-CN"/>
        </w:rPr>
        <w:t>（三）人员概况</w:t>
      </w:r>
    </w:p>
    <w:p>
      <w:pPr>
        <w:widowControl/>
        <w:adjustRightInd w:val="0"/>
        <w:snapToGrid w:val="0"/>
        <w:spacing w:line="578" w:lineRule="exact"/>
        <w:ind w:firstLine="640" w:firstLineChars="200"/>
        <w:contextualSpacing/>
        <w:jc w:val="left"/>
        <w:rPr>
          <w:rFonts w:hint="eastAsia" w:ascii="仿宋" w:hAnsi="仿宋" w:eastAsia="仿宋" w:cs="仿宋"/>
          <w:color w:val="333333"/>
          <w:sz w:val="32"/>
          <w:szCs w:val="32"/>
          <w:shd w:val="clear" w:color="auto" w:fill="FFFFFF"/>
        </w:rPr>
      </w:pPr>
      <w:r>
        <w:rPr>
          <w:rFonts w:hint="eastAsia" w:ascii="方正仿宋_GB2312" w:hAnsi="方正仿宋_GB2312" w:eastAsia="方正仿宋_GB2312" w:cs="方正仿宋_GB2312"/>
          <w:sz w:val="32"/>
          <w:szCs w:val="32"/>
        </w:rPr>
        <w:t>渠县静边镇</w:t>
      </w:r>
      <w:r>
        <w:rPr>
          <w:rFonts w:hint="eastAsia" w:ascii="方正仿宋_GB2312" w:hAnsi="方正仿宋_GB2312" w:eastAsia="方正仿宋_GB2312" w:cs="方正仿宋_GB2312"/>
          <w:sz w:val="32"/>
          <w:szCs w:val="32"/>
          <w:lang w:val="en-US" w:eastAsia="zh-CN"/>
        </w:rPr>
        <w:t>第三学校</w:t>
      </w:r>
      <w:r>
        <w:rPr>
          <w:rFonts w:hint="eastAsia" w:ascii="方正仿宋_GB2312" w:hAnsi="方正仿宋_GB2312" w:eastAsia="方正仿宋_GB2312" w:cs="方正仿宋_GB2312"/>
          <w:sz w:val="32"/>
          <w:szCs w:val="32"/>
        </w:rPr>
        <w:t>编制总数</w:t>
      </w:r>
      <w:r>
        <w:rPr>
          <w:rFonts w:hint="eastAsia" w:ascii="方正仿宋_GB2312" w:hAnsi="方正仿宋_GB2312" w:eastAsia="方正仿宋_GB2312" w:cs="方正仿宋_GB2312"/>
          <w:sz w:val="32"/>
          <w:szCs w:val="32"/>
          <w:lang w:val="en-US" w:eastAsia="zh-CN"/>
        </w:rPr>
        <w:t>60</w:t>
      </w:r>
      <w:r>
        <w:rPr>
          <w:rFonts w:hint="eastAsia" w:ascii="方正仿宋_GB2312" w:hAnsi="方正仿宋_GB2312" w:eastAsia="方正仿宋_GB2312" w:cs="方正仿宋_GB2312"/>
          <w:sz w:val="32"/>
          <w:szCs w:val="32"/>
        </w:rPr>
        <w:t>人，其中行政编制0人，事业编制</w:t>
      </w:r>
      <w:r>
        <w:rPr>
          <w:rFonts w:hint="eastAsia" w:ascii="方正仿宋_GB2312" w:hAnsi="方正仿宋_GB2312" w:eastAsia="方正仿宋_GB2312" w:cs="方正仿宋_GB2312"/>
          <w:sz w:val="32"/>
          <w:szCs w:val="32"/>
          <w:lang w:val="en-US" w:eastAsia="zh-CN"/>
        </w:rPr>
        <w:t>60</w:t>
      </w:r>
      <w:r>
        <w:rPr>
          <w:rFonts w:hint="eastAsia" w:ascii="方正仿宋_GB2312" w:hAnsi="方正仿宋_GB2312" w:eastAsia="方正仿宋_GB2312" w:cs="方正仿宋_GB2312"/>
          <w:sz w:val="32"/>
          <w:szCs w:val="32"/>
        </w:rPr>
        <w:t>人，工勤编制</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人。实际财政供养人员</w:t>
      </w:r>
      <w:r>
        <w:rPr>
          <w:rFonts w:hint="eastAsia" w:ascii="方正仿宋_GB2312" w:hAnsi="方正仿宋_GB2312" w:eastAsia="方正仿宋_GB2312" w:cs="方正仿宋_GB2312"/>
          <w:sz w:val="32"/>
          <w:szCs w:val="32"/>
          <w:lang w:val="en-US" w:eastAsia="zh-CN"/>
        </w:rPr>
        <w:t>80</w:t>
      </w:r>
      <w:r>
        <w:rPr>
          <w:rFonts w:hint="eastAsia" w:ascii="方正仿宋_GB2312" w:hAnsi="方正仿宋_GB2312" w:eastAsia="方正仿宋_GB2312" w:cs="方正仿宋_GB2312"/>
          <w:sz w:val="32"/>
          <w:szCs w:val="32"/>
        </w:rPr>
        <w:t>人，</w:t>
      </w:r>
      <w:r>
        <w:rPr>
          <w:rFonts w:hint="eastAsia" w:ascii="方正仿宋_GB2312" w:hAnsi="方正仿宋_GB2312" w:eastAsia="方正仿宋_GB2312" w:cs="方正仿宋_GB2312"/>
          <w:sz w:val="32"/>
          <w:szCs w:val="32"/>
          <w:lang w:val="en-US" w:eastAsia="zh-CN"/>
        </w:rPr>
        <w:t>因近年学生人数急剧减少，</w:t>
      </w:r>
      <w:r>
        <w:rPr>
          <w:rFonts w:hint="eastAsia" w:ascii="方正仿宋_GB2312" w:hAnsi="方正仿宋_GB2312" w:eastAsia="方正仿宋_GB2312" w:cs="方正仿宋_GB2312"/>
          <w:sz w:val="32"/>
          <w:szCs w:val="32"/>
        </w:rPr>
        <w:t>在职</w:t>
      </w:r>
      <w:r>
        <w:rPr>
          <w:rFonts w:hint="eastAsia" w:ascii="方正仿宋_GB2312" w:hAnsi="方正仿宋_GB2312" w:eastAsia="方正仿宋_GB2312" w:cs="方正仿宋_GB2312"/>
          <w:sz w:val="32"/>
          <w:szCs w:val="32"/>
          <w:lang w:val="en-US" w:eastAsia="zh-CN"/>
        </w:rPr>
        <w:t>80</w:t>
      </w:r>
      <w:r>
        <w:rPr>
          <w:rFonts w:hint="eastAsia" w:ascii="方正仿宋_GB2312" w:hAnsi="方正仿宋_GB2312" w:eastAsia="方正仿宋_GB2312" w:cs="方正仿宋_GB2312"/>
          <w:sz w:val="32"/>
          <w:szCs w:val="32"/>
        </w:rPr>
        <w:t>人</w:t>
      </w:r>
      <w:r>
        <w:rPr>
          <w:rFonts w:hint="eastAsia" w:ascii="方正仿宋_GB2312" w:hAnsi="方正仿宋_GB2312" w:eastAsia="方正仿宋_GB2312" w:cs="方正仿宋_GB2312"/>
          <w:sz w:val="32"/>
          <w:szCs w:val="32"/>
          <w:lang w:val="en-US" w:eastAsia="zh-CN"/>
        </w:rPr>
        <w:t>超编20人</w:t>
      </w:r>
      <w:r>
        <w:rPr>
          <w:rFonts w:hint="eastAsia" w:ascii="方正仿宋_GB2312" w:hAnsi="方正仿宋_GB2312" w:eastAsia="方正仿宋_GB2312" w:cs="方正仿宋_GB2312"/>
          <w:sz w:val="32"/>
          <w:szCs w:val="32"/>
        </w:rPr>
        <w:t>，离休0人，退休</w:t>
      </w:r>
      <w:r>
        <w:rPr>
          <w:rFonts w:hint="eastAsia" w:ascii="方正仿宋_GB2312" w:hAnsi="方正仿宋_GB2312" w:eastAsia="方正仿宋_GB2312" w:cs="方正仿宋_GB2312"/>
          <w:sz w:val="32"/>
          <w:szCs w:val="32"/>
          <w:lang w:val="en-US" w:eastAsia="zh-CN"/>
        </w:rPr>
        <w:t>31</w:t>
      </w:r>
      <w:r>
        <w:rPr>
          <w:rFonts w:hint="eastAsia" w:ascii="方正仿宋_GB2312" w:hAnsi="方正仿宋_GB2312" w:eastAsia="方正仿宋_GB2312" w:cs="方正仿宋_GB2312"/>
          <w:sz w:val="32"/>
          <w:szCs w:val="32"/>
        </w:rPr>
        <w:t>人（已转由社保局发放退休金）。遗属</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人，长期聘用0人</w:t>
      </w:r>
      <w:r>
        <w:rPr>
          <w:rFonts w:hint="eastAsia" w:ascii="方正仿宋_GB2312" w:hAnsi="方正仿宋_GB2312" w:eastAsia="方正仿宋_GB2312" w:cs="方正仿宋_GB2312"/>
          <w:color w:val="333333"/>
          <w:sz w:val="32"/>
          <w:szCs w:val="32"/>
          <w:shd w:val="clear" w:color="auto" w:fill="FFFFFF"/>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黑体_GBK" w:cs="Times New Roman"/>
          <w:color w:val="000000"/>
          <w:kern w:val="0"/>
          <w:sz w:val="32"/>
          <w:szCs w:val="32"/>
          <w:highlight w:val="none"/>
          <w:shd w:val="clear" w:color="auto" w:fill="FFFFFF"/>
          <w:lang w:val="zh-CN"/>
        </w:rPr>
      </w:pPr>
      <w:r>
        <w:rPr>
          <w:rFonts w:hint="default" w:ascii="Times New Roman" w:hAnsi="Times New Roman" w:eastAsia="方正黑体_GBK" w:cs="Times New Roman"/>
          <w:color w:val="000000"/>
          <w:kern w:val="0"/>
          <w:sz w:val="32"/>
          <w:szCs w:val="32"/>
          <w:highlight w:val="none"/>
          <w:shd w:val="clear" w:color="auto" w:fill="FFFFFF"/>
          <w:lang w:val="zh-CN"/>
        </w:rPr>
        <w:t>二、</w:t>
      </w:r>
      <w:r>
        <w:rPr>
          <w:rFonts w:hint="default" w:ascii="Times New Roman" w:hAnsi="Times New Roman" w:eastAsia="方正黑体_GBK" w:cs="Times New Roman"/>
          <w:color w:val="000000"/>
          <w:kern w:val="0"/>
          <w:sz w:val="32"/>
          <w:szCs w:val="32"/>
          <w:highlight w:val="none"/>
          <w:shd w:val="clear" w:color="auto" w:fill="FFFFFF"/>
          <w:lang w:val="zh-CN" w:eastAsia="zh-CN"/>
        </w:rPr>
        <w:t>部门</w:t>
      </w:r>
      <w:r>
        <w:rPr>
          <w:rFonts w:hint="default" w:ascii="Times New Roman" w:hAnsi="Times New Roman" w:eastAsia="方正黑体_GBK" w:cs="Times New Roman"/>
          <w:color w:val="000000"/>
          <w:kern w:val="0"/>
          <w:sz w:val="32"/>
          <w:szCs w:val="32"/>
          <w:highlight w:val="none"/>
          <w:shd w:val="clear" w:color="auto" w:fill="FFFFFF"/>
          <w:lang w:val="zh-CN"/>
        </w:rPr>
        <w:t>资金收支情况</w:t>
      </w:r>
      <w:bookmarkEnd w:id="8"/>
      <w:bookmarkEnd w:id="9"/>
      <w:bookmarkEnd w:id="10"/>
      <w:bookmarkEnd w:id="11"/>
      <w:bookmarkEnd w:id="12"/>
      <w:bookmarkEnd w:id="13"/>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楷体_GBK" w:cs="Times New Roman"/>
          <w:b w:val="0"/>
          <w:bCs w:val="0"/>
          <w:color w:val="000000"/>
          <w:kern w:val="0"/>
          <w:sz w:val="32"/>
          <w:szCs w:val="32"/>
          <w:highlight w:val="none"/>
          <w:shd w:val="clear" w:color="auto" w:fill="FFFFFF"/>
          <w:lang w:val="zh-CN"/>
        </w:rPr>
      </w:pPr>
      <w:bookmarkStart w:id="14" w:name="_Toc23845_WPSOffice_Level3"/>
      <w:bookmarkStart w:id="15" w:name="_Toc2837_WPSOffice_Level3"/>
      <w:r>
        <w:rPr>
          <w:rFonts w:hint="default" w:ascii="Times New Roman" w:hAnsi="Times New Roman" w:eastAsia="方正楷体_GBK" w:cs="Times New Roman"/>
          <w:b w:val="0"/>
          <w:bCs w:val="0"/>
          <w:color w:val="000000"/>
          <w:kern w:val="0"/>
          <w:sz w:val="32"/>
          <w:szCs w:val="32"/>
          <w:highlight w:val="none"/>
          <w:shd w:val="clear" w:color="auto" w:fill="FFFFFF"/>
          <w:lang w:val="zh-CN"/>
        </w:rPr>
        <w:t>（一）收入情况</w:t>
      </w:r>
      <w:bookmarkEnd w:id="14"/>
      <w:bookmarkEnd w:id="15"/>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2024</w:t>
      </w:r>
      <w:r>
        <w:rPr>
          <w:rFonts w:hint="eastAsia" w:ascii="方正仿宋_GB2312" w:hAnsi="方正仿宋_GB2312" w:eastAsia="方正仿宋_GB2312" w:cs="方正仿宋_GB2312"/>
          <w:sz w:val="32"/>
          <w:szCs w:val="32"/>
        </w:rPr>
        <w:t>年年初预算收入批复数为</w:t>
      </w:r>
      <w:r>
        <w:rPr>
          <w:rFonts w:hint="eastAsia" w:ascii="方正仿宋_GB2312" w:hAnsi="方正仿宋_GB2312" w:eastAsia="方正仿宋_GB2312" w:cs="方正仿宋_GB2312"/>
          <w:sz w:val="32"/>
          <w:szCs w:val="32"/>
          <w:lang w:val="en-US" w:eastAsia="zh-CN"/>
        </w:rPr>
        <w:t>1141.39</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sz w:val="32"/>
          <w:szCs w:val="32"/>
          <w:lang w:val="en-US" w:eastAsia="zh-CN"/>
        </w:rPr>
        <w:t>其中：一般公共预算拨款收入1141.39万元，占100.00%，上年结转收入0万元，占0%。</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lang w:val="en-US" w:eastAsia="zh-CN"/>
        </w:rPr>
      </w:pPr>
      <w:r>
        <w:rPr>
          <w:rFonts w:hint="eastAsia" w:ascii="方正仿宋_GB2312" w:hAnsi="方正仿宋_GB2312" w:eastAsia="方正仿宋_GB2312" w:cs="方正仿宋_GB2312"/>
          <w:sz w:val="32"/>
          <w:szCs w:val="32"/>
          <w:lang w:val="en-US" w:eastAsia="zh-CN"/>
        </w:rPr>
        <w:t>2024年</w:t>
      </w:r>
      <w:r>
        <w:rPr>
          <w:rFonts w:hint="eastAsia" w:ascii="方正仿宋_GB2312" w:hAnsi="方正仿宋_GB2312" w:eastAsia="方正仿宋_GB2312" w:cs="方正仿宋_GB2312"/>
          <w:sz w:val="32"/>
          <w:szCs w:val="32"/>
        </w:rPr>
        <w:t>决算收入总计</w:t>
      </w:r>
      <w:r>
        <w:rPr>
          <w:rFonts w:hint="eastAsia" w:ascii="方正仿宋_GB2312" w:hAnsi="方正仿宋_GB2312" w:eastAsia="方正仿宋_GB2312" w:cs="方正仿宋_GB2312"/>
          <w:sz w:val="32"/>
          <w:szCs w:val="32"/>
          <w:lang w:val="en-US" w:eastAsia="zh-CN"/>
        </w:rPr>
        <w:t>1212.36</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sz w:val="32"/>
          <w:szCs w:val="32"/>
          <w:lang w:val="en-US" w:eastAsia="zh-CN"/>
        </w:rPr>
        <w:t>其中：一般公共预算财政拨款收入为1212.36万元，占100%；政府性基金预算财政拨款收入为0万元，占0%；国有资本经营预算财政拨款收入为0万元，占0%；事业收入为0万元，占0%；其他收入为0万元，占0%。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方正楷体_GBK" w:cs="Times New Roman"/>
          <w:b w:val="0"/>
          <w:bCs w:val="0"/>
          <w:color w:val="000000"/>
          <w:kern w:val="0"/>
          <w:sz w:val="32"/>
          <w:szCs w:val="32"/>
          <w:highlight w:val="none"/>
          <w:shd w:val="clear" w:color="auto" w:fill="FFFFFF"/>
          <w:lang w:val="zh-CN"/>
        </w:rPr>
      </w:pPr>
      <w:bookmarkStart w:id="16" w:name="_Toc15148_WPSOffice_Level3"/>
      <w:bookmarkStart w:id="17" w:name="_Toc3162_WPSOffice_Level3"/>
      <w:r>
        <w:rPr>
          <w:rFonts w:hint="default" w:ascii="Times New Roman" w:hAnsi="Times New Roman" w:eastAsia="方正楷体_GBK" w:cs="Times New Roman"/>
          <w:b w:val="0"/>
          <w:bCs w:val="0"/>
          <w:color w:val="000000"/>
          <w:kern w:val="0"/>
          <w:sz w:val="32"/>
          <w:szCs w:val="32"/>
          <w:highlight w:val="none"/>
          <w:shd w:val="clear" w:color="auto" w:fill="FFFFFF"/>
          <w:lang w:val="zh-CN" w:eastAsia="zh-CN"/>
        </w:rPr>
        <w:t>（二）</w:t>
      </w:r>
      <w:r>
        <w:rPr>
          <w:rFonts w:hint="default" w:ascii="Times New Roman" w:hAnsi="Times New Roman" w:eastAsia="方正楷体_GBK" w:cs="Times New Roman"/>
          <w:b w:val="0"/>
          <w:bCs w:val="0"/>
          <w:color w:val="000000"/>
          <w:kern w:val="0"/>
          <w:sz w:val="32"/>
          <w:szCs w:val="32"/>
          <w:highlight w:val="none"/>
          <w:shd w:val="clear" w:color="auto" w:fill="FFFFFF"/>
          <w:lang w:val="zh-CN"/>
        </w:rPr>
        <w:t>支出情况</w:t>
      </w:r>
      <w:bookmarkEnd w:id="16"/>
      <w:bookmarkEnd w:id="17"/>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2024年年初预算支出为1141.39万元，其中：基本支出1141.39万元，占100%；项目支出0万元，占0%。</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方正仿宋_GB2312" w:hAnsi="方正仿宋_GB2312" w:eastAsia="方正仿宋_GB2312" w:cs="方正仿宋_GB2312"/>
          <w:sz w:val="32"/>
          <w:szCs w:val="32"/>
          <w:lang w:val="zh-CN" w:eastAsia="zh-CN"/>
        </w:rPr>
      </w:pPr>
      <w:r>
        <w:rPr>
          <w:rFonts w:hint="eastAsia" w:ascii="方正仿宋_GB2312" w:hAnsi="方正仿宋_GB2312" w:eastAsia="方正仿宋_GB2312" w:cs="方正仿宋_GB2312"/>
          <w:sz w:val="32"/>
          <w:szCs w:val="32"/>
          <w:lang w:val="en-US" w:eastAsia="zh-CN"/>
        </w:rPr>
        <w:t>2024年决算支出</w:t>
      </w:r>
      <w:r>
        <w:rPr>
          <w:rFonts w:hint="eastAsia" w:ascii="方正仿宋_GB2312" w:hAnsi="方正仿宋_GB2312" w:eastAsia="方正仿宋_GB2312" w:cs="方正仿宋_GB2312"/>
          <w:sz w:val="32"/>
          <w:szCs w:val="32"/>
        </w:rPr>
        <w:t>总计</w:t>
      </w:r>
      <w:r>
        <w:rPr>
          <w:rFonts w:hint="eastAsia" w:ascii="方正仿宋_GB2312" w:hAnsi="方正仿宋_GB2312" w:eastAsia="方正仿宋_GB2312" w:cs="方正仿宋_GB2312"/>
          <w:sz w:val="32"/>
          <w:szCs w:val="32"/>
          <w:lang w:val="en-US" w:eastAsia="zh-CN"/>
        </w:rPr>
        <w:t>1212.36万元，其中教育支出937.46万元，社会保障和就业支出146.32万元，卫生健康支出48.23万元，住房保障支出80.35万元，其中：基本支出1212.36万元，占100%；项目支出0万元，占0%。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方正楷体_GBK" w:cs="Times New Roman"/>
          <w:b w:val="0"/>
          <w:bCs w:val="0"/>
          <w:color w:val="000000"/>
          <w:kern w:val="0"/>
          <w:sz w:val="32"/>
          <w:szCs w:val="32"/>
          <w:highlight w:val="none"/>
          <w:shd w:val="clear" w:color="auto" w:fill="FFFFFF"/>
          <w:lang w:val="zh-CN" w:eastAsia="zh-CN"/>
        </w:rPr>
      </w:pPr>
      <w:bookmarkStart w:id="18" w:name="_Toc29247_WPSOffice_Level3"/>
      <w:bookmarkStart w:id="19" w:name="_Toc7334_WPSOffice_Level3"/>
      <w:r>
        <w:rPr>
          <w:rFonts w:hint="default" w:ascii="Times New Roman" w:hAnsi="Times New Roman" w:eastAsia="方正楷体_GBK" w:cs="Times New Roman"/>
          <w:b w:val="0"/>
          <w:bCs w:val="0"/>
          <w:color w:val="000000"/>
          <w:kern w:val="0"/>
          <w:sz w:val="32"/>
          <w:szCs w:val="32"/>
          <w:highlight w:val="none"/>
          <w:shd w:val="clear" w:color="auto" w:fill="FFFFFF"/>
          <w:lang w:val="en-US" w:eastAsia="zh-CN"/>
        </w:rPr>
        <w:t>（三）</w:t>
      </w:r>
      <w:r>
        <w:rPr>
          <w:rFonts w:hint="default" w:ascii="Times New Roman" w:hAnsi="Times New Roman" w:eastAsia="方正楷体_GBK" w:cs="Times New Roman"/>
          <w:b w:val="0"/>
          <w:bCs w:val="0"/>
          <w:color w:val="000000"/>
          <w:kern w:val="0"/>
          <w:sz w:val="32"/>
          <w:szCs w:val="32"/>
          <w:highlight w:val="none"/>
          <w:shd w:val="clear" w:color="auto" w:fill="FFFFFF"/>
          <w:lang w:val="zh-CN"/>
        </w:rPr>
        <w:t>结余分配和结转结余情况</w:t>
      </w:r>
      <w:r>
        <w:rPr>
          <w:rFonts w:hint="default" w:ascii="Times New Roman" w:hAnsi="Times New Roman" w:eastAsia="方正楷体_GBK" w:cs="Times New Roman"/>
          <w:b w:val="0"/>
          <w:bCs w:val="0"/>
          <w:color w:val="000000"/>
          <w:kern w:val="0"/>
          <w:sz w:val="32"/>
          <w:szCs w:val="32"/>
          <w:highlight w:val="none"/>
          <w:shd w:val="clear" w:color="auto" w:fill="FFFFFF"/>
          <w:lang w:val="zh-CN" w:eastAsia="zh-CN"/>
        </w:rPr>
        <w:t>。</w:t>
      </w:r>
      <w:bookmarkEnd w:id="18"/>
      <w:bookmarkEnd w:id="19"/>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方正仿宋_GB2312" w:hAnsi="方正仿宋_GB2312" w:eastAsia="方正仿宋_GB2312" w:cs="方正仿宋_GB2312"/>
          <w:sz w:val="32"/>
          <w:szCs w:val="32"/>
          <w:lang w:val="zh-CN" w:eastAsia="zh-CN"/>
        </w:rPr>
      </w:pPr>
      <w:r>
        <w:rPr>
          <w:rFonts w:hint="eastAsia" w:ascii="方正仿宋_GB2312" w:hAnsi="方正仿宋_GB2312" w:eastAsia="方正仿宋_GB2312" w:cs="方正仿宋_GB2312"/>
          <w:sz w:val="32"/>
          <w:szCs w:val="32"/>
          <w:lang w:val="en-US" w:eastAsia="zh-CN"/>
        </w:rPr>
        <w:t>2024年末结转和结余资金0万元，整体预算结余率0%。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黑体_GBK" w:cs="Times New Roman"/>
          <w:color w:val="000000"/>
          <w:kern w:val="0"/>
          <w:sz w:val="32"/>
          <w:szCs w:val="32"/>
          <w:highlight w:val="none"/>
          <w:shd w:val="clear" w:color="auto" w:fill="FFFFFF"/>
          <w:lang w:val="zh-CN"/>
        </w:rPr>
      </w:pPr>
      <w:bookmarkStart w:id="20" w:name="_Toc10284_WPSOffice_Level2"/>
      <w:bookmarkStart w:id="21" w:name="_Toc6417_WPSOffice_Level2"/>
      <w:bookmarkStart w:id="22" w:name="_Toc12510_WPSOffice_Level2"/>
      <w:bookmarkStart w:id="23" w:name="_Toc6485_WPSOffice_Level2"/>
      <w:bookmarkStart w:id="24" w:name="_Toc9253_WPSOffice_Level2"/>
      <w:bookmarkStart w:id="25" w:name="_Toc16885_WPSOffice_Level2"/>
      <w:r>
        <w:rPr>
          <w:rFonts w:hint="default" w:ascii="Times New Roman" w:hAnsi="Times New Roman" w:eastAsia="方正黑体_GBK" w:cs="Times New Roman"/>
          <w:color w:val="000000"/>
          <w:kern w:val="0"/>
          <w:sz w:val="32"/>
          <w:szCs w:val="32"/>
          <w:highlight w:val="none"/>
          <w:shd w:val="clear" w:color="auto" w:fill="FFFFFF"/>
          <w:lang w:val="zh-CN"/>
        </w:rPr>
        <w:t>三、部门</w:t>
      </w:r>
      <w:r>
        <w:rPr>
          <w:rFonts w:hint="default" w:ascii="Times New Roman" w:hAnsi="Times New Roman" w:eastAsia="方正黑体_GBK" w:cs="Times New Roman"/>
          <w:color w:val="000000"/>
          <w:kern w:val="0"/>
          <w:sz w:val="32"/>
          <w:szCs w:val="32"/>
          <w:highlight w:val="none"/>
          <w:shd w:val="clear" w:color="auto" w:fill="FFFFFF"/>
          <w:lang w:val="zh-CN" w:eastAsia="zh-CN"/>
        </w:rPr>
        <w:t>预算</w:t>
      </w:r>
      <w:r>
        <w:rPr>
          <w:rFonts w:hint="default" w:ascii="Times New Roman" w:hAnsi="Times New Roman" w:eastAsia="方正黑体_GBK" w:cs="Times New Roman"/>
          <w:color w:val="000000"/>
          <w:kern w:val="0"/>
          <w:sz w:val="32"/>
          <w:szCs w:val="32"/>
          <w:highlight w:val="none"/>
          <w:shd w:val="clear" w:color="auto" w:fill="FFFFFF"/>
          <w:lang w:val="zh-CN"/>
        </w:rPr>
        <w:t>绩效</w:t>
      </w:r>
      <w:r>
        <w:rPr>
          <w:rFonts w:hint="default" w:ascii="Times New Roman" w:hAnsi="Times New Roman" w:eastAsia="方正黑体_GBK" w:cs="Times New Roman"/>
          <w:color w:val="000000"/>
          <w:kern w:val="0"/>
          <w:sz w:val="32"/>
          <w:szCs w:val="32"/>
          <w:highlight w:val="none"/>
          <w:shd w:val="clear" w:color="auto" w:fill="FFFFFF"/>
          <w:lang w:val="zh-CN" w:eastAsia="zh-CN"/>
        </w:rPr>
        <w:t>分析</w:t>
      </w:r>
      <w:bookmarkEnd w:id="20"/>
      <w:bookmarkEnd w:id="21"/>
      <w:bookmarkEnd w:id="22"/>
      <w:bookmarkEnd w:id="23"/>
      <w:bookmarkEnd w:id="24"/>
      <w:bookmarkEnd w:id="25"/>
    </w:p>
    <w:p>
      <w:pPr>
        <w:widowControl/>
        <w:adjustRightInd w:val="0"/>
        <w:snapToGrid w:val="0"/>
        <w:spacing w:line="578" w:lineRule="exact"/>
        <w:ind w:firstLine="640" w:firstLineChars="200"/>
        <w:contextualSpacing/>
        <w:jc w:val="left"/>
        <w:outlineLvl w:val="1"/>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（一）部门预算总体绩效分析</w:t>
      </w:r>
    </w:p>
    <w:p>
      <w:pPr>
        <w:adjustRightInd w:val="0"/>
        <w:snapToGrid w:val="0"/>
        <w:spacing w:line="578" w:lineRule="exact"/>
        <w:ind w:firstLine="640" w:firstLineChars="200"/>
        <w:contextualSpacing/>
        <w:jc w:val="left"/>
        <w:outlineLvl w:val="2"/>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rPr>
        <w:t>1.</w:t>
      </w:r>
      <w:r>
        <w:rPr>
          <w:rFonts w:hint="eastAsia" w:ascii="方正仿宋_GB2312" w:hAnsi="方正仿宋_GB2312" w:eastAsia="方正仿宋_GB2312" w:cs="方正仿宋_GB2312"/>
          <w:color w:val="000000"/>
          <w:kern w:val="0"/>
          <w:sz w:val="32"/>
          <w:szCs w:val="32"/>
          <w:shd w:val="clear" w:color="auto" w:fill="FFFFFF"/>
          <w:lang w:val="zh-CN"/>
        </w:rPr>
        <w:t>履职效能</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渠县静边镇第</w:t>
      </w:r>
      <w:r>
        <w:rPr>
          <w:rFonts w:hint="eastAsia" w:ascii="方正仿宋_GB2312" w:hAnsi="方正仿宋_GB2312" w:eastAsia="方正仿宋_GB2312" w:cs="方正仿宋_GB2312"/>
          <w:color w:val="000000"/>
          <w:kern w:val="0"/>
          <w:sz w:val="32"/>
          <w:szCs w:val="32"/>
          <w:shd w:val="clear" w:color="auto" w:fill="FFFFFF"/>
          <w:lang w:val="en-US" w:eastAsia="zh-CN"/>
        </w:rPr>
        <w:t>三学校</w:t>
      </w:r>
      <w:r>
        <w:rPr>
          <w:rFonts w:hint="eastAsia" w:ascii="方正仿宋_GB2312" w:hAnsi="方正仿宋_GB2312" w:eastAsia="方正仿宋_GB2312" w:cs="方正仿宋_GB2312"/>
          <w:color w:val="000000"/>
          <w:kern w:val="0"/>
          <w:sz w:val="32"/>
          <w:szCs w:val="32"/>
          <w:shd w:val="clear" w:color="auto" w:fill="FFFFFF"/>
        </w:rPr>
        <w:t>认真贯彻落实党的教育方针和政策，围绕办学宗旨，努力抓好</w:t>
      </w:r>
      <w:r>
        <w:rPr>
          <w:rFonts w:hint="eastAsia" w:ascii="方正仿宋_GB2312" w:hAnsi="方正仿宋_GB2312" w:eastAsia="方正仿宋_GB2312" w:cs="方正仿宋_GB2312"/>
          <w:color w:val="000000"/>
          <w:kern w:val="0"/>
          <w:sz w:val="32"/>
          <w:szCs w:val="32"/>
          <w:shd w:val="clear" w:color="auto" w:fill="FFFFFF"/>
          <w:lang w:val="en-US" w:eastAsia="zh-CN"/>
        </w:rPr>
        <w:t>九年</w:t>
      </w:r>
      <w:r>
        <w:rPr>
          <w:rFonts w:hint="eastAsia" w:ascii="方正仿宋_GB2312" w:hAnsi="方正仿宋_GB2312" w:eastAsia="方正仿宋_GB2312" w:cs="方正仿宋_GB2312"/>
          <w:color w:val="000000"/>
          <w:kern w:val="0"/>
          <w:sz w:val="32"/>
          <w:szCs w:val="32"/>
          <w:shd w:val="clear" w:color="auto" w:fill="FFFFFF"/>
        </w:rPr>
        <w:t>义务教育，促进基础教育发展，按时按质全面完成上级部门布置的各种任务，为促进渠县经济社会持续健康发展作出积极努力。</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学校管理：加强班子队伍管理建设，进一步完善学校各项制定与方案；努力打造一支团结、和谐，有凝聚力的班子队伍； 狠抓教师队伍建设，促进教师素质提升。</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教育教学：全面推进素质教育，以德育为先，以教学为中心，以习惯养成教育为基础，全面推进基础教育课程改革，进一步落实“双减”工作和“五项管理”，抓好课后延时服务工作。</w:t>
      </w:r>
    </w:p>
    <w:p>
      <w:pPr>
        <w:adjustRightInd w:val="0"/>
        <w:snapToGrid w:val="0"/>
        <w:spacing w:line="578" w:lineRule="exact"/>
        <w:ind w:firstLine="640" w:firstLineChars="200"/>
        <w:contextualSpacing/>
        <w:jc w:val="left"/>
        <w:outlineLvl w:val="2"/>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rPr>
        <w:t>2.</w:t>
      </w:r>
      <w:r>
        <w:rPr>
          <w:rFonts w:hint="eastAsia" w:ascii="方正仿宋_GB2312" w:hAnsi="方正仿宋_GB2312" w:eastAsia="方正仿宋_GB2312" w:cs="方正仿宋_GB2312"/>
          <w:color w:val="000000"/>
          <w:kern w:val="0"/>
          <w:sz w:val="32"/>
          <w:szCs w:val="32"/>
          <w:shd w:val="clear" w:color="auto" w:fill="FFFFFF"/>
          <w:lang w:val="zh-CN"/>
        </w:rPr>
        <w:t>预算管理</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1）预算编制。预算编制严格按照《中华人民共和国预算法实施条例》相关规定，按照财政批复的部门预算和绩效目标的项目和用途使用资金，不擅自调剂使用。在预算金额内严格控制费用的支出，控制超支现象的发生。对于年度无法预计的临时追加的相关工作所需费用，用其他费用项目结余资金调剂使用或需要追加费用预算的，按照费用预算调整的报批程序，经批准后才进行处理。</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2024年年初财政拨款预算数</w:t>
      </w:r>
      <w:r>
        <w:rPr>
          <w:rFonts w:hint="eastAsia" w:ascii="方正仿宋_GB2312" w:hAnsi="方正仿宋_GB2312" w:eastAsia="方正仿宋_GB2312" w:cs="方正仿宋_GB2312"/>
          <w:sz w:val="32"/>
          <w:szCs w:val="32"/>
          <w:lang w:val="en-US" w:eastAsia="zh-CN"/>
        </w:rPr>
        <w:t>1141.39</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color w:val="000000"/>
          <w:kern w:val="0"/>
          <w:sz w:val="32"/>
          <w:szCs w:val="32"/>
          <w:shd w:val="clear" w:color="auto" w:fill="FFFFFF"/>
        </w:rPr>
        <w:t>，中期财政调整预算数</w:t>
      </w:r>
      <w:r>
        <w:rPr>
          <w:rFonts w:hint="eastAsia" w:ascii="方正仿宋_GB2312" w:hAnsi="方正仿宋_GB2312" w:eastAsia="方正仿宋_GB2312" w:cs="方正仿宋_GB2312"/>
          <w:color w:val="000000"/>
          <w:kern w:val="0"/>
          <w:sz w:val="32"/>
          <w:szCs w:val="32"/>
          <w:shd w:val="clear" w:color="auto" w:fill="FFFFFF"/>
          <w:lang w:val="en-US" w:eastAsia="zh-CN"/>
        </w:rPr>
        <w:t>70.97</w:t>
      </w:r>
      <w:r>
        <w:rPr>
          <w:rFonts w:hint="eastAsia" w:ascii="方正仿宋_GB2312" w:hAnsi="方正仿宋_GB2312" w:eastAsia="方正仿宋_GB2312" w:cs="方正仿宋_GB2312"/>
          <w:color w:val="000000"/>
          <w:kern w:val="0"/>
          <w:sz w:val="32"/>
          <w:szCs w:val="32"/>
          <w:shd w:val="clear" w:color="auto" w:fill="FFFFFF"/>
        </w:rPr>
        <w:t>万元，财政拨款预算执行数</w:t>
      </w:r>
      <w:r>
        <w:rPr>
          <w:rFonts w:hint="eastAsia" w:ascii="方正仿宋_GB2312" w:hAnsi="方正仿宋_GB2312" w:eastAsia="方正仿宋_GB2312" w:cs="方正仿宋_GB2312"/>
          <w:sz w:val="32"/>
          <w:szCs w:val="32"/>
          <w:lang w:val="en-US" w:eastAsia="zh-CN"/>
        </w:rPr>
        <w:t>1212.36</w:t>
      </w:r>
      <w:r>
        <w:rPr>
          <w:rFonts w:hint="eastAsia" w:ascii="方正仿宋_GB2312" w:hAnsi="方正仿宋_GB2312" w:eastAsia="方正仿宋_GB2312" w:cs="方正仿宋_GB2312"/>
          <w:color w:val="000000"/>
          <w:kern w:val="0"/>
          <w:sz w:val="32"/>
          <w:szCs w:val="32"/>
          <w:shd w:val="clear" w:color="auto" w:fill="FFFFFF"/>
        </w:rPr>
        <w:t>万元，财政拨款预算偏离度为0。</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（2）收入统筹。四川省渠县静边镇</w:t>
      </w:r>
      <w:r>
        <w:rPr>
          <w:rFonts w:hint="eastAsia" w:ascii="方正仿宋_GB2312" w:hAnsi="方正仿宋_GB2312" w:eastAsia="方正仿宋_GB2312" w:cs="方正仿宋_GB2312"/>
          <w:color w:val="000000"/>
          <w:kern w:val="0"/>
          <w:sz w:val="32"/>
          <w:szCs w:val="32"/>
          <w:shd w:val="clear" w:color="auto" w:fill="FFFFFF"/>
          <w:lang w:val="en-US" w:eastAsia="zh-CN"/>
        </w:rPr>
        <w:t>三学校</w:t>
      </w:r>
      <w:r>
        <w:rPr>
          <w:rFonts w:hint="eastAsia" w:ascii="方正仿宋_GB2312" w:hAnsi="方正仿宋_GB2312" w:eastAsia="方正仿宋_GB2312" w:cs="方正仿宋_GB2312"/>
          <w:color w:val="000000"/>
          <w:kern w:val="0"/>
          <w:sz w:val="32"/>
          <w:szCs w:val="32"/>
          <w:shd w:val="clear" w:color="auto" w:fill="FFFFFF"/>
        </w:rPr>
        <w:t>已建立自有收入统筹机制，2024年度无自有收入。</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（3）支出执行。四川省渠县静边镇第</w:t>
      </w:r>
      <w:r>
        <w:rPr>
          <w:rFonts w:hint="eastAsia" w:ascii="方正仿宋_GB2312" w:hAnsi="方正仿宋_GB2312" w:eastAsia="方正仿宋_GB2312" w:cs="方正仿宋_GB2312"/>
          <w:color w:val="000000"/>
          <w:kern w:val="0"/>
          <w:sz w:val="32"/>
          <w:szCs w:val="32"/>
          <w:shd w:val="clear" w:color="auto" w:fill="FFFFFF"/>
          <w:lang w:val="en-US" w:eastAsia="zh-CN"/>
        </w:rPr>
        <w:t>三学校</w:t>
      </w:r>
      <w:r>
        <w:rPr>
          <w:rFonts w:hint="eastAsia" w:ascii="方正仿宋_GB2312" w:hAnsi="方正仿宋_GB2312" w:eastAsia="方正仿宋_GB2312" w:cs="方正仿宋_GB2312"/>
          <w:color w:val="000000"/>
          <w:kern w:val="0"/>
          <w:sz w:val="32"/>
          <w:szCs w:val="32"/>
          <w:shd w:val="clear" w:color="auto" w:fill="FFFFFF"/>
        </w:rPr>
        <w:t>2024年1至6月支出实际执行数</w:t>
      </w:r>
      <w:r>
        <w:rPr>
          <w:rFonts w:hint="eastAsia" w:ascii="方正仿宋_GB2312" w:hAnsi="方正仿宋_GB2312" w:eastAsia="方正仿宋_GB2312" w:cs="方正仿宋_GB2312"/>
          <w:color w:val="000000"/>
          <w:kern w:val="0"/>
          <w:sz w:val="32"/>
          <w:szCs w:val="32"/>
          <w:shd w:val="clear" w:color="auto" w:fill="FFFFFF"/>
          <w:lang w:val="en-US" w:eastAsia="zh-CN"/>
        </w:rPr>
        <w:t>769.48</w:t>
      </w:r>
      <w:r>
        <w:rPr>
          <w:rFonts w:hint="eastAsia" w:ascii="方正仿宋_GB2312" w:hAnsi="方正仿宋_GB2312" w:eastAsia="方正仿宋_GB2312" w:cs="方正仿宋_GB2312"/>
          <w:color w:val="000000"/>
          <w:kern w:val="0"/>
          <w:sz w:val="32"/>
          <w:szCs w:val="32"/>
          <w:shd w:val="clear" w:color="auto" w:fill="FFFFFF"/>
        </w:rPr>
        <w:t>万元，预算执行率100%；1至10月支出实际执行数</w:t>
      </w:r>
      <w:r>
        <w:rPr>
          <w:rFonts w:hint="eastAsia" w:ascii="方正仿宋_GB2312" w:hAnsi="方正仿宋_GB2312" w:eastAsia="方正仿宋_GB2312" w:cs="方正仿宋_GB2312"/>
          <w:color w:val="000000"/>
          <w:kern w:val="0"/>
          <w:sz w:val="32"/>
          <w:szCs w:val="32"/>
          <w:shd w:val="clear" w:color="auto" w:fill="FFFFFF"/>
          <w:lang w:val="en-US" w:eastAsia="zh-CN"/>
        </w:rPr>
        <w:t>1045.08</w:t>
      </w:r>
      <w:r>
        <w:rPr>
          <w:rFonts w:hint="eastAsia" w:ascii="方正仿宋_GB2312" w:hAnsi="方正仿宋_GB2312" w:eastAsia="方正仿宋_GB2312" w:cs="方正仿宋_GB2312"/>
          <w:color w:val="000000"/>
          <w:kern w:val="0"/>
          <w:sz w:val="32"/>
          <w:szCs w:val="32"/>
          <w:shd w:val="clear" w:color="auto" w:fill="FFFFFF"/>
        </w:rPr>
        <w:t>万元，预算执行率100%，未发生支出预警和支出违规的情况。</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（4）预算年终结余。2024年底四川省渠县静边镇第</w:t>
      </w:r>
      <w:r>
        <w:rPr>
          <w:rFonts w:hint="eastAsia" w:ascii="方正仿宋_GB2312" w:hAnsi="方正仿宋_GB2312" w:eastAsia="方正仿宋_GB2312" w:cs="方正仿宋_GB2312"/>
          <w:color w:val="000000"/>
          <w:kern w:val="0"/>
          <w:sz w:val="32"/>
          <w:szCs w:val="32"/>
          <w:shd w:val="clear" w:color="auto" w:fill="FFFFFF"/>
          <w:lang w:val="en-US" w:eastAsia="zh-CN"/>
        </w:rPr>
        <w:t>三学校</w:t>
      </w:r>
      <w:r>
        <w:rPr>
          <w:rFonts w:hint="eastAsia" w:ascii="方正仿宋_GB2312" w:hAnsi="方正仿宋_GB2312" w:eastAsia="方正仿宋_GB2312" w:cs="方正仿宋_GB2312"/>
          <w:color w:val="000000"/>
          <w:kern w:val="0"/>
          <w:sz w:val="32"/>
          <w:szCs w:val="32"/>
          <w:shd w:val="clear" w:color="auto" w:fill="FFFFFF"/>
        </w:rPr>
        <w:t>预算年终结余资金0万元，预算年终结余率与上年持平。</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（5）严控一般性支出。严控“三公”经费、会议、培训、差旅、办节办展、办公设备购置、信息网络及软件购置更新、课题经费等8项一般性支出。</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2024年“三公”经费支出为0万元，与2023年持平。</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2024年培训费支出</w:t>
      </w:r>
      <w:r>
        <w:rPr>
          <w:rFonts w:hint="eastAsia" w:ascii="方正仿宋_GB2312" w:hAnsi="方正仿宋_GB2312" w:eastAsia="方正仿宋_GB2312" w:cs="方正仿宋_GB2312"/>
          <w:color w:val="000000"/>
          <w:kern w:val="0"/>
          <w:sz w:val="32"/>
          <w:szCs w:val="32"/>
          <w:shd w:val="clear" w:color="auto" w:fill="FFFFFF"/>
          <w:lang w:val="en-US" w:eastAsia="zh-CN"/>
        </w:rPr>
        <w:t>2.18</w:t>
      </w:r>
      <w:r>
        <w:rPr>
          <w:rFonts w:hint="eastAsia" w:ascii="方正仿宋_GB2312" w:hAnsi="方正仿宋_GB2312" w:eastAsia="方正仿宋_GB2312" w:cs="方正仿宋_GB2312"/>
          <w:color w:val="000000"/>
          <w:kern w:val="0"/>
          <w:sz w:val="32"/>
          <w:szCs w:val="32"/>
          <w:shd w:val="clear" w:color="auto" w:fill="FFFFFF"/>
        </w:rPr>
        <w:t>万元，较上年减少</w:t>
      </w:r>
      <w:r>
        <w:rPr>
          <w:rFonts w:hint="eastAsia" w:ascii="方正仿宋_GB2312" w:hAnsi="方正仿宋_GB2312" w:eastAsia="方正仿宋_GB2312" w:cs="方正仿宋_GB2312"/>
          <w:color w:val="000000"/>
          <w:kern w:val="0"/>
          <w:sz w:val="32"/>
          <w:szCs w:val="32"/>
          <w:shd w:val="clear" w:color="auto" w:fill="FFFFFF"/>
          <w:lang w:val="en-US" w:eastAsia="zh-CN"/>
        </w:rPr>
        <w:t>26.35</w:t>
      </w:r>
      <w:r>
        <w:rPr>
          <w:rFonts w:hint="eastAsia" w:ascii="方正仿宋_GB2312" w:hAnsi="方正仿宋_GB2312" w:eastAsia="方正仿宋_GB2312" w:cs="方正仿宋_GB2312"/>
          <w:color w:val="000000"/>
          <w:kern w:val="0"/>
          <w:sz w:val="32"/>
          <w:szCs w:val="32"/>
          <w:shd w:val="clear" w:color="auto" w:fill="FFFFFF"/>
        </w:rPr>
        <w:t>%。</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2024年会议费支出0万元，较上年减少100%，2024年无会议费支出。</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sz w:val="32"/>
          <w:szCs w:val="32"/>
          <w:lang w:val="zh-CN"/>
        </w:rPr>
      </w:pPr>
      <w:r>
        <w:rPr>
          <w:rFonts w:hint="eastAsia" w:ascii="方正仿宋_GB2312" w:hAnsi="方正仿宋_GB2312" w:eastAsia="方正仿宋_GB2312" w:cs="方正仿宋_GB2312"/>
          <w:color w:val="000000"/>
          <w:kern w:val="0"/>
          <w:sz w:val="32"/>
          <w:szCs w:val="32"/>
          <w:shd w:val="clear" w:color="auto" w:fill="FFFFFF"/>
        </w:rPr>
        <w:t>2024年办公设备采购支出0万元，与2023年持平。</w:t>
      </w:r>
    </w:p>
    <w:p>
      <w:pPr>
        <w:adjustRightInd w:val="0"/>
        <w:snapToGrid w:val="0"/>
        <w:spacing w:line="578" w:lineRule="exact"/>
        <w:ind w:firstLine="640" w:firstLineChars="200"/>
        <w:contextualSpacing/>
        <w:jc w:val="left"/>
        <w:outlineLvl w:val="2"/>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rPr>
        <w:t>3.</w:t>
      </w:r>
      <w:r>
        <w:rPr>
          <w:rFonts w:hint="eastAsia" w:ascii="方正仿宋_GB2312" w:hAnsi="方正仿宋_GB2312" w:eastAsia="方正仿宋_GB2312" w:cs="方正仿宋_GB2312"/>
          <w:color w:val="000000"/>
          <w:kern w:val="0"/>
          <w:sz w:val="32"/>
          <w:szCs w:val="32"/>
          <w:shd w:val="clear" w:color="auto" w:fill="FFFFFF"/>
          <w:lang w:val="zh-CN"/>
        </w:rPr>
        <w:t>财务管理</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本单位制定了财务管理相关制度，各项经济业务活动严格按照制度规定执行；根据不相容岗位分离原则，设置了财务工作相关岗位，并明确职责权限；本年度资金使用规范，未发现不符合相关财务管理制度规定的情况。</w:t>
      </w:r>
    </w:p>
    <w:p>
      <w:pPr>
        <w:adjustRightInd w:val="0"/>
        <w:snapToGrid w:val="0"/>
        <w:spacing w:line="578" w:lineRule="exact"/>
        <w:ind w:firstLine="640" w:firstLineChars="200"/>
        <w:contextualSpacing/>
        <w:jc w:val="left"/>
        <w:outlineLvl w:val="2"/>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rPr>
        <w:t>4.</w:t>
      </w:r>
      <w:r>
        <w:rPr>
          <w:rFonts w:hint="eastAsia" w:ascii="方正仿宋_GB2312" w:hAnsi="方正仿宋_GB2312" w:eastAsia="方正仿宋_GB2312" w:cs="方正仿宋_GB2312"/>
          <w:color w:val="000000"/>
          <w:kern w:val="0"/>
          <w:sz w:val="32"/>
          <w:szCs w:val="32"/>
          <w:shd w:val="clear" w:color="auto" w:fill="FFFFFF"/>
          <w:lang w:val="zh-CN"/>
        </w:rPr>
        <w:t>资产管理</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2024年新增资产0万元。资产的购置严格按照《四川省省级行政事业单位通用办公设备和家具配置标准》的规定配置，无超标准配置情况，资产配置预算偏离度0。办公家具及办公设备等资产的超最低使用年限资产利用率为100.00%，</w:t>
      </w:r>
      <w:r>
        <w:rPr>
          <w:rFonts w:hint="eastAsia" w:ascii="方正仿宋_GB2312" w:hAnsi="方正仿宋_GB2312" w:eastAsia="方正仿宋_GB2312" w:cs="方正仿宋_GB2312"/>
          <w:color w:val="000000"/>
          <w:kern w:val="0"/>
          <w:sz w:val="32"/>
          <w:szCs w:val="32"/>
          <w:shd w:val="clear" w:color="auto" w:fill="FFFFFF"/>
          <w:lang w:val="zh-CN"/>
        </w:rPr>
        <w:t>资产利用</w:t>
      </w:r>
      <w:r>
        <w:rPr>
          <w:rFonts w:hint="eastAsia" w:ascii="方正仿宋_GB2312" w:hAnsi="方正仿宋_GB2312" w:eastAsia="方正仿宋_GB2312" w:cs="方正仿宋_GB2312"/>
          <w:color w:val="000000"/>
          <w:kern w:val="0"/>
          <w:sz w:val="32"/>
          <w:szCs w:val="32"/>
          <w:shd w:val="clear" w:color="auto" w:fill="FFFFFF"/>
        </w:rPr>
        <w:t>100.00%。</w:t>
      </w:r>
    </w:p>
    <w:p>
      <w:pPr>
        <w:adjustRightInd w:val="0"/>
        <w:snapToGrid w:val="0"/>
        <w:spacing w:line="578" w:lineRule="exact"/>
        <w:ind w:firstLine="640" w:firstLineChars="200"/>
        <w:contextualSpacing/>
        <w:jc w:val="left"/>
        <w:outlineLvl w:val="2"/>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rPr>
        <w:t>5.</w:t>
      </w:r>
      <w:r>
        <w:rPr>
          <w:rFonts w:hint="eastAsia" w:ascii="方正仿宋_GB2312" w:hAnsi="方正仿宋_GB2312" w:eastAsia="方正仿宋_GB2312" w:cs="方正仿宋_GB2312"/>
          <w:color w:val="000000"/>
          <w:kern w:val="0"/>
          <w:sz w:val="32"/>
          <w:szCs w:val="32"/>
          <w:shd w:val="clear" w:color="auto" w:fill="FFFFFF"/>
          <w:lang w:val="zh-CN"/>
        </w:rPr>
        <w:t>采购管理</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rPr>
        <w:t>2024年无政府采购预算和支出，政府采购预算偏离度0.00。</w:t>
      </w:r>
    </w:p>
    <w:p>
      <w:pPr>
        <w:widowControl/>
        <w:adjustRightInd w:val="0"/>
        <w:snapToGrid w:val="0"/>
        <w:spacing w:line="578" w:lineRule="exact"/>
        <w:ind w:firstLine="640" w:firstLineChars="200"/>
        <w:contextualSpacing/>
        <w:jc w:val="left"/>
        <w:outlineLvl w:val="1"/>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（二）部门预算项目绩效分析</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rPr>
        <w:t>常年项目绩效分析。</w:t>
      </w:r>
      <w:r>
        <w:rPr>
          <w:rFonts w:hint="eastAsia" w:ascii="方正仿宋_GB2312" w:hAnsi="方正仿宋_GB2312" w:eastAsia="方正仿宋_GB2312" w:cs="方正仿宋_GB2312"/>
          <w:color w:val="000000"/>
          <w:kern w:val="0"/>
          <w:sz w:val="32"/>
          <w:szCs w:val="32"/>
          <w:shd w:val="clear" w:color="auto" w:fill="FFFFFF"/>
          <w:lang w:val="zh-CN"/>
        </w:rPr>
        <w:t>该类项目总数</w:t>
      </w:r>
      <w:r>
        <w:rPr>
          <w:rFonts w:hint="eastAsia" w:ascii="方正仿宋_GB2312" w:hAnsi="方正仿宋_GB2312" w:eastAsia="方正仿宋_GB2312" w:cs="方正仿宋_GB2312"/>
          <w:color w:val="000000"/>
          <w:kern w:val="0"/>
          <w:sz w:val="32"/>
          <w:szCs w:val="32"/>
          <w:shd w:val="clear" w:color="auto" w:fill="FFFFFF"/>
        </w:rPr>
        <w:t>18</w:t>
      </w:r>
      <w:r>
        <w:rPr>
          <w:rFonts w:hint="eastAsia" w:ascii="方正仿宋_GB2312" w:hAnsi="方正仿宋_GB2312" w:eastAsia="方正仿宋_GB2312" w:cs="方正仿宋_GB2312"/>
          <w:color w:val="000000"/>
          <w:kern w:val="0"/>
          <w:sz w:val="32"/>
          <w:szCs w:val="32"/>
          <w:shd w:val="clear" w:color="auto" w:fill="FFFFFF"/>
          <w:lang w:val="zh-CN"/>
        </w:rPr>
        <w:t>个，涉及预算总金额</w:t>
      </w:r>
      <w:r>
        <w:rPr>
          <w:rFonts w:hint="eastAsia" w:ascii="方正仿宋_GB2312" w:hAnsi="方正仿宋_GB2312" w:eastAsia="方正仿宋_GB2312" w:cs="方正仿宋_GB2312"/>
          <w:color w:val="000000"/>
          <w:kern w:val="0"/>
          <w:sz w:val="32"/>
          <w:szCs w:val="32"/>
          <w:shd w:val="clear" w:color="auto" w:fill="FFFFFF"/>
          <w:lang w:val="en-US" w:eastAsia="zh-CN"/>
        </w:rPr>
        <w:t>1212.36</w:t>
      </w:r>
      <w:r>
        <w:rPr>
          <w:rFonts w:hint="eastAsia" w:ascii="方正仿宋_GB2312" w:hAnsi="方正仿宋_GB2312" w:eastAsia="方正仿宋_GB2312" w:cs="方正仿宋_GB2312"/>
          <w:color w:val="000000"/>
          <w:kern w:val="0"/>
          <w:sz w:val="32"/>
          <w:szCs w:val="32"/>
          <w:shd w:val="clear" w:color="auto" w:fill="FFFFFF"/>
          <w:lang w:val="zh-CN"/>
        </w:rPr>
        <w:t>万元，1—1</w:t>
      </w:r>
      <w:r>
        <w:rPr>
          <w:rFonts w:hint="eastAsia" w:ascii="方正仿宋_GB2312" w:hAnsi="方正仿宋_GB2312" w:eastAsia="方正仿宋_GB2312" w:cs="方正仿宋_GB2312"/>
          <w:color w:val="000000"/>
          <w:kern w:val="0"/>
          <w:sz w:val="32"/>
          <w:szCs w:val="32"/>
          <w:shd w:val="clear" w:color="auto" w:fill="FFFFFF"/>
        </w:rPr>
        <w:t>2</w:t>
      </w:r>
      <w:r>
        <w:rPr>
          <w:rFonts w:hint="eastAsia" w:ascii="方正仿宋_GB2312" w:hAnsi="方正仿宋_GB2312" w:eastAsia="方正仿宋_GB2312" w:cs="方正仿宋_GB2312"/>
          <w:color w:val="000000"/>
          <w:kern w:val="0"/>
          <w:sz w:val="32"/>
          <w:szCs w:val="32"/>
          <w:shd w:val="clear" w:color="auto" w:fill="FFFFFF"/>
          <w:lang w:val="zh-CN"/>
        </w:rPr>
        <w:t>月预算执行总体进度为</w:t>
      </w:r>
      <w:r>
        <w:rPr>
          <w:rFonts w:hint="eastAsia" w:ascii="方正仿宋_GB2312" w:hAnsi="方正仿宋_GB2312" w:eastAsia="方正仿宋_GB2312" w:cs="方正仿宋_GB2312"/>
          <w:color w:val="000000"/>
          <w:kern w:val="0"/>
          <w:sz w:val="32"/>
          <w:szCs w:val="32"/>
          <w:shd w:val="clear" w:color="auto" w:fill="FFFFFF"/>
        </w:rPr>
        <w:t>100</w:t>
      </w:r>
      <w:r>
        <w:rPr>
          <w:rFonts w:hint="eastAsia" w:ascii="方正仿宋_GB2312" w:hAnsi="方正仿宋_GB2312" w:eastAsia="方正仿宋_GB2312" w:cs="方正仿宋_GB2312"/>
          <w:color w:val="000000"/>
          <w:kern w:val="0"/>
          <w:sz w:val="32"/>
          <w:szCs w:val="32"/>
          <w:shd w:val="clear" w:color="auto" w:fill="FFFFFF"/>
          <w:lang w:val="zh-CN"/>
        </w:rPr>
        <w:t>%，其中：预算结余率大于</w:t>
      </w:r>
      <w:r>
        <w:rPr>
          <w:rFonts w:hint="eastAsia" w:ascii="方正仿宋_GB2312" w:hAnsi="方正仿宋_GB2312" w:eastAsia="方正仿宋_GB2312" w:cs="方正仿宋_GB2312"/>
          <w:color w:val="000000"/>
          <w:kern w:val="0"/>
          <w:sz w:val="32"/>
          <w:szCs w:val="32"/>
          <w:shd w:val="clear" w:color="auto" w:fill="FFFFFF"/>
        </w:rPr>
        <w:t>10%</w:t>
      </w:r>
      <w:r>
        <w:rPr>
          <w:rFonts w:hint="eastAsia" w:ascii="方正仿宋_GB2312" w:hAnsi="方正仿宋_GB2312" w:eastAsia="方正仿宋_GB2312" w:cs="方正仿宋_GB2312"/>
          <w:color w:val="000000"/>
          <w:kern w:val="0"/>
          <w:sz w:val="32"/>
          <w:szCs w:val="32"/>
          <w:shd w:val="clear" w:color="auto" w:fill="FFFFFF"/>
          <w:lang w:val="zh-CN"/>
        </w:rPr>
        <w:t>的项目共计</w:t>
      </w:r>
      <w:r>
        <w:rPr>
          <w:rFonts w:hint="eastAsia" w:ascii="方正仿宋_GB2312" w:hAnsi="方正仿宋_GB2312" w:eastAsia="方正仿宋_GB2312" w:cs="方正仿宋_GB2312"/>
          <w:color w:val="000000"/>
          <w:kern w:val="0"/>
          <w:sz w:val="32"/>
          <w:szCs w:val="32"/>
          <w:shd w:val="clear" w:color="auto" w:fill="FFFFFF"/>
        </w:rPr>
        <w:t>0</w:t>
      </w:r>
      <w:r>
        <w:rPr>
          <w:rFonts w:hint="eastAsia" w:ascii="方正仿宋_GB2312" w:hAnsi="方正仿宋_GB2312" w:eastAsia="方正仿宋_GB2312" w:cs="方正仿宋_GB2312"/>
          <w:color w:val="000000"/>
          <w:kern w:val="0"/>
          <w:sz w:val="32"/>
          <w:szCs w:val="32"/>
          <w:shd w:val="clear" w:color="auto" w:fill="FFFFFF"/>
          <w:lang w:val="zh-CN"/>
        </w:rPr>
        <w:t>个。</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rPr>
      </w:pPr>
      <w:r>
        <w:rPr>
          <w:rFonts w:hint="eastAsia" w:ascii="方正仿宋_GB2312" w:hAnsi="方正仿宋_GB2312" w:eastAsia="方正仿宋_GB2312" w:cs="方正仿宋_GB2312"/>
          <w:color w:val="000000"/>
          <w:kern w:val="0"/>
          <w:sz w:val="32"/>
          <w:szCs w:val="32"/>
          <w:shd w:val="clear" w:color="auto" w:fill="FFFFFF"/>
        </w:rPr>
        <w:t>阶段（一次性）项目绩效分析。</w:t>
      </w:r>
      <w:r>
        <w:rPr>
          <w:rFonts w:hint="eastAsia" w:ascii="方正仿宋_GB2312" w:hAnsi="方正仿宋_GB2312" w:eastAsia="方正仿宋_GB2312" w:cs="方正仿宋_GB2312"/>
          <w:color w:val="000000"/>
          <w:kern w:val="0"/>
          <w:sz w:val="32"/>
          <w:szCs w:val="32"/>
          <w:shd w:val="clear" w:color="auto" w:fill="FFFFFF"/>
          <w:lang w:val="zh-CN"/>
        </w:rPr>
        <w:t>该类项目总数</w:t>
      </w:r>
      <w:r>
        <w:rPr>
          <w:rFonts w:hint="eastAsia" w:ascii="方正仿宋_GB2312" w:hAnsi="方正仿宋_GB2312" w:eastAsia="方正仿宋_GB2312" w:cs="方正仿宋_GB2312"/>
          <w:color w:val="000000"/>
          <w:kern w:val="0"/>
          <w:sz w:val="32"/>
          <w:szCs w:val="32"/>
          <w:shd w:val="clear" w:color="auto" w:fill="FFFFFF"/>
          <w:lang w:val="en-US" w:eastAsia="zh-CN"/>
        </w:rPr>
        <w:t>0</w:t>
      </w:r>
      <w:r>
        <w:rPr>
          <w:rFonts w:hint="eastAsia" w:ascii="方正仿宋_GB2312" w:hAnsi="方正仿宋_GB2312" w:eastAsia="方正仿宋_GB2312" w:cs="方正仿宋_GB2312"/>
          <w:color w:val="000000"/>
          <w:kern w:val="0"/>
          <w:sz w:val="32"/>
          <w:szCs w:val="32"/>
          <w:shd w:val="clear" w:color="auto" w:fill="FFFFFF"/>
          <w:lang w:val="zh-CN"/>
        </w:rPr>
        <w:t>个，涉及预算总金额</w:t>
      </w:r>
      <w:r>
        <w:rPr>
          <w:rFonts w:hint="eastAsia" w:ascii="方正仿宋_GB2312" w:hAnsi="方正仿宋_GB2312" w:eastAsia="方正仿宋_GB2312" w:cs="方正仿宋_GB2312"/>
          <w:color w:val="000000"/>
          <w:kern w:val="0"/>
          <w:sz w:val="32"/>
          <w:szCs w:val="32"/>
          <w:shd w:val="clear" w:color="auto" w:fill="FFFFFF"/>
          <w:lang w:val="en-US" w:eastAsia="zh-CN"/>
        </w:rPr>
        <w:t>0</w:t>
      </w:r>
      <w:r>
        <w:rPr>
          <w:rFonts w:hint="eastAsia" w:ascii="方正仿宋_GB2312" w:hAnsi="方正仿宋_GB2312" w:eastAsia="方正仿宋_GB2312" w:cs="方正仿宋_GB2312"/>
          <w:color w:val="000000"/>
          <w:kern w:val="0"/>
          <w:sz w:val="32"/>
          <w:szCs w:val="32"/>
          <w:shd w:val="clear" w:color="auto" w:fill="FFFFFF"/>
          <w:lang w:val="zh-CN"/>
        </w:rPr>
        <w:t>万元，1—1</w:t>
      </w:r>
      <w:r>
        <w:rPr>
          <w:rFonts w:hint="eastAsia" w:ascii="方正仿宋_GB2312" w:hAnsi="方正仿宋_GB2312" w:eastAsia="方正仿宋_GB2312" w:cs="方正仿宋_GB2312"/>
          <w:color w:val="000000"/>
          <w:kern w:val="0"/>
          <w:sz w:val="32"/>
          <w:szCs w:val="32"/>
          <w:shd w:val="clear" w:color="auto" w:fill="FFFFFF"/>
        </w:rPr>
        <w:t>2</w:t>
      </w:r>
      <w:r>
        <w:rPr>
          <w:rFonts w:hint="eastAsia" w:ascii="方正仿宋_GB2312" w:hAnsi="方正仿宋_GB2312" w:eastAsia="方正仿宋_GB2312" w:cs="方正仿宋_GB2312"/>
          <w:color w:val="000000"/>
          <w:kern w:val="0"/>
          <w:sz w:val="32"/>
          <w:szCs w:val="32"/>
          <w:shd w:val="clear" w:color="auto" w:fill="FFFFFF"/>
          <w:lang w:val="zh-CN"/>
        </w:rPr>
        <w:t>月预算执行总体进度</w:t>
      </w:r>
      <w:r>
        <w:rPr>
          <w:rFonts w:hint="eastAsia" w:ascii="方正仿宋_GB2312" w:hAnsi="方正仿宋_GB2312" w:eastAsia="方正仿宋_GB2312" w:cs="方正仿宋_GB2312"/>
          <w:color w:val="000000"/>
          <w:kern w:val="0"/>
          <w:sz w:val="32"/>
          <w:szCs w:val="32"/>
          <w:shd w:val="clear" w:color="auto" w:fill="FFFFFF"/>
        </w:rPr>
        <w:t>100</w:t>
      </w:r>
      <w:r>
        <w:rPr>
          <w:rFonts w:hint="eastAsia" w:ascii="方正仿宋_GB2312" w:hAnsi="方正仿宋_GB2312" w:eastAsia="方正仿宋_GB2312" w:cs="方正仿宋_GB2312"/>
          <w:color w:val="000000"/>
          <w:kern w:val="0"/>
          <w:sz w:val="32"/>
          <w:szCs w:val="32"/>
          <w:shd w:val="clear" w:color="auto" w:fill="FFFFFF"/>
          <w:lang w:val="zh-CN"/>
        </w:rPr>
        <w:t>%，其中：预算结余率大于</w:t>
      </w:r>
      <w:r>
        <w:rPr>
          <w:rFonts w:hint="eastAsia" w:ascii="方正仿宋_GB2312" w:hAnsi="方正仿宋_GB2312" w:eastAsia="方正仿宋_GB2312" w:cs="方正仿宋_GB2312"/>
          <w:color w:val="000000"/>
          <w:kern w:val="0"/>
          <w:sz w:val="32"/>
          <w:szCs w:val="32"/>
          <w:shd w:val="clear" w:color="auto" w:fill="FFFFFF"/>
        </w:rPr>
        <w:t>10%</w:t>
      </w:r>
      <w:r>
        <w:rPr>
          <w:rFonts w:hint="eastAsia" w:ascii="方正仿宋_GB2312" w:hAnsi="方正仿宋_GB2312" w:eastAsia="方正仿宋_GB2312" w:cs="方正仿宋_GB2312"/>
          <w:color w:val="000000"/>
          <w:kern w:val="0"/>
          <w:sz w:val="32"/>
          <w:szCs w:val="32"/>
          <w:shd w:val="clear" w:color="auto" w:fill="FFFFFF"/>
          <w:lang w:val="zh-CN"/>
        </w:rPr>
        <w:t>的项目共计</w:t>
      </w:r>
      <w:r>
        <w:rPr>
          <w:rFonts w:hint="eastAsia" w:ascii="方正仿宋_GB2312" w:hAnsi="方正仿宋_GB2312" w:eastAsia="方正仿宋_GB2312" w:cs="方正仿宋_GB2312"/>
          <w:color w:val="000000"/>
          <w:kern w:val="0"/>
          <w:sz w:val="32"/>
          <w:szCs w:val="32"/>
          <w:shd w:val="clear" w:color="auto" w:fill="FFFFFF"/>
        </w:rPr>
        <w:t>0</w:t>
      </w:r>
      <w:r>
        <w:rPr>
          <w:rFonts w:hint="eastAsia" w:ascii="方正仿宋_GB2312" w:hAnsi="方正仿宋_GB2312" w:eastAsia="方正仿宋_GB2312" w:cs="方正仿宋_GB2312"/>
          <w:color w:val="000000"/>
          <w:kern w:val="0"/>
          <w:sz w:val="32"/>
          <w:szCs w:val="32"/>
          <w:shd w:val="clear" w:color="auto" w:fill="FFFFFF"/>
          <w:lang w:val="zh-CN"/>
        </w:rPr>
        <w:t>个。</w:t>
      </w:r>
    </w:p>
    <w:p>
      <w:pPr>
        <w:adjustRightInd w:val="0"/>
        <w:snapToGrid w:val="0"/>
        <w:spacing w:line="578" w:lineRule="exact"/>
        <w:ind w:firstLine="640" w:firstLineChars="200"/>
        <w:contextualSpacing/>
        <w:jc w:val="left"/>
        <w:outlineLvl w:val="2"/>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rPr>
        <w:t>1.</w:t>
      </w:r>
      <w:r>
        <w:rPr>
          <w:rFonts w:hint="eastAsia" w:ascii="方正仿宋_GB2312" w:hAnsi="方正仿宋_GB2312" w:eastAsia="方正仿宋_GB2312" w:cs="方正仿宋_GB2312"/>
          <w:color w:val="000000"/>
          <w:kern w:val="0"/>
          <w:sz w:val="32"/>
          <w:szCs w:val="32"/>
          <w:shd w:val="clear" w:color="auto" w:fill="FFFFFF"/>
          <w:lang w:val="zh-CN"/>
        </w:rPr>
        <w:t>项目决策</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rPr>
        <w:t>本单位项目</w:t>
      </w:r>
      <w:r>
        <w:rPr>
          <w:rFonts w:hint="eastAsia" w:ascii="方正仿宋_GB2312" w:hAnsi="方正仿宋_GB2312" w:eastAsia="方正仿宋_GB2312" w:cs="方正仿宋_GB2312"/>
          <w:color w:val="000000"/>
          <w:kern w:val="0"/>
          <w:sz w:val="32"/>
          <w:szCs w:val="32"/>
          <w:shd w:val="clear" w:color="auto" w:fill="FFFFFF"/>
          <w:lang w:val="zh-CN"/>
        </w:rPr>
        <w:t>设立</w:t>
      </w:r>
      <w:r>
        <w:rPr>
          <w:rFonts w:hint="eastAsia" w:ascii="方正仿宋_GB2312" w:hAnsi="方正仿宋_GB2312" w:eastAsia="方正仿宋_GB2312" w:cs="方正仿宋_GB2312"/>
          <w:color w:val="000000"/>
          <w:kern w:val="0"/>
          <w:sz w:val="32"/>
          <w:szCs w:val="32"/>
          <w:shd w:val="clear" w:color="auto" w:fill="FFFFFF"/>
        </w:rPr>
        <w:t>严格按照</w:t>
      </w:r>
      <w:r>
        <w:rPr>
          <w:rFonts w:hint="eastAsia" w:ascii="方正仿宋_GB2312" w:hAnsi="方正仿宋_GB2312" w:eastAsia="方正仿宋_GB2312" w:cs="方正仿宋_GB2312"/>
          <w:color w:val="000000"/>
          <w:kern w:val="0"/>
          <w:sz w:val="32"/>
          <w:szCs w:val="32"/>
          <w:shd w:val="clear" w:color="auto" w:fill="FFFFFF"/>
          <w:lang w:val="zh-CN"/>
        </w:rPr>
        <w:t>规定履行评估论证，</w:t>
      </w:r>
      <w:r>
        <w:rPr>
          <w:rFonts w:hint="eastAsia" w:ascii="方正仿宋_GB2312" w:hAnsi="方正仿宋_GB2312" w:eastAsia="方正仿宋_GB2312" w:cs="方正仿宋_GB2312"/>
          <w:color w:val="000000"/>
          <w:kern w:val="0"/>
          <w:sz w:val="32"/>
          <w:szCs w:val="32"/>
          <w:shd w:val="clear" w:color="auto" w:fill="FFFFFF"/>
        </w:rPr>
        <w:t>并按照项目入库管理流程进行申报审核，</w:t>
      </w:r>
      <w:r>
        <w:rPr>
          <w:rFonts w:hint="eastAsia" w:ascii="方正仿宋_GB2312" w:hAnsi="方正仿宋_GB2312" w:eastAsia="方正仿宋_GB2312" w:cs="方正仿宋_GB2312"/>
          <w:color w:val="000000"/>
          <w:kern w:val="0"/>
          <w:sz w:val="32"/>
          <w:szCs w:val="32"/>
          <w:shd w:val="clear" w:color="auto" w:fill="FFFFFF"/>
          <w:lang w:val="zh-CN"/>
        </w:rPr>
        <w:t>切实按照</w:t>
      </w:r>
      <w:r>
        <w:rPr>
          <w:rFonts w:hint="eastAsia" w:ascii="方正仿宋_GB2312" w:hAnsi="方正仿宋_GB2312" w:eastAsia="方正仿宋_GB2312" w:cs="方正仿宋_GB2312"/>
          <w:color w:val="000000"/>
          <w:kern w:val="0"/>
          <w:sz w:val="32"/>
          <w:szCs w:val="32"/>
          <w:shd w:val="clear" w:color="auto" w:fill="FFFFFF"/>
        </w:rPr>
        <w:t>上级部门要求</w:t>
      </w:r>
      <w:r>
        <w:rPr>
          <w:rFonts w:hint="eastAsia" w:ascii="方正仿宋_GB2312" w:hAnsi="方正仿宋_GB2312" w:eastAsia="方正仿宋_GB2312" w:cs="方正仿宋_GB2312"/>
          <w:color w:val="000000"/>
          <w:kern w:val="0"/>
          <w:sz w:val="32"/>
          <w:szCs w:val="32"/>
          <w:shd w:val="clear" w:color="auto" w:fill="FFFFFF"/>
          <w:lang w:val="zh-CN"/>
        </w:rPr>
        <w:t>和年度重点任务制定绩效目标，编制要素科学合理、规范完整，绩效指标编制细化量化，与预算安排相匹配。预算项目</w:t>
      </w:r>
      <w:r>
        <w:rPr>
          <w:rFonts w:hint="eastAsia" w:ascii="方正仿宋_GB2312" w:hAnsi="方正仿宋_GB2312" w:eastAsia="方正仿宋_GB2312" w:cs="方正仿宋_GB2312"/>
          <w:color w:val="000000"/>
          <w:kern w:val="0"/>
          <w:sz w:val="32"/>
          <w:szCs w:val="32"/>
          <w:shd w:val="clear" w:color="auto" w:fill="FFFFFF"/>
        </w:rPr>
        <w:t>均在</w:t>
      </w:r>
      <w:r>
        <w:rPr>
          <w:rFonts w:hint="eastAsia" w:ascii="方正仿宋_GB2312" w:hAnsi="方正仿宋_GB2312" w:eastAsia="方正仿宋_GB2312" w:cs="方正仿宋_GB2312"/>
          <w:color w:val="000000"/>
          <w:kern w:val="0"/>
          <w:sz w:val="32"/>
          <w:szCs w:val="32"/>
          <w:shd w:val="clear" w:color="auto" w:fill="FFFFFF"/>
          <w:lang w:val="zh-CN"/>
        </w:rPr>
        <w:t>规定时间完成项目入库。</w:t>
      </w:r>
    </w:p>
    <w:p>
      <w:pPr>
        <w:adjustRightInd w:val="0"/>
        <w:snapToGrid w:val="0"/>
        <w:spacing w:line="578" w:lineRule="exact"/>
        <w:ind w:firstLine="640" w:firstLineChars="200"/>
        <w:contextualSpacing/>
        <w:jc w:val="left"/>
        <w:outlineLvl w:val="2"/>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rPr>
        <w:t>2.项目执行</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rPr>
        <w:t>本单位</w:t>
      </w:r>
      <w:r>
        <w:rPr>
          <w:rFonts w:hint="eastAsia" w:ascii="方正仿宋_GB2312" w:hAnsi="方正仿宋_GB2312" w:eastAsia="方正仿宋_GB2312" w:cs="方正仿宋_GB2312"/>
          <w:color w:val="000000"/>
          <w:kern w:val="0"/>
          <w:sz w:val="32"/>
          <w:szCs w:val="32"/>
          <w:shd w:val="clear" w:color="auto" w:fill="FFFFFF"/>
          <w:lang w:val="zh-CN"/>
        </w:rPr>
        <w:t>围绕年度重点工作任务，认真履职</w:t>
      </w:r>
      <w:r>
        <w:rPr>
          <w:rFonts w:hint="eastAsia" w:ascii="方正仿宋_GB2312" w:hAnsi="方正仿宋_GB2312" w:eastAsia="方正仿宋_GB2312" w:cs="方正仿宋_GB2312"/>
          <w:color w:val="000000"/>
          <w:kern w:val="0"/>
          <w:sz w:val="32"/>
          <w:szCs w:val="32"/>
          <w:shd w:val="clear" w:color="auto" w:fill="FFFFFF"/>
        </w:rPr>
        <w:t>，</w:t>
      </w:r>
      <w:r>
        <w:rPr>
          <w:rFonts w:hint="eastAsia" w:ascii="方正仿宋_GB2312" w:hAnsi="方正仿宋_GB2312" w:eastAsia="方正仿宋_GB2312" w:cs="方正仿宋_GB2312"/>
          <w:color w:val="000000"/>
          <w:kern w:val="0"/>
          <w:sz w:val="32"/>
          <w:szCs w:val="32"/>
          <w:shd w:val="clear" w:color="auto" w:fill="FFFFFF"/>
          <w:lang w:val="zh-CN"/>
        </w:rPr>
        <w:t>部门整体支出、项目支出绩效目标均实现较好。通过扎实开展整体支出预算绩效和项目绩效运行监控分析，根据分析结果及时对相关经费进行了预算收回或科目调整。</w:t>
      </w:r>
    </w:p>
    <w:p>
      <w:pPr>
        <w:adjustRightInd w:val="0"/>
        <w:snapToGrid w:val="0"/>
        <w:spacing w:line="578" w:lineRule="exact"/>
        <w:ind w:firstLine="640" w:firstLineChars="200"/>
        <w:contextualSpacing/>
        <w:jc w:val="left"/>
        <w:outlineLvl w:val="2"/>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rPr>
        <w:t>3.</w:t>
      </w:r>
      <w:r>
        <w:rPr>
          <w:rFonts w:hint="eastAsia" w:ascii="方正仿宋_GB2312" w:hAnsi="方正仿宋_GB2312" w:eastAsia="方正仿宋_GB2312" w:cs="方正仿宋_GB2312"/>
          <w:color w:val="000000"/>
          <w:kern w:val="0"/>
          <w:sz w:val="32"/>
          <w:szCs w:val="32"/>
          <w:shd w:val="clear" w:color="auto" w:fill="FFFFFF"/>
          <w:lang w:val="zh-CN"/>
        </w:rPr>
        <w:t>目标实现</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rPr>
        <w:t>本单位</w:t>
      </w:r>
      <w:r>
        <w:rPr>
          <w:rFonts w:hint="eastAsia" w:ascii="方正仿宋_GB2312" w:hAnsi="方正仿宋_GB2312" w:eastAsia="方正仿宋_GB2312" w:cs="方正仿宋_GB2312"/>
          <w:color w:val="000000"/>
          <w:kern w:val="0"/>
          <w:sz w:val="32"/>
          <w:szCs w:val="32"/>
          <w:shd w:val="clear" w:color="auto" w:fill="FFFFFF"/>
          <w:lang w:val="zh-CN"/>
        </w:rPr>
        <w:t>围绕各项绩效目标认真履职</w:t>
      </w:r>
      <w:r>
        <w:rPr>
          <w:rFonts w:hint="eastAsia" w:ascii="方正仿宋_GB2312" w:hAnsi="方正仿宋_GB2312" w:eastAsia="方正仿宋_GB2312" w:cs="方正仿宋_GB2312"/>
          <w:color w:val="000000"/>
          <w:kern w:val="0"/>
          <w:sz w:val="32"/>
          <w:szCs w:val="32"/>
          <w:shd w:val="clear" w:color="auto" w:fill="FFFFFF"/>
        </w:rPr>
        <w:t>，</w:t>
      </w:r>
      <w:r>
        <w:rPr>
          <w:rFonts w:hint="eastAsia" w:ascii="方正仿宋_GB2312" w:hAnsi="方正仿宋_GB2312" w:eastAsia="方正仿宋_GB2312" w:cs="方正仿宋_GB2312"/>
          <w:color w:val="000000"/>
          <w:kern w:val="0"/>
          <w:sz w:val="32"/>
          <w:szCs w:val="32"/>
          <w:shd w:val="clear" w:color="auto" w:fill="FFFFFF"/>
          <w:lang w:val="zh-CN"/>
        </w:rPr>
        <w:t>预算项目绩效目标数量指标基本完成，项目整体目标基本实现，未发现预算项目绩效目标数量指标实现程度与预期目标的偏离情况的情况，项目按计划实施，其各项效益指标、满意度指标均达到绩效目标预期效果。</w:t>
      </w:r>
    </w:p>
    <w:p>
      <w:pPr>
        <w:widowControl/>
        <w:adjustRightInd w:val="0"/>
        <w:snapToGrid w:val="0"/>
        <w:spacing w:line="578" w:lineRule="exact"/>
        <w:ind w:firstLine="643" w:firstLineChars="200"/>
        <w:contextualSpacing/>
        <w:jc w:val="left"/>
        <w:outlineLvl w:val="1"/>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b/>
          <w:bCs/>
          <w:color w:val="000000"/>
          <w:kern w:val="0"/>
          <w:sz w:val="32"/>
          <w:szCs w:val="32"/>
          <w:shd w:val="clear" w:color="auto" w:fill="FFFFFF"/>
          <w:lang w:val="zh-CN"/>
        </w:rPr>
        <w:t>（三）重点领域绩效分析</w:t>
      </w:r>
    </w:p>
    <w:p>
      <w:pPr>
        <w:adjustRightInd w:val="0"/>
        <w:snapToGrid w:val="0"/>
        <w:spacing w:line="578" w:lineRule="exact"/>
        <w:ind w:firstLine="640" w:firstLineChars="200"/>
        <w:contextualSpacing/>
        <w:jc w:val="left"/>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本</w:t>
      </w:r>
      <w:r>
        <w:rPr>
          <w:rFonts w:hint="eastAsia" w:ascii="方正仿宋_GB2312" w:hAnsi="方正仿宋_GB2312" w:eastAsia="方正仿宋_GB2312" w:cs="方正仿宋_GB2312"/>
          <w:color w:val="000000"/>
          <w:kern w:val="0"/>
          <w:sz w:val="32"/>
          <w:szCs w:val="32"/>
          <w:shd w:val="clear" w:color="auto" w:fill="FFFFFF"/>
        </w:rPr>
        <w:t>单位</w:t>
      </w:r>
      <w:r>
        <w:rPr>
          <w:rFonts w:hint="eastAsia" w:ascii="方正仿宋_GB2312" w:hAnsi="方正仿宋_GB2312" w:eastAsia="方正仿宋_GB2312" w:cs="方正仿宋_GB2312"/>
          <w:color w:val="000000"/>
          <w:kern w:val="0"/>
          <w:sz w:val="32"/>
          <w:szCs w:val="32"/>
          <w:shd w:val="clear" w:color="auto" w:fill="FFFFFF"/>
          <w:lang w:val="zh-CN"/>
        </w:rPr>
        <w:t>2024年度不涉及国有资本、债券资金、政府采购和政府购买服务等重点领域。本</w:t>
      </w:r>
      <w:r>
        <w:rPr>
          <w:rFonts w:hint="eastAsia" w:ascii="方正仿宋_GB2312" w:hAnsi="方正仿宋_GB2312" w:eastAsia="方正仿宋_GB2312" w:cs="方正仿宋_GB2312"/>
          <w:color w:val="000000"/>
          <w:kern w:val="0"/>
          <w:sz w:val="32"/>
          <w:szCs w:val="32"/>
          <w:shd w:val="clear" w:color="auto" w:fill="FFFFFF"/>
        </w:rPr>
        <w:t>单位</w:t>
      </w:r>
      <w:r>
        <w:rPr>
          <w:rFonts w:hint="eastAsia" w:ascii="方正仿宋_GB2312" w:hAnsi="方正仿宋_GB2312" w:eastAsia="方正仿宋_GB2312" w:cs="方正仿宋_GB2312"/>
          <w:color w:val="000000"/>
          <w:kern w:val="0"/>
          <w:sz w:val="32"/>
          <w:szCs w:val="32"/>
          <w:shd w:val="clear" w:color="auto" w:fill="FFFFFF"/>
          <w:lang w:val="zh-CN"/>
        </w:rPr>
        <w:t>行政事业性国有资产管理未开展绩效评价。</w:t>
      </w:r>
    </w:p>
    <w:p>
      <w:pPr>
        <w:widowControl/>
        <w:adjustRightInd w:val="0"/>
        <w:snapToGrid w:val="0"/>
        <w:spacing w:line="578" w:lineRule="exact"/>
        <w:ind w:firstLine="643" w:firstLineChars="200"/>
        <w:contextualSpacing/>
        <w:jc w:val="left"/>
        <w:outlineLvl w:val="1"/>
        <w:rPr>
          <w:rFonts w:hint="eastAsia" w:ascii="方正仿宋_GB2312" w:hAnsi="方正仿宋_GB2312" w:eastAsia="方正仿宋_GB2312" w:cs="方正仿宋_GB2312"/>
          <w:b/>
          <w:bCs/>
          <w:color w:val="000000"/>
          <w:kern w:val="0"/>
          <w:sz w:val="32"/>
          <w:szCs w:val="32"/>
          <w:shd w:val="clear" w:color="auto" w:fill="FFFFFF"/>
          <w:lang w:val="zh-CN"/>
        </w:rPr>
      </w:pPr>
      <w:r>
        <w:rPr>
          <w:rFonts w:hint="eastAsia" w:ascii="方正仿宋_GB2312" w:hAnsi="方正仿宋_GB2312" w:eastAsia="方正仿宋_GB2312" w:cs="方正仿宋_GB2312"/>
          <w:b/>
          <w:bCs/>
          <w:color w:val="000000"/>
          <w:kern w:val="0"/>
          <w:sz w:val="32"/>
          <w:szCs w:val="32"/>
          <w:shd w:val="clear" w:color="auto" w:fill="FFFFFF"/>
          <w:lang w:val="zh-CN"/>
        </w:rPr>
        <w:t>（四）绩效结果应用情况</w:t>
      </w:r>
    </w:p>
    <w:p>
      <w:pPr>
        <w:snapToGrid w:val="0"/>
        <w:spacing w:line="578"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rPr>
        <w:t>1.</w:t>
      </w:r>
      <w:r>
        <w:rPr>
          <w:rFonts w:hint="eastAsia" w:ascii="方正仿宋_GB2312" w:hAnsi="方正仿宋_GB2312" w:eastAsia="方正仿宋_GB2312" w:cs="方正仿宋_GB2312"/>
          <w:color w:val="000000"/>
          <w:kern w:val="0"/>
          <w:sz w:val="32"/>
          <w:szCs w:val="32"/>
          <w:shd w:val="clear" w:color="auto" w:fill="FFFFFF"/>
          <w:lang w:val="zh-CN"/>
        </w:rPr>
        <w:t>本单位将绩效自评纳入考核体系，建立了预算与绩效挂钩机制。</w:t>
      </w:r>
    </w:p>
    <w:p>
      <w:pPr>
        <w:snapToGrid w:val="0"/>
        <w:spacing w:line="578"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2.信息公开情况</w:t>
      </w:r>
    </w:p>
    <w:p>
      <w:pPr>
        <w:snapToGrid w:val="0"/>
        <w:spacing w:line="578"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本单位按照县财政局相关要求，在渠县人民政府门户网站上将部门整体支出绩效目标、部门预算项目绩效目标和自评情况等绩效信息随同预决算向社会公开。</w:t>
      </w:r>
    </w:p>
    <w:p>
      <w:pPr>
        <w:snapToGrid w:val="0"/>
        <w:spacing w:line="578" w:lineRule="exact"/>
        <w:ind w:firstLine="640" w:firstLineChars="200"/>
        <w:outlineLvl w:val="2"/>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3.整改反馈情况</w:t>
      </w:r>
    </w:p>
    <w:p>
      <w:pPr>
        <w:snapToGrid w:val="0"/>
        <w:spacing w:line="578" w:lineRule="exact"/>
        <w:ind w:firstLine="640" w:firstLineChars="200"/>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本单位2024年度未收到人大监督、巡视巡察、审计监督、财会监督等反馈的有关预算绩效存在的问题。</w:t>
      </w:r>
    </w:p>
    <w:p>
      <w:pPr>
        <w:snapToGrid w:val="0"/>
        <w:spacing w:line="578" w:lineRule="exact"/>
        <w:ind w:firstLine="640"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color w:val="000000"/>
          <w:kern w:val="0"/>
          <w:sz w:val="32"/>
          <w:szCs w:val="32"/>
          <w:shd w:val="clear" w:color="auto" w:fill="FFFFFF"/>
          <w:lang w:val="zh-CN"/>
        </w:rPr>
        <w:t>本单位根据职责分工，开展部门整体支出和部门预算项目支出绩效自评，对预算执行率不高、绩效目标未完成的项目，认真分析原因，</w:t>
      </w:r>
      <w:r>
        <w:rPr>
          <w:rFonts w:hint="eastAsia" w:ascii="方正仿宋_GB2312" w:hAnsi="方正仿宋_GB2312" w:eastAsia="方正仿宋_GB2312" w:cs="方正仿宋_GB2312"/>
          <w:color w:val="000000"/>
          <w:kern w:val="0"/>
          <w:sz w:val="32"/>
          <w:szCs w:val="32"/>
          <w:shd w:val="clear" w:color="auto" w:fill="FFFFFF"/>
        </w:rPr>
        <w:t>进行</w:t>
      </w:r>
      <w:r>
        <w:rPr>
          <w:rFonts w:hint="eastAsia" w:ascii="方正仿宋_GB2312" w:hAnsi="方正仿宋_GB2312" w:eastAsia="方正仿宋_GB2312" w:cs="方正仿宋_GB2312"/>
          <w:color w:val="000000"/>
          <w:kern w:val="0"/>
          <w:sz w:val="32"/>
          <w:szCs w:val="32"/>
          <w:shd w:val="clear" w:color="auto" w:fill="FFFFFF"/>
          <w:lang w:val="zh-CN"/>
        </w:rPr>
        <w:t>绩效评价结果应用，将评价结果作为以后年度预算编制的重要依据。</w:t>
      </w:r>
    </w:p>
    <w:p>
      <w:pPr>
        <w:widowControl/>
        <w:adjustRightInd w:val="0"/>
        <w:snapToGrid w:val="0"/>
        <w:spacing w:line="578" w:lineRule="exact"/>
        <w:ind w:firstLine="640" w:firstLineChars="200"/>
        <w:contextualSpacing/>
        <w:jc w:val="left"/>
        <w:outlineLvl w:val="0"/>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color w:val="000000"/>
          <w:kern w:val="0"/>
          <w:sz w:val="32"/>
          <w:szCs w:val="32"/>
          <w:shd w:val="clear" w:color="auto" w:fill="FFFFFF"/>
          <w:lang w:val="zh-CN"/>
        </w:rPr>
        <w:t>四、评价结论及建议</w:t>
      </w:r>
    </w:p>
    <w:p>
      <w:pPr>
        <w:widowControl/>
        <w:adjustRightInd w:val="0"/>
        <w:snapToGrid w:val="0"/>
        <w:spacing w:line="578" w:lineRule="exact"/>
        <w:ind w:firstLine="643" w:firstLineChars="200"/>
        <w:contextualSpacing/>
        <w:jc w:val="left"/>
        <w:outlineLvl w:val="1"/>
        <w:rPr>
          <w:rFonts w:hint="eastAsia" w:ascii="方正仿宋_GB2312" w:hAnsi="方正仿宋_GB2312" w:eastAsia="方正仿宋_GB2312" w:cs="方正仿宋_GB2312"/>
          <w:b/>
          <w:bCs/>
          <w:color w:val="000000"/>
          <w:kern w:val="0"/>
          <w:sz w:val="32"/>
          <w:szCs w:val="32"/>
          <w:shd w:val="clear" w:color="auto" w:fill="FFFFFF"/>
          <w:lang w:val="zh-CN"/>
        </w:rPr>
      </w:pPr>
      <w:r>
        <w:rPr>
          <w:rFonts w:hint="eastAsia" w:ascii="方正仿宋_GB2312" w:hAnsi="方正仿宋_GB2312" w:eastAsia="方正仿宋_GB2312" w:cs="方正仿宋_GB2312"/>
          <w:b/>
          <w:bCs/>
          <w:color w:val="000000"/>
          <w:kern w:val="0"/>
          <w:sz w:val="32"/>
          <w:szCs w:val="32"/>
          <w:shd w:val="clear" w:color="auto" w:fill="FFFFFF"/>
          <w:lang w:val="zh-CN"/>
        </w:rPr>
        <w:t>（一）评价结论</w:t>
      </w:r>
    </w:p>
    <w:p>
      <w:pPr>
        <w:widowControl/>
        <w:adjustRightInd w:val="0"/>
        <w:snapToGrid w:val="0"/>
        <w:spacing w:line="578" w:lineRule="exact"/>
        <w:ind w:firstLine="640" w:firstLineChars="200"/>
        <w:contextualSpacing/>
        <w:jc w:val="left"/>
        <w:rPr>
          <w:rFonts w:hint="eastAsia" w:ascii="方正仿宋_GB2312" w:hAnsi="方正仿宋_GB2312" w:eastAsia="方正仿宋_GB2312" w:cs="方正仿宋_GB2312"/>
          <w:b/>
          <w:bCs/>
          <w:color w:val="000000"/>
          <w:kern w:val="0"/>
          <w:sz w:val="32"/>
          <w:szCs w:val="32"/>
          <w:shd w:val="clear" w:color="auto" w:fill="FFFFFF"/>
        </w:rPr>
      </w:pPr>
      <w:r>
        <w:rPr>
          <w:rFonts w:hint="eastAsia" w:ascii="方正仿宋_GB2312" w:hAnsi="方正仿宋_GB2312" w:eastAsia="方正仿宋_GB2312" w:cs="方正仿宋_GB2312"/>
          <w:kern w:val="0"/>
          <w:sz w:val="32"/>
          <w:szCs w:val="32"/>
        </w:rPr>
        <w:t>本单位按照《渠县财政局关于开展2025年县级部门绩效自评工作的通知》（渠财绩〔2025〕5号）文件要求，从履职效能、预算管理、财务管理、资产管理、采购管理、项目决策、项目执行、目标实现等方面进行自评，总体上看，本单位履职效果明显、预算管理较完善、项目绩效目标按计划完成，根据《部门预算绩效评价指标体系》进行评价，自评得96分。</w:t>
      </w:r>
    </w:p>
    <w:p>
      <w:pPr>
        <w:widowControl/>
        <w:adjustRightInd w:val="0"/>
        <w:snapToGrid w:val="0"/>
        <w:spacing w:line="578" w:lineRule="exact"/>
        <w:ind w:firstLine="643" w:firstLineChars="200"/>
        <w:contextualSpacing/>
        <w:jc w:val="left"/>
        <w:outlineLvl w:val="1"/>
        <w:rPr>
          <w:rFonts w:hint="eastAsia" w:ascii="方正仿宋_GB2312" w:hAnsi="方正仿宋_GB2312" w:eastAsia="方正仿宋_GB2312" w:cs="方正仿宋_GB2312"/>
          <w:color w:val="000000"/>
          <w:kern w:val="0"/>
          <w:sz w:val="32"/>
          <w:szCs w:val="32"/>
          <w:shd w:val="clear" w:color="auto" w:fill="FFFFFF"/>
          <w:lang w:val="zh-CN"/>
        </w:rPr>
      </w:pPr>
      <w:r>
        <w:rPr>
          <w:rFonts w:hint="eastAsia" w:ascii="方正仿宋_GB2312" w:hAnsi="方正仿宋_GB2312" w:eastAsia="方正仿宋_GB2312" w:cs="方正仿宋_GB2312"/>
          <w:b/>
          <w:bCs/>
          <w:color w:val="000000"/>
          <w:kern w:val="0"/>
          <w:sz w:val="32"/>
          <w:szCs w:val="32"/>
          <w:shd w:val="clear" w:color="auto" w:fill="FFFFFF"/>
          <w:lang w:val="zh-CN"/>
        </w:rPr>
        <w:t>（二）存在问题</w:t>
      </w:r>
    </w:p>
    <w:p>
      <w:pPr>
        <w:widowControl/>
        <w:adjustRightInd w:val="0"/>
        <w:snapToGrid w:val="0"/>
        <w:spacing w:line="578" w:lineRule="exact"/>
        <w:ind w:firstLine="640" w:firstLineChars="200"/>
        <w:contextualSpacing/>
        <w:jc w:val="left"/>
        <w:rPr>
          <w:rFonts w:hint="eastAsia" w:ascii="方正仿宋_GB2312" w:hAnsi="方正仿宋_GB2312" w:eastAsia="方正仿宋_GB2312" w:cs="方正仿宋_GB2312"/>
          <w:kern w:val="0"/>
          <w:sz w:val="32"/>
          <w:szCs w:val="32"/>
          <w:lang w:val="zh-CN"/>
        </w:rPr>
      </w:pPr>
      <w:r>
        <w:rPr>
          <w:rFonts w:hint="eastAsia" w:ascii="方正仿宋_GB2312" w:hAnsi="方正仿宋_GB2312" w:eastAsia="方正仿宋_GB2312" w:cs="方正仿宋_GB2312"/>
          <w:kern w:val="0"/>
          <w:sz w:val="32"/>
          <w:szCs w:val="32"/>
          <w:lang w:val="zh-CN"/>
        </w:rPr>
        <w:t>从前述的</w:t>
      </w:r>
      <w:r>
        <w:rPr>
          <w:rFonts w:hint="eastAsia" w:ascii="方正仿宋_GB2312" w:hAnsi="方正仿宋_GB2312" w:eastAsia="方正仿宋_GB2312" w:cs="方正仿宋_GB2312"/>
          <w:kern w:val="0"/>
          <w:sz w:val="32"/>
          <w:szCs w:val="32"/>
        </w:rPr>
        <w:t>四川省渠县静边镇第</w:t>
      </w:r>
      <w:r>
        <w:rPr>
          <w:rFonts w:hint="eastAsia" w:ascii="方正仿宋_GB2312" w:hAnsi="方正仿宋_GB2312" w:eastAsia="方正仿宋_GB2312" w:cs="方正仿宋_GB2312"/>
          <w:kern w:val="0"/>
          <w:sz w:val="32"/>
          <w:szCs w:val="32"/>
          <w:lang w:val="en-US" w:eastAsia="zh-CN"/>
        </w:rPr>
        <w:t>三学校</w:t>
      </w:r>
      <w:r>
        <w:rPr>
          <w:rFonts w:hint="eastAsia" w:ascii="方正仿宋_GB2312" w:hAnsi="方正仿宋_GB2312" w:eastAsia="方正仿宋_GB2312" w:cs="方正仿宋_GB2312"/>
          <w:kern w:val="0"/>
          <w:sz w:val="32"/>
          <w:szCs w:val="32"/>
          <w:lang w:val="zh-CN"/>
        </w:rPr>
        <w:t>整体支出情况分析反映，在整体支出的预算编制、执行和管理过程中，依然存在一些问题和不足。</w:t>
      </w:r>
      <w:r>
        <w:rPr>
          <w:rFonts w:hint="eastAsia" w:ascii="方正仿宋_GB2312" w:hAnsi="方正仿宋_GB2312" w:eastAsia="方正仿宋_GB2312" w:cs="方正仿宋_GB2312"/>
          <w:kern w:val="0"/>
          <w:sz w:val="32"/>
          <w:szCs w:val="32"/>
        </w:rPr>
        <w:t>个别项目存在绩效目标设置不准确</w:t>
      </w:r>
      <w:r>
        <w:rPr>
          <w:rFonts w:hint="eastAsia" w:ascii="方正仿宋_GB2312" w:hAnsi="方正仿宋_GB2312" w:eastAsia="方正仿宋_GB2312" w:cs="方正仿宋_GB2312"/>
          <w:kern w:val="0"/>
          <w:sz w:val="32"/>
          <w:szCs w:val="32"/>
          <w:lang w:val="zh-CN"/>
        </w:rPr>
        <w:t>，</w:t>
      </w:r>
      <w:r>
        <w:rPr>
          <w:rFonts w:hint="eastAsia" w:ascii="方正仿宋_GB2312" w:hAnsi="方正仿宋_GB2312" w:eastAsia="方正仿宋_GB2312" w:cs="方正仿宋_GB2312"/>
          <w:kern w:val="0"/>
          <w:sz w:val="32"/>
          <w:szCs w:val="32"/>
        </w:rPr>
        <w:t>不方便量化评价，</w:t>
      </w:r>
      <w:r>
        <w:rPr>
          <w:rFonts w:hint="eastAsia" w:ascii="方正仿宋_GB2312" w:hAnsi="方正仿宋_GB2312" w:eastAsia="方正仿宋_GB2312" w:cs="方正仿宋_GB2312"/>
          <w:kern w:val="0"/>
          <w:sz w:val="32"/>
          <w:szCs w:val="32"/>
          <w:lang w:val="zh-CN"/>
        </w:rPr>
        <w:t>制度的执行力度和资金使用与</w:t>
      </w:r>
      <w:r>
        <w:rPr>
          <w:rFonts w:hint="eastAsia" w:ascii="方正仿宋_GB2312" w:hAnsi="方正仿宋_GB2312" w:eastAsia="方正仿宋_GB2312" w:cs="方正仿宋_GB2312"/>
          <w:kern w:val="0"/>
          <w:sz w:val="32"/>
          <w:szCs w:val="32"/>
        </w:rPr>
        <w:t>2023年相比</w:t>
      </w:r>
      <w:r>
        <w:rPr>
          <w:rFonts w:hint="eastAsia" w:ascii="方正仿宋_GB2312" w:hAnsi="方正仿宋_GB2312" w:eastAsia="方正仿宋_GB2312" w:cs="方正仿宋_GB2312"/>
          <w:kern w:val="0"/>
          <w:sz w:val="32"/>
          <w:szCs w:val="32"/>
          <w:lang w:val="zh-CN"/>
        </w:rPr>
        <w:t>有所提高，</w:t>
      </w:r>
      <w:r>
        <w:rPr>
          <w:rFonts w:hint="eastAsia" w:ascii="方正仿宋_GB2312" w:hAnsi="方正仿宋_GB2312" w:eastAsia="方正仿宋_GB2312" w:cs="方正仿宋_GB2312"/>
          <w:kern w:val="0"/>
          <w:sz w:val="32"/>
          <w:szCs w:val="32"/>
        </w:rPr>
        <w:t>指标设置的科学性、合理性</w:t>
      </w:r>
      <w:r>
        <w:rPr>
          <w:rFonts w:hint="eastAsia" w:ascii="方正仿宋_GB2312" w:hAnsi="方正仿宋_GB2312" w:eastAsia="方正仿宋_GB2312" w:cs="方正仿宋_GB2312"/>
          <w:kern w:val="0"/>
          <w:sz w:val="32"/>
          <w:szCs w:val="32"/>
          <w:lang w:val="zh-CN"/>
        </w:rPr>
        <w:t>有待进一步规范。</w:t>
      </w:r>
    </w:p>
    <w:p>
      <w:pPr>
        <w:widowControl/>
        <w:adjustRightInd w:val="0"/>
        <w:snapToGrid w:val="0"/>
        <w:spacing w:line="578" w:lineRule="exact"/>
        <w:ind w:firstLine="643" w:firstLineChars="200"/>
        <w:contextualSpacing/>
        <w:jc w:val="left"/>
        <w:outlineLvl w:val="1"/>
        <w:rPr>
          <w:rFonts w:hint="eastAsia" w:ascii="方正仿宋_GB2312" w:hAnsi="方正仿宋_GB2312" w:eastAsia="方正仿宋_GB2312" w:cs="方正仿宋_GB2312"/>
          <w:b/>
          <w:bCs/>
          <w:color w:val="000000"/>
          <w:kern w:val="0"/>
          <w:sz w:val="32"/>
          <w:szCs w:val="32"/>
          <w:shd w:val="clear" w:color="auto" w:fill="FFFFFF"/>
        </w:rPr>
      </w:pPr>
      <w:r>
        <w:rPr>
          <w:rFonts w:hint="eastAsia" w:ascii="方正仿宋_GB2312" w:hAnsi="方正仿宋_GB2312" w:eastAsia="方正仿宋_GB2312" w:cs="方正仿宋_GB2312"/>
          <w:b/>
          <w:bCs/>
          <w:color w:val="000000"/>
          <w:kern w:val="0"/>
          <w:sz w:val="32"/>
          <w:szCs w:val="32"/>
          <w:shd w:val="clear" w:color="auto" w:fill="FFFFFF"/>
        </w:rPr>
        <w:t>（三）</w:t>
      </w:r>
      <w:r>
        <w:rPr>
          <w:rFonts w:hint="eastAsia" w:ascii="方正仿宋_GB2312" w:hAnsi="方正仿宋_GB2312" w:eastAsia="方正仿宋_GB2312" w:cs="方正仿宋_GB2312"/>
          <w:b/>
          <w:bCs/>
          <w:color w:val="000000"/>
          <w:kern w:val="0"/>
          <w:sz w:val="32"/>
          <w:szCs w:val="32"/>
          <w:shd w:val="clear" w:color="auto" w:fill="FFFFFF"/>
          <w:lang w:val="zh-CN"/>
        </w:rPr>
        <w:t>改进建议</w:t>
      </w:r>
    </w:p>
    <w:p>
      <w:pPr>
        <w:widowControl/>
        <w:adjustRightInd w:val="0"/>
        <w:snapToGrid w:val="0"/>
        <w:spacing w:line="578" w:lineRule="exact"/>
        <w:ind w:firstLine="640" w:firstLineChars="200"/>
        <w:contextualSpacing/>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建议加强项目指标设置，根据不同项目设置可量化可评价的指标，提高指标科学性、合理性。</w:t>
      </w:r>
    </w:p>
    <w:p>
      <w:pPr>
        <w:pStyle w:val="2"/>
        <w:outlineLvl w:val="9"/>
        <w:rPr>
          <w:rFonts w:hint="default" w:ascii="Times New Roman" w:hAnsi="Times New Roman" w:cs="Times New Roman"/>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outlineLvl w:val="9"/>
        <w:rPr>
          <w:rFonts w:hint="eastAsia"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附表：部门预算绩效自评打分表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firstLine="4160" w:firstLineChars="1300"/>
        <w:contextualSpacing/>
        <w:jc w:val="left"/>
        <w:textAlignment w:val="auto"/>
        <w:outlineLvl w:val="9"/>
        <w:rPr>
          <w:rFonts w:hint="eastAsia"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渠县静边镇第三学校</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firstLine="4480" w:firstLineChars="1400"/>
        <w:contextualSpacing/>
        <w:jc w:val="left"/>
        <w:textAlignment w:val="auto"/>
        <w:outlineLvl w:val="9"/>
        <w:rPr>
          <w:rFonts w:hint="default" w:ascii="Times New Roman" w:hAnsi="Times New Roman" w:eastAsia="仿宋" w:cs="Times New Roman"/>
          <w:kern w:val="2"/>
          <w:sz w:val="24"/>
          <w:szCs w:val="21"/>
          <w:highlight w:val="none"/>
          <w:lang w:val="en-US" w:eastAsia="zh-CN" w:bidi="ar-SA"/>
        </w:rPr>
      </w:pPr>
      <w:r>
        <w:rPr>
          <w:rFonts w:hint="eastAsia" w:ascii="Times New Roman" w:hAnsi="Times New Roman" w:eastAsia="方正仿宋_GBK" w:cs="Times New Roman"/>
          <w:color w:val="000000"/>
          <w:kern w:val="0"/>
          <w:sz w:val="32"/>
          <w:szCs w:val="32"/>
          <w:highlight w:val="none"/>
          <w:shd w:val="clear" w:color="auto" w:fill="FFFFFF"/>
          <w:lang w:val="en-US" w:eastAsia="zh-CN"/>
        </w:rPr>
        <w:t>2025年6月18日</w:t>
      </w:r>
      <w:r>
        <w:rPr>
          <w:rFonts w:hint="default" w:ascii="Times New Roman" w:hAnsi="Times New Roman" w:eastAsia="方正仿宋_GBK" w:cs="Times New Roman"/>
          <w:color w:val="000000"/>
          <w:kern w:val="0"/>
          <w:sz w:val="32"/>
          <w:szCs w:val="32"/>
          <w:highlight w:val="none"/>
          <w:shd w:val="clear" w:color="auto" w:fill="FFFFFF"/>
          <w:lang w:val="en-US" w:eastAsia="zh-CN"/>
        </w:rPr>
        <w:br w:type="page"/>
      </w:r>
      <w:bookmarkStart w:id="26" w:name="_Toc16451_WPSOffice_Level2"/>
      <w:bookmarkStart w:id="27" w:name="_Toc27620_WPSOffice_Level2"/>
      <w:bookmarkStart w:id="28" w:name="_Toc7553_WPSOffice_Level2"/>
      <w:bookmarkStart w:id="29" w:name="_Toc14831_WPSOffice_Level2"/>
      <w:r>
        <w:rPr>
          <w:rFonts w:hint="default" w:ascii="Times New Roman" w:hAnsi="Times New Roman" w:eastAsia="仿宋" w:cs="Times New Roman"/>
          <w:kern w:val="2"/>
          <w:sz w:val="24"/>
          <w:szCs w:val="21"/>
          <w:highlight w:val="none"/>
          <w:lang w:val="en-US" w:eastAsia="zh-CN" w:bidi="ar-SA"/>
        </w:rPr>
        <w:t>附表</w:t>
      </w:r>
      <w:bookmarkEnd w:id="26"/>
      <w:bookmarkEnd w:id="27"/>
      <w:bookmarkEnd w:id="28"/>
      <w:bookmarkEnd w:id="29"/>
      <w:r>
        <w:rPr>
          <w:rFonts w:hint="eastAsia" w:ascii="Times New Roman" w:hAnsi="Times New Roman" w:eastAsia="仿宋" w:cs="Times New Roman"/>
          <w:kern w:val="2"/>
          <w:sz w:val="24"/>
          <w:szCs w:val="21"/>
          <w:highlight w:val="none"/>
          <w:lang w:val="en-US" w:eastAsia="zh-CN" w:bidi="ar-SA"/>
        </w:rPr>
        <w:t>1</w:t>
      </w:r>
    </w:p>
    <w:tbl>
      <w:tblPr>
        <w:tblStyle w:val="6"/>
        <w:tblW w:w="10626" w:type="dxa"/>
        <w:jc w:val="center"/>
        <w:tblLayout w:type="fixed"/>
        <w:tblCellMar>
          <w:top w:w="0" w:type="dxa"/>
          <w:left w:w="108" w:type="dxa"/>
          <w:bottom w:w="0" w:type="dxa"/>
          <w:right w:w="108" w:type="dxa"/>
        </w:tblCellMar>
      </w:tblPr>
      <w:tblGrid>
        <w:gridCol w:w="1004"/>
        <w:gridCol w:w="1462"/>
        <w:gridCol w:w="1665"/>
        <w:gridCol w:w="720"/>
        <w:gridCol w:w="4734"/>
        <w:gridCol w:w="616"/>
        <w:gridCol w:w="425"/>
      </w:tblGrid>
      <w:tr>
        <w:tblPrEx>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黑体"/>
                <w:color w:val="000000"/>
                <w:sz w:val="18"/>
                <w:szCs w:val="18"/>
              </w:rPr>
            </w:pPr>
            <w:r>
              <w:rPr>
                <w:rFonts w:hint="eastAsia" w:ascii="仿宋" w:hAnsi="仿宋" w:eastAsia="仿宋" w:cs="黑体"/>
                <w:color w:val="000000"/>
                <w:kern w:val="0"/>
                <w:sz w:val="18"/>
                <w:szCs w:val="18"/>
              </w:rPr>
              <w:t>绩效评价指标分值</w:t>
            </w:r>
          </w:p>
        </w:tc>
        <w:tc>
          <w:tcPr>
            <w:tcW w:w="473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黑体"/>
                <w:color w:val="000000"/>
                <w:sz w:val="18"/>
                <w:szCs w:val="18"/>
              </w:rPr>
            </w:pPr>
            <w:r>
              <w:rPr>
                <w:rFonts w:hint="eastAsia" w:ascii="仿宋" w:hAnsi="仿宋" w:eastAsia="仿宋" w:cs="黑体"/>
                <w:color w:val="000000"/>
                <w:kern w:val="0"/>
                <w:sz w:val="18"/>
                <w:szCs w:val="18"/>
              </w:rPr>
              <w:t>指标解释</w:t>
            </w:r>
          </w:p>
        </w:tc>
        <w:tc>
          <w:tcPr>
            <w:tcW w:w="616" w:type="dxa"/>
            <w:vMerge w:val="restart"/>
            <w:tcBorders>
              <w:top w:val="single" w:color="000000" w:sz="4" w:space="0"/>
              <w:left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黑体"/>
                <w:color w:val="000000"/>
                <w:kern w:val="0"/>
                <w:sz w:val="18"/>
                <w:szCs w:val="18"/>
              </w:rPr>
            </w:pPr>
            <w:r>
              <w:rPr>
                <w:rFonts w:hint="eastAsia" w:ascii="仿宋" w:hAnsi="仿宋" w:eastAsia="仿宋" w:cs="黑体"/>
                <w:color w:val="000000"/>
                <w:kern w:val="0"/>
                <w:sz w:val="18"/>
                <w:szCs w:val="18"/>
              </w:rPr>
              <w:t>自评得分</w:t>
            </w:r>
          </w:p>
        </w:tc>
        <w:tc>
          <w:tcPr>
            <w:tcW w:w="425" w:type="dxa"/>
            <w:vMerge w:val="restart"/>
            <w:tcBorders>
              <w:top w:val="single" w:color="000000" w:sz="4" w:space="0"/>
              <w:left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黑体"/>
                <w:color w:val="000000"/>
                <w:kern w:val="0"/>
                <w:sz w:val="18"/>
                <w:szCs w:val="18"/>
              </w:rPr>
            </w:pPr>
            <w:r>
              <w:rPr>
                <w:rFonts w:hint="eastAsia" w:ascii="仿宋" w:hAnsi="仿宋" w:eastAsia="仿宋" w:cs="黑体"/>
                <w:color w:val="000000"/>
                <w:kern w:val="0"/>
                <w:sz w:val="18"/>
                <w:szCs w:val="18"/>
              </w:rPr>
              <w:t>备注</w:t>
            </w:r>
          </w:p>
        </w:tc>
      </w:tr>
      <w:tr>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noWrap/>
            <w:vAlign w:val="center"/>
          </w:tcPr>
          <w:p>
            <w:pPr>
              <w:widowControl/>
              <w:spacing w:line="240" w:lineRule="exact"/>
              <w:jc w:val="center"/>
              <w:textAlignment w:val="center"/>
              <w:rPr>
                <w:rFonts w:ascii="仿宋" w:hAnsi="仿宋" w:eastAsia="仿宋" w:cs="黑体"/>
                <w:color w:val="000000"/>
                <w:sz w:val="18"/>
                <w:szCs w:val="18"/>
              </w:rPr>
            </w:pPr>
            <w:r>
              <w:rPr>
                <w:rFonts w:hint="eastAsia" w:ascii="仿宋" w:hAnsi="仿宋" w:eastAsia="仿宋" w:cs="黑体"/>
                <w:color w:val="000000"/>
                <w:kern w:val="0"/>
                <w:sz w:val="18"/>
                <w:szCs w:val="18"/>
              </w:rPr>
              <w:t>一级指标</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黑体"/>
                <w:color w:val="000000"/>
                <w:sz w:val="18"/>
                <w:szCs w:val="18"/>
              </w:rPr>
            </w:pPr>
            <w:r>
              <w:rPr>
                <w:rFonts w:hint="eastAsia" w:ascii="仿宋" w:hAnsi="仿宋" w:eastAsia="仿宋" w:cs="黑体"/>
                <w:color w:val="000000"/>
                <w:kern w:val="0"/>
                <w:sz w:val="18"/>
                <w:szCs w:val="18"/>
              </w:rPr>
              <w:t>二级指标</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黑体"/>
                <w:color w:val="000000"/>
                <w:sz w:val="18"/>
                <w:szCs w:val="18"/>
              </w:rPr>
            </w:pPr>
            <w:r>
              <w:rPr>
                <w:rFonts w:hint="eastAsia" w:ascii="仿宋" w:hAnsi="仿宋" w:eastAsia="仿宋" w:cs="黑体"/>
                <w:color w:val="000000"/>
                <w:kern w:val="0"/>
                <w:sz w:val="18"/>
                <w:szCs w:val="18"/>
              </w:rPr>
              <w:t>三级指标</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黑体"/>
                <w:color w:val="000000"/>
                <w:sz w:val="18"/>
                <w:szCs w:val="18"/>
              </w:rPr>
            </w:pPr>
            <w:r>
              <w:rPr>
                <w:rFonts w:hint="eastAsia" w:ascii="仿宋" w:hAnsi="仿宋" w:eastAsia="仿宋" w:cs="黑体"/>
                <w:color w:val="000000"/>
                <w:kern w:val="0"/>
                <w:sz w:val="18"/>
                <w:szCs w:val="18"/>
              </w:rPr>
              <w:t>指标</w:t>
            </w:r>
            <w:r>
              <w:rPr>
                <w:rFonts w:hint="eastAsia" w:ascii="仿宋" w:hAnsi="仿宋" w:eastAsia="仿宋" w:cs="黑体"/>
                <w:color w:val="000000"/>
                <w:kern w:val="0"/>
                <w:sz w:val="18"/>
                <w:szCs w:val="18"/>
              </w:rPr>
              <w:br w:type="textWrapping"/>
            </w:r>
            <w:r>
              <w:rPr>
                <w:rFonts w:hint="eastAsia" w:ascii="仿宋" w:hAnsi="仿宋" w:eastAsia="仿宋" w:cs="黑体"/>
                <w:color w:val="000000"/>
                <w:kern w:val="0"/>
                <w:sz w:val="18"/>
                <w:szCs w:val="18"/>
              </w:rPr>
              <w:t>分值</w:t>
            </w:r>
          </w:p>
        </w:tc>
        <w:tc>
          <w:tcPr>
            <w:tcW w:w="473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黑体"/>
                <w:color w:val="000000"/>
                <w:sz w:val="18"/>
                <w:szCs w:val="18"/>
              </w:rPr>
            </w:pPr>
          </w:p>
        </w:tc>
        <w:tc>
          <w:tcPr>
            <w:tcW w:w="616"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黑体"/>
                <w:color w:val="000000"/>
                <w:sz w:val="18"/>
                <w:szCs w:val="18"/>
              </w:rPr>
            </w:pPr>
          </w:p>
        </w:tc>
        <w:tc>
          <w:tcPr>
            <w:tcW w:w="425"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黑体"/>
                <w:color w:val="000000"/>
                <w:sz w:val="18"/>
                <w:szCs w:val="18"/>
              </w:rPr>
            </w:pPr>
          </w:p>
        </w:tc>
      </w:tr>
      <w:tr>
        <w:tblPrEx>
          <w:tblCellMar>
            <w:top w:w="0" w:type="dxa"/>
            <w:left w:w="108" w:type="dxa"/>
            <w:bottom w:w="0" w:type="dxa"/>
            <w:right w:w="108" w:type="dxa"/>
          </w:tblCellMar>
        </w:tblPrEx>
        <w:trPr>
          <w:trHeight w:val="36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sz w:val="18"/>
                <w:szCs w:val="18"/>
              </w:rPr>
            </w:pPr>
            <w:r>
              <w:rPr>
                <w:rFonts w:hint="eastAsia" w:ascii="仿宋" w:hAnsi="仿宋" w:eastAsia="仿宋" w:cs="宋体"/>
                <w:b/>
                <w:color w:val="000000"/>
                <w:kern w:val="0"/>
                <w:sz w:val="18"/>
                <w:szCs w:val="18"/>
              </w:rPr>
              <w:t>总体绩效</w:t>
            </w:r>
            <w:r>
              <w:rPr>
                <w:rFonts w:hint="eastAsia" w:ascii="仿宋" w:hAnsi="仿宋" w:eastAsia="仿宋" w:cs="宋体"/>
                <w:b/>
                <w:color w:val="000000"/>
                <w:kern w:val="0"/>
                <w:sz w:val="18"/>
                <w:szCs w:val="18"/>
              </w:rPr>
              <w:br w:type="textWrapping"/>
            </w:r>
            <w:r>
              <w:rPr>
                <w:rFonts w:hint="eastAsia" w:ascii="仿宋" w:hAnsi="仿宋" w:eastAsia="仿宋" w:cs="宋体"/>
                <w:b/>
                <w:color w:val="000000"/>
                <w:kern w:val="0"/>
                <w:sz w:val="18"/>
                <w:szCs w:val="18"/>
              </w:rPr>
              <w:t>（65分）</w:t>
            </w:r>
          </w:p>
        </w:tc>
        <w:tc>
          <w:tcPr>
            <w:tcW w:w="1462" w:type="dxa"/>
            <w:vMerge w:val="restart"/>
            <w:tcBorders>
              <w:top w:val="single" w:color="000000" w:sz="4" w:space="0"/>
              <w:left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sz w:val="18"/>
                <w:szCs w:val="18"/>
              </w:rPr>
            </w:pPr>
            <w:r>
              <w:rPr>
                <w:rFonts w:hint="eastAsia" w:ascii="仿宋" w:hAnsi="仿宋" w:eastAsia="仿宋" w:cs="宋体"/>
                <w:b/>
                <w:color w:val="000000"/>
                <w:kern w:val="0"/>
                <w:sz w:val="18"/>
                <w:szCs w:val="18"/>
              </w:rPr>
              <w:t>履职效能</w:t>
            </w:r>
            <w:r>
              <w:rPr>
                <w:rFonts w:hint="eastAsia" w:ascii="仿宋" w:hAnsi="仿宋" w:eastAsia="仿宋" w:cs="宋体"/>
                <w:b/>
                <w:color w:val="000000"/>
                <w:kern w:val="0"/>
                <w:sz w:val="18"/>
                <w:szCs w:val="18"/>
              </w:rPr>
              <w:br w:type="textWrapping"/>
            </w:r>
            <w:r>
              <w:rPr>
                <w:rFonts w:hint="eastAsia" w:ascii="仿宋" w:hAnsi="仿宋" w:eastAsia="仿宋" w:cs="宋体"/>
                <w:b/>
                <w:color w:val="000000"/>
                <w:kern w:val="0"/>
                <w:sz w:val="18"/>
                <w:szCs w:val="18"/>
              </w:rPr>
              <w:t>（15分）</w:t>
            </w:r>
          </w:p>
        </w:tc>
        <w:tc>
          <w:tcPr>
            <w:tcW w:w="1665" w:type="dxa"/>
            <w:tcBorders>
              <w:top w:val="single" w:color="000000" w:sz="4" w:space="0"/>
              <w:left w:val="single" w:color="000000" w:sz="4" w:space="0"/>
              <w:bottom w:val="single" w:color="auto" w:sz="4" w:space="0"/>
              <w:right w:val="single" w:color="000000" w:sz="4" w:space="0"/>
            </w:tcBorders>
            <w:noWrap/>
            <w:vAlign w:val="bottom"/>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sz w:val="18"/>
                <w:szCs w:val="18"/>
              </w:rPr>
              <w:t>党建工作履职效果</w:t>
            </w:r>
            <w:r>
              <w:rPr>
                <w:rFonts w:ascii="仿宋" w:hAnsi="仿宋" w:eastAsia="仿宋" w:cs="宋体"/>
                <w:color w:val="000000"/>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229870</wp:posOffset>
                      </wp:positionV>
                      <wp:extent cx="1038225" cy="0"/>
                      <wp:effectExtent l="0" t="4445" r="0" b="5080"/>
                      <wp:wrapNone/>
                      <wp:docPr id="6" name="自选图形 3"/>
                      <wp:cNvGraphicFramePr/>
                      <a:graphic xmlns:a="http://schemas.openxmlformats.org/drawingml/2006/main">
                        <a:graphicData uri="http://schemas.microsoft.com/office/word/2010/wordprocessingShape">
                          <wps:wsp>
                            <wps:cNvCnPr/>
                            <wps:spPr>
                              <a:xfrm>
                                <a:off x="0" y="0"/>
                                <a:ext cx="10382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5.7pt;margin-top:18.1pt;height:0pt;width:81.75pt;z-index:251659264;mso-width-relative:page;mso-height-relative:page;" filled="f" stroked="t" coordsize="21600,21600" o:gfxdata="UEsDBAoAAAAAAIdO4kAAAAAAAAAAAAAAAAAEAAAAZHJzL1BLAwQUAAAACACHTuJAERQPeNYAAAAJ&#10;AQAADwAAAGRycy9kb3ducmV2LnhtbE2PwU7DMAyG70i8Q2QkLmhLUtjESt0JIXHgyDaJa9Z4baFx&#10;qiZdx56eTBzgaPvT7+8v1ifXiSMNofWMoOcKBHHlbcs1wm77OnsEEaJhazrPhPBNAdbl9VVhcusn&#10;fqfjJtYihXDIDUITY59LGaqGnAlz3xOn28EPzsQ0DrW0g5lSuOtkptRSOtNy+tCYnl4aqr42o0Og&#10;MC60el65evd2nu4+svPn1G8Rb2+0egIR6RT/YLjoJ3Uok9Pej2yD6BBmWj8kFOF+mYG4AItMg9j/&#10;LmRZyP8Nyh9QSwMEFAAAAAgAh07iQBB/oSD0AQAA4wMAAA4AAABkcnMvZTJvRG9jLnhtbK1TzW4T&#10;MRC+I/EOlu9kk1StyiqbHhLKBUEl4AEmtnfXkv/kcbPJjRviGbhx5B3gbSqVt2DsTVMolxzYg3fs&#10;mflmvs/jxdXOGrZVEbV3DZ9NppwpJ7zUrmv4xw/XLy45wwROgvFONXyvkF8tnz9bDKFWc997I1Vk&#10;BOKwHkLD+5RCXVUoemUBJz4oR87WRwuJtrGrZISB0K2p5tPpRTX4KEP0QiHS6Xp08gNiPAXQt60W&#10;au3FrVUujahRGUhECXsdkC9Lt22rRHrXtqgSMw0npqmsVITsTV6r5QLqLkLotTi0AKe08ISTBe2o&#10;6BFqDQnYbdT/QFktokffponwthqJFEWIxWz6RJv3PQRVuJDUGI6i4/+DFW+3N5Fp2fALzhxYuvD7&#10;z99/ffpy9/Xn3Y9v7CwrNASsKXDlbuJhh+EmZrq7Ntr8JyJsV1TdH1VVu8QEHc6mZ5fz+Tln4sFX&#10;PSaGiOm18pZlo+GYIuiuTyvvHN2dj7OiKmzfYKLSlPiQkKsax4aGvzwv4ECz2NIMUB0biA+6ruSi&#10;N1pea2NyBsZuszKRbSHPQ/kyQcL9KywXWQP2Y1xxjZPSK5CvnGRpH0gpRw+E5xaskpwZRe8pWwQI&#10;dQJtTomk0sZRB1njUdVsbbzcF7HLOd196fEwp3m4/tyX7Me3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RQPeNYAAAAJAQAADwAAAAAAAAABACAAAAAiAAAAZHJzL2Rvd25yZXYueG1sUEsBAhQA&#10;FAAAAAgAh07iQBB/oSD0AQAA4wMAAA4AAAAAAAAAAQAgAAAAJQEAAGRycy9lMm9Eb2MueG1sUEsF&#10;BgAAAAAGAAYAWQEAAIsFAAAAAA==&#10;">
                      <v:fill on="f" focussize="0,0"/>
                      <v:stroke color="#000000" joinstyle="round"/>
                      <v:imagedata o:title=""/>
                      <o:lock v:ext="edit" aspectratio="f"/>
                    </v:shape>
                  </w:pict>
                </mc:Fallback>
              </mc:AlternateContent>
            </w:r>
          </w:p>
        </w:tc>
        <w:tc>
          <w:tcPr>
            <w:tcW w:w="720" w:type="dxa"/>
            <w:vMerge w:val="restart"/>
            <w:tcBorders>
              <w:top w:val="nil"/>
              <w:left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15</w:t>
            </w:r>
          </w:p>
        </w:tc>
        <w:tc>
          <w:tcPr>
            <w:tcW w:w="4734" w:type="dxa"/>
            <w:vMerge w:val="restart"/>
            <w:tcBorders>
              <w:top w:val="single" w:color="000000" w:sz="4" w:space="0"/>
              <w:left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部门整体绩效目标中选定3-5个核心职能目标，反映该项职能目标完成效果情况</w:t>
            </w:r>
          </w:p>
        </w:tc>
        <w:tc>
          <w:tcPr>
            <w:tcW w:w="616" w:type="dxa"/>
            <w:vMerge w:val="restart"/>
            <w:tcBorders>
              <w:top w:val="single" w:color="000000" w:sz="4" w:space="0"/>
              <w:left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14</w:t>
            </w:r>
          </w:p>
        </w:tc>
        <w:tc>
          <w:tcPr>
            <w:tcW w:w="425" w:type="dxa"/>
            <w:vMerge w:val="restart"/>
            <w:tcBorders>
              <w:top w:val="single" w:color="000000" w:sz="4" w:space="0"/>
              <w:left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390"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kern w:val="0"/>
                <w:sz w:val="18"/>
                <w:szCs w:val="18"/>
              </w:rPr>
            </w:pPr>
          </w:p>
        </w:tc>
        <w:tc>
          <w:tcPr>
            <w:tcW w:w="1462" w:type="dxa"/>
            <w:vMerge w:val="continue"/>
            <w:tcBorders>
              <w:left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kern w:val="0"/>
                <w:sz w:val="18"/>
                <w:szCs w:val="18"/>
              </w:rPr>
            </w:pPr>
          </w:p>
        </w:tc>
        <w:tc>
          <w:tcPr>
            <w:tcW w:w="1665" w:type="dxa"/>
            <w:tcBorders>
              <w:top w:val="single" w:color="auto" w:sz="4" w:space="0"/>
              <w:left w:val="single" w:color="000000" w:sz="4" w:space="0"/>
              <w:bottom w:val="single" w:color="auto" w:sz="4" w:space="0"/>
              <w:right w:val="single" w:color="000000" w:sz="4" w:space="0"/>
            </w:tcBorders>
            <w:noWrap/>
            <w:vAlign w:val="center"/>
          </w:tcPr>
          <w:p>
            <w:pPr>
              <w:spacing w:line="240" w:lineRule="exact"/>
              <w:jc w:val="center"/>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教学工作履职效果</w:t>
            </w:r>
          </w:p>
        </w:tc>
        <w:tc>
          <w:tcPr>
            <w:tcW w:w="720" w:type="dxa"/>
            <w:vMerge w:val="continue"/>
            <w:tcBorders>
              <w:left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kern w:val="0"/>
                <w:sz w:val="18"/>
                <w:szCs w:val="18"/>
              </w:rPr>
            </w:pPr>
          </w:p>
        </w:tc>
        <w:tc>
          <w:tcPr>
            <w:tcW w:w="4734" w:type="dxa"/>
            <w:vMerge w:val="continue"/>
            <w:tcBorders>
              <w:left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c>
          <w:tcPr>
            <w:tcW w:w="616" w:type="dxa"/>
            <w:vMerge w:val="continue"/>
            <w:tcBorders>
              <w:left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c>
          <w:tcPr>
            <w:tcW w:w="425" w:type="dxa"/>
            <w:vMerge w:val="continue"/>
            <w:tcBorders>
              <w:left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405"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kern w:val="0"/>
                <w:sz w:val="18"/>
                <w:szCs w:val="18"/>
              </w:rPr>
            </w:pPr>
          </w:p>
        </w:tc>
        <w:tc>
          <w:tcPr>
            <w:tcW w:w="1462" w:type="dxa"/>
            <w:vMerge w:val="continue"/>
            <w:tcBorders>
              <w:left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kern w:val="0"/>
                <w:sz w:val="18"/>
                <w:szCs w:val="18"/>
              </w:rPr>
            </w:pPr>
          </w:p>
        </w:tc>
        <w:tc>
          <w:tcPr>
            <w:tcW w:w="1665" w:type="dxa"/>
            <w:tcBorders>
              <w:top w:val="single" w:color="auto" w:sz="4" w:space="0"/>
              <w:left w:val="single" w:color="000000" w:sz="4" w:space="0"/>
              <w:bottom w:val="single" w:color="auto" w:sz="4" w:space="0"/>
              <w:right w:val="single" w:color="000000" w:sz="4" w:space="0"/>
            </w:tcBorders>
            <w:noWrap/>
            <w:vAlign w:val="center"/>
          </w:tcPr>
          <w:p>
            <w:pPr>
              <w:spacing w:line="240" w:lineRule="exact"/>
              <w:jc w:val="center"/>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安全工作履职效果</w:t>
            </w:r>
          </w:p>
        </w:tc>
        <w:tc>
          <w:tcPr>
            <w:tcW w:w="720" w:type="dxa"/>
            <w:vMerge w:val="continue"/>
            <w:tcBorders>
              <w:left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kern w:val="0"/>
                <w:sz w:val="18"/>
                <w:szCs w:val="18"/>
              </w:rPr>
            </w:pPr>
          </w:p>
        </w:tc>
        <w:tc>
          <w:tcPr>
            <w:tcW w:w="4734" w:type="dxa"/>
            <w:vMerge w:val="continue"/>
            <w:tcBorders>
              <w:left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c>
          <w:tcPr>
            <w:tcW w:w="616" w:type="dxa"/>
            <w:vMerge w:val="continue"/>
            <w:tcBorders>
              <w:left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c>
          <w:tcPr>
            <w:tcW w:w="425" w:type="dxa"/>
            <w:vMerge w:val="continue"/>
            <w:tcBorders>
              <w:left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346"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kern w:val="0"/>
                <w:sz w:val="18"/>
                <w:szCs w:val="18"/>
              </w:rPr>
            </w:pPr>
          </w:p>
        </w:tc>
        <w:tc>
          <w:tcPr>
            <w:tcW w:w="1462"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kern w:val="0"/>
                <w:sz w:val="18"/>
                <w:szCs w:val="18"/>
              </w:rPr>
            </w:pPr>
          </w:p>
        </w:tc>
        <w:tc>
          <w:tcPr>
            <w:tcW w:w="1665" w:type="dxa"/>
            <w:tcBorders>
              <w:top w:val="single" w:color="auto" w:sz="4" w:space="0"/>
              <w:left w:val="single" w:color="000000" w:sz="4" w:space="0"/>
              <w:bottom w:val="single" w:color="000000" w:sz="4" w:space="0"/>
              <w:right w:val="single" w:color="000000" w:sz="4" w:space="0"/>
            </w:tcBorders>
            <w:noWrap/>
            <w:vAlign w:val="center"/>
          </w:tcPr>
          <w:p>
            <w:pPr>
              <w:spacing w:line="240" w:lineRule="exact"/>
              <w:jc w:val="center"/>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专项资金履职效果</w:t>
            </w:r>
          </w:p>
        </w:tc>
        <w:tc>
          <w:tcPr>
            <w:tcW w:w="720"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kern w:val="0"/>
                <w:sz w:val="18"/>
                <w:szCs w:val="18"/>
              </w:rPr>
            </w:pPr>
          </w:p>
        </w:tc>
        <w:tc>
          <w:tcPr>
            <w:tcW w:w="4734"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c>
          <w:tcPr>
            <w:tcW w:w="616"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c>
          <w:tcPr>
            <w:tcW w:w="425" w:type="dxa"/>
            <w:vMerge w:val="continue"/>
            <w:tcBorders>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sz w:val="18"/>
                <w:szCs w:val="18"/>
              </w:rPr>
            </w:pPr>
            <w:r>
              <w:rPr>
                <w:rFonts w:hint="eastAsia" w:ascii="仿宋" w:hAnsi="仿宋" w:eastAsia="仿宋" w:cs="宋体"/>
                <w:b/>
                <w:color w:val="000000"/>
                <w:kern w:val="0"/>
                <w:sz w:val="18"/>
                <w:szCs w:val="18"/>
              </w:rPr>
              <w:t>预算管理</w:t>
            </w:r>
            <w:r>
              <w:rPr>
                <w:rFonts w:hint="eastAsia" w:ascii="仿宋" w:hAnsi="仿宋" w:eastAsia="仿宋" w:cs="宋体"/>
                <w:b/>
                <w:color w:val="000000"/>
                <w:kern w:val="0"/>
                <w:sz w:val="18"/>
                <w:szCs w:val="18"/>
              </w:rPr>
              <w:br w:type="textWrapping"/>
            </w:r>
            <w:r>
              <w:rPr>
                <w:rFonts w:hint="eastAsia" w:ascii="仿宋" w:hAnsi="仿宋" w:eastAsia="仿宋" w:cs="宋体"/>
                <w:b/>
                <w:color w:val="000000"/>
                <w:kern w:val="0"/>
                <w:sz w:val="18"/>
                <w:szCs w:val="18"/>
              </w:rPr>
              <w:t>（25分）</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预算编制质量</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8</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部门是否严格按要求编制年初部门预算，年初预算编制的科学性和准确性</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单位收入统筹</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部门统筹自有收入程度</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支出执行进度</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6</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部门1至6月、1至10月预算执行情况</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预算年终结余</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2</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部门整体年终预算结余情况</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严控一般性支出</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5</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部门严控“三公”经费、会议、培训、差旅、办节办展、办公设备购置、信息网络及软件购置更新、课题经费等8项一般性支出情况</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sz w:val="18"/>
                <w:szCs w:val="18"/>
              </w:rPr>
            </w:pPr>
            <w:r>
              <w:rPr>
                <w:rFonts w:hint="eastAsia" w:ascii="仿宋" w:hAnsi="仿宋" w:eastAsia="仿宋" w:cs="宋体"/>
                <w:b/>
                <w:color w:val="000000"/>
                <w:kern w:val="0"/>
                <w:sz w:val="18"/>
                <w:szCs w:val="18"/>
              </w:rPr>
              <w:t>财务管理</w:t>
            </w:r>
            <w:r>
              <w:rPr>
                <w:rFonts w:hint="eastAsia" w:ascii="仿宋" w:hAnsi="仿宋" w:eastAsia="仿宋" w:cs="宋体"/>
                <w:b/>
                <w:color w:val="000000"/>
                <w:kern w:val="0"/>
                <w:sz w:val="18"/>
                <w:szCs w:val="18"/>
              </w:rPr>
              <w:br w:type="textWrapping"/>
            </w:r>
            <w:r>
              <w:rPr>
                <w:rFonts w:hint="eastAsia" w:ascii="仿宋" w:hAnsi="仿宋" w:eastAsia="仿宋" w:cs="宋体"/>
                <w:b/>
                <w:color w:val="000000"/>
                <w:kern w:val="0"/>
                <w:sz w:val="18"/>
                <w:szCs w:val="18"/>
              </w:rPr>
              <w:t>（10分）</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财务管理制度</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部门财务管理制度建立情况</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财务岗位设置</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2</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部门财务岗位设置是否符合相关财务管理制度要求</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资金使用规范</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部门资金使用是否符合相关财务管理制度规定</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sz w:val="18"/>
                <w:szCs w:val="18"/>
              </w:rPr>
            </w:pPr>
            <w:r>
              <w:rPr>
                <w:rFonts w:hint="eastAsia" w:ascii="仿宋" w:hAnsi="仿宋" w:eastAsia="仿宋" w:cs="宋体"/>
                <w:b/>
                <w:color w:val="000000"/>
                <w:kern w:val="0"/>
                <w:sz w:val="18"/>
                <w:szCs w:val="18"/>
              </w:rPr>
              <w:t>资产管理</w:t>
            </w:r>
            <w:r>
              <w:rPr>
                <w:rFonts w:hint="eastAsia" w:ascii="仿宋" w:hAnsi="仿宋" w:eastAsia="仿宋" w:cs="宋体"/>
                <w:b/>
                <w:color w:val="000000"/>
                <w:kern w:val="0"/>
                <w:sz w:val="18"/>
                <w:szCs w:val="18"/>
              </w:rPr>
              <w:br w:type="textWrapping"/>
            </w:r>
            <w:r>
              <w:rPr>
                <w:rFonts w:hint="eastAsia" w:ascii="仿宋" w:hAnsi="仿宋" w:eastAsia="仿宋" w:cs="宋体"/>
                <w:b/>
                <w:color w:val="000000"/>
                <w:kern w:val="0"/>
                <w:sz w:val="18"/>
                <w:szCs w:val="18"/>
              </w:rPr>
              <w:t>（9分）</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人均资产变化率</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部门人均资产变化情况</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资产利用率</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部门资产超最低使用年限情况</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sz w:val="18"/>
                <w:szCs w:val="18"/>
              </w:rPr>
            </w:pPr>
            <w:r>
              <w:rPr>
                <w:rFonts w:hint="eastAsia" w:ascii="仿宋" w:hAnsi="仿宋" w:eastAsia="仿宋" w:cs="宋体"/>
                <w:b/>
                <w:color w:val="000000"/>
                <w:kern w:val="0"/>
                <w:sz w:val="18"/>
                <w:szCs w:val="18"/>
              </w:rPr>
              <w:t>总体绩效</w:t>
            </w:r>
            <w:r>
              <w:rPr>
                <w:rFonts w:hint="eastAsia" w:ascii="仿宋" w:hAnsi="仿宋" w:eastAsia="仿宋" w:cs="宋体"/>
                <w:b/>
                <w:color w:val="000000"/>
                <w:kern w:val="0"/>
                <w:sz w:val="18"/>
                <w:szCs w:val="18"/>
              </w:rPr>
              <w:br w:type="textWrapping"/>
            </w:r>
            <w:r>
              <w:rPr>
                <w:rFonts w:hint="eastAsia" w:ascii="仿宋" w:hAnsi="仿宋" w:eastAsia="仿宋" w:cs="宋体"/>
                <w:b/>
                <w:color w:val="000000"/>
                <w:kern w:val="0"/>
                <w:sz w:val="18"/>
                <w:szCs w:val="18"/>
              </w:rPr>
              <w:t>（65分）</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sz w:val="18"/>
                <w:szCs w:val="18"/>
              </w:rPr>
            </w:pPr>
            <w:r>
              <w:rPr>
                <w:rFonts w:hint="eastAsia" w:ascii="仿宋" w:hAnsi="仿宋" w:eastAsia="仿宋" w:cs="宋体"/>
                <w:b/>
                <w:color w:val="000000"/>
                <w:kern w:val="0"/>
                <w:sz w:val="18"/>
                <w:szCs w:val="18"/>
              </w:rPr>
              <w:t>资产管理</w:t>
            </w:r>
            <w:r>
              <w:rPr>
                <w:rFonts w:hint="eastAsia" w:ascii="仿宋" w:hAnsi="仿宋" w:eastAsia="仿宋" w:cs="宋体"/>
                <w:b/>
                <w:color w:val="000000"/>
                <w:kern w:val="0"/>
                <w:sz w:val="18"/>
                <w:szCs w:val="18"/>
              </w:rPr>
              <w:br w:type="textWrapping"/>
            </w:r>
            <w:r>
              <w:rPr>
                <w:rFonts w:hint="eastAsia" w:ascii="仿宋" w:hAnsi="仿宋" w:eastAsia="仿宋" w:cs="宋体"/>
                <w:b/>
                <w:color w:val="000000"/>
                <w:kern w:val="0"/>
                <w:sz w:val="18"/>
                <w:szCs w:val="18"/>
              </w:rPr>
              <w:t>（9分）</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资产盘活率</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部门闲置一年以上的资产盘活情况</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sz w:val="18"/>
                <w:szCs w:val="18"/>
              </w:rPr>
            </w:pPr>
            <w:r>
              <w:rPr>
                <w:rFonts w:hint="eastAsia" w:ascii="仿宋" w:hAnsi="仿宋" w:eastAsia="仿宋" w:cs="宋体"/>
                <w:b/>
                <w:color w:val="000000"/>
                <w:kern w:val="0"/>
                <w:sz w:val="18"/>
                <w:szCs w:val="18"/>
              </w:rPr>
              <w:t>采购管理</w:t>
            </w:r>
            <w:r>
              <w:rPr>
                <w:rFonts w:hint="eastAsia" w:ascii="仿宋" w:hAnsi="仿宋" w:eastAsia="仿宋" w:cs="宋体"/>
                <w:b/>
                <w:color w:val="000000"/>
                <w:kern w:val="0"/>
                <w:sz w:val="18"/>
                <w:szCs w:val="18"/>
              </w:rPr>
              <w:br w:type="textWrapping"/>
            </w:r>
            <w:r>
              <w:rPr>
                <w:rFonts w:hint="eastAsia" w:ascii="仿宋" w:hAnsi="仿宋" w:eastAsia="仿宋" w:cs="宋体"/>
                <w:b/>
                <w:color w:val="000000"/>
                <w:kern w:val="0"/>
                <w:sz w:val="18"/>
                <w:szCs w:val="18"/>
              </w:rPr>
              <w:t>（6分）</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支持中小企业发展</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部门是否严格执行政府采购促进中小企业发展相关管理办法</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采购执行率</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部门政府采购项目资金支付比例情况</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sz w:val="18"/>
                <w:szCs w:val="18"/>
              </w:rPr>
            </w:pPr>
            <w:r>
              <w:rPr>
                <w:rFonts w:hint="eastAsia" w:ascii="仿宋" w:hAnsi="仿宋" w:eastAsia="仿宋" w:cs="宋体"/>
                <w:b/>
                <w:color w:val="000000"/>
                <w:kern w:val="0"/>
                <w:sz w:val="18"/>
                <w:szCs w:val="18"/>
              </w:rPr>
              <w:t>项目绩效</w:t>
            </w:r>
            <w:r>
              <w:rPr>
                <w:rFonts w:hint="eastAsia" w:ascii="仿宋" w:hAnsi="仿宋" w:eastAsia="仿宋" w:cs="宋体"/>
                <w:b/>
                <w:color w:val="000000"/>
                <w:kern w:val="0"/>
                <w:sz w:val="18"/>
                <w:szCs w:val="18"/>
              </w:rPr>
              <w:br w:type="textWrapping"/>
            </w:r>
            <w:r>
              <w:rPr>
                <w:rFonts w:hint="eastAsia" w:ascii="仿宋" w:hAnsi="仿宋" w:eastAsia="仿宋" w:cs="宋体"/>
                <w:b/>
                <w:color w:val="000000"/>
                <w:kern w:val="0"/>
                <w:sz w:val="18"/>
                <w:szCs w:val="18"/>
              </w:rPr>
              <w:t>（35分）</w:t>
            </w:r>
          </w:p>
        </w:tc>
        <w:tc>
          <w:tcPr>
            <w:tcW w:w="1462" w:type="dxa"/>
            <w:vMerge w:val="restart"/>
            <w:tcBorders>
              <w:top w:val="single" w:color="000000" w:sz="4" w:space="0"/>
              <w:left w:val="single" w:color="000000" w:sz="4" w:space="0"/>
              <w:bottom w:val="nil"/>
              <w:right w:val="single" w:color="000000" w:sz="4" w:space="0"/>
            </w:tcBorders>
            <w:noWrap/>
            <w:vAlign w:val="center"/>
          </w:tcPr>
          <w:p>
            <w:pPr>
              <w:widowControl/>
              <w:spacing w:line="240" w:lineRule="exact"/>
              <w:jc w:val="center"/>
              <w:textAlignment w:val="center"/>
              <w:rPr>
                <w:rFonts w:ascii="仿宋" w:hAnsi="仿宋" w:eastAsia="仿宋" w:cs="宋体"/>
                <w:b/>
                <w:color w:val="000000"/>
                <w:sz w:val="18"/>
                <w:szCs w:val="18"/>
              </w:rPr>
            </w:pPr>
            <w:r>
              <w:rPr>
                <w:rFonts w:hint="eastAsia" w:ascii="仿宋" w:hAnsi="仿宋" w:eastAsia="仿宋" w:cs="宋体"/>
                <w:b/>
                <w:color w:val="000000"/>
                <w:kern w:val="0"/>
                <w:sz w:val="18"/>
                <w:szCs w:val="18"/>
              </w:rPr>
              <w:t>项目决策</w:t>
            </w:r>
            <w:r>
              <w:rPr>
                <w:rFonts w:hint="eastAsia" w:ascii="仿宋" w:hAnsi="仿宋" w:eastAsia="仿宋" w:cs="宋体"/>
                <w:b/>
                <w:color w:val="000000"/>
                <w:kern w:val="0"/>
                <w:sz w:val="18"/>
                <w:szCs w:val="18"/>
              </w:rPr>
              <w:br w:type="textWrapping"/>
            </w:r>
            <w:r>
              <w:rPr>
                <w:rFonts w:hint="eastAsia" w:ascii="仿宋" w:hAnsi="仿宋" w:eastAsia="仿宋" w:cs="宋体"/>
                <w:b/>
                <w:color w:val="000000"/>
                <w:kern w:val="0"/>
                <w:sz w:val="18"/>
                <w:szCs w:val="18"/>
              </w:rPr>
              <w:t>（12分）</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决策程序</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部门预算项目设立是否按规定履行评估论证、申报程序</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continue"/>
            <w:tcBorders>
              <w:top w:val="single" w:color="000000" w:sz="4" w:space="0"/>
              <w:left w:val="single" w:color="000000" w:sz="4" w:space="0"/>
              <w:bottom w:val="nil"/>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目标设置</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部门预算项目绩效目标与计划期内的任务量、预算安排的资金量匹配情况，绩效目标设置是否科学合理、规范完整、量化细化、预算匹配</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continue"/>
            <w:tcBorders>
              <w:top w:val="single" w:color="000000" w:sz="4" w:space="0"/>
              <w:left w:val="single" w:color="000000" w:sz="4" w:space="0"/>
              <w:bottom w:val="nil"/>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项目入库</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部门预算项目是否在规定时间完成项目入库</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restart"/>
            <w:tcBorders>
              <w:top w:val="single" w:color="000000" w:sz="4" w:space="0"/>
              <w:left w:val="single" w:color="000000" w:sz="4" w:space="0"/>
              <w:bottom w:val="nil"/>
              <w:right w:val="single" w:color="000000" w:sz="4" w:space="0"/>
            </w:tcBorders>
            <w:noWrap/>
            <w:vAlign w:val="center"/>
          </w:tcPr>
          <w:p>
            <w:pPr>
              <w:widowControl/>
              <w:spacing w:line="240" w:lineRule="exact"/>
              <w:jc w:val="center"/>
              <w:textAlignment w:val="center"/>
              <w:rPr>
                <w:rFonts w:ascii="仿宋" w:hAnsi="仿宋" w:eastAsia="仿宋" w:cs="宋体"/>
                <w:b/>
                <w:color w:val="000000"/>
                <w:sz w:val="18"/>
                <w:szCs w:val="18"/>
              </w:rPr>
            </w:pPr>
            <w:r>
              <w:rPr>
                <w:rFonts w:hint="eastAsia" w:ascii="仿宋" w:hAnsi="仿宋" w:eastAsia="仿宋" w:cs="宋体"/>
                <w:b/>
                <w:color w:val="000000"/>
                <w:kern w:val="0"/>
                <w:sz w:val="18"/>
                <w:szCs w:val="18"/>
              </w:rPr>
              <w:t>项目执行</w:t>
            </w:r>
            <w:r>
              <w:rPr>
                <w:rFonts w:hint="eastAsia" w:ascii="仿宋" w:hAnsi="仿宋" w:eastAsia="仿宋" w:cs="宋体"/>
                <w:b/>
                <w:color w:val="000000"/>
                <w:kern w:val="0"/>
                <w:sz w:val="18"/>
                <w:szCs w:val="18"/>
              </w:rPr>
              <w:br w:type="textWrapping"/>
            </w:r>
            <w:r>
              <w:rPr>
                <w:rFonts w:hint="eastAsia" w:ascii="仿宋" w:hAnsi="仿宋" w:eastAsia="仿宋" w:cs="宋体"/>
                <w:b/>
                <w:color w:val="000000"/>
                <w:kern w:val="0"/>
                <w:sz w:val="18"/>
                <w:szCs w:val="18"/>
              </w:rPr>
              <w:t>（12分）</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执行同向</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部门预算项目实际列支内容是否与绩效目标设置方向相符</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continue"/>
            <w:tcBorders>
              <w:top w:val="single" w:color="000000" w:sz="4" w:space="0"/>
              <w:left w:val="single" w:color="000000" w:sz="4" w:space="0"/>
              <w:bottom w:val="nil"/>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665" w:type="dxa"/>
            <w:tcBorders>
              <w:top w:val="single" w:color="000000" w:sz="4" w:space="0"/>
              <w:left w:val="single" w:color="000000" w:sz="4" w:space="0"/>
              <w:bottom w:val="nil"/>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项目调整</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部门预算项目是否采取对应调整措施</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continue"/>
            <w:tcBorders>
              <w:top w:val="single" w:color="000000" w:sz="4" w:space="0"/>
              <w:left w:val="single" w:color="000000" w:sz="4" w:space="0"/>
              <w:bottom w:val="nil"/>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执行结果</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部门预算项目预算执行情况</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sz w:val="18"/>
                <w:szCs w:val="18"/>
              </w:rPr>
            </w:pPr>
            <w:r>
              <w:rPr>
                <w:rFonts w:hint="eastAsia" w:ascii="仿宋" w:hAnsi="仿宋" w:eastAsia="仿宋" w:cs="宋体"/>
                <w:b/>
                <w:color w:val="000000"/>
                <w:kern w:val="0"/>
                <w:sz w:val="18"/>
                <w:szCs w:val="18"/>
              </w:rPr>
              <w:t>目标实现</w:t>
            </w:r>
            <w:r>
              <w:rPr>
                <w:rFonts w:hint="eastAsia" w:ascii="仿宋" w:hAnsi="仿宋" w:eastAsia="仿宋" w:cs="宋体"/>
                <w:b/>
                <w:color w:val="000000"/>
                <w:kern w:val="0"/>
                <w:sz w:val="18"/>
                <w:szCs w:val="18"/>
              </w:rPr>
              <w:br w:type="textWrapping"/>
            </w:r>
            <w:r>
              <w:rPr>
                <w:rFonts w:hint="eastAsia" w:ascii="仿宋" w:hAnsi="仿宋" w:eastAsia="仿宋" w:cs="宋体"/>
                <w:b/>
                <w:color w:val="000000"/>
                <w:kern w:val="0"/>
                <w:sz w:val="18"/>
                <w:szCs w:val="18"/>
              </w:rPr>
              <w:t>（11分）</w:t>
            </w: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目标完成</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部门预算项目绩效目标数量指标完成情况</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目标偏离</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部门预算项目绩效目标数量指标实现程度与预期目标的偏离情况</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仿宋" w:hAnsi="仿宋" w:eastAsia="仿宋" w:cs="宋体"/>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实现效果</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部门预算项目绩效目标效益指标实施效果</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r>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b/>
                <w:color w:val="000000"/>
                <w:sz w:val="18"/>
                <w:szCs w:val="18"/>
              </w:rPr>
            </w:pPr>
            <w:r>
              <w:rPr>
                <w:rFonts w:hint="eastAsia" w:ascii="仿宋" w:hAnsi="仿宋" w:eastAsia="仿宋" w:cs="宋体"/>
                <w:b/>
                <w:color w:val="000000"/>
                <w:kern w:val="0"/>
                <w:sz w:val="18"/>
                <w:szCs w:val="18"/>
              </w:rPr>
              <w:t>扣分项</w:t>
            </w:r>
            <w:r>
              <w:rPr>
                <w:rFonts w:hint="eastAsia" w:ascii="仿宋" w:hAnsi="仿宋" w:eastAsia="仿宋" w:cs="宋体"/>
                <w:b/>
                <w:color w:val="000000"/>
                <w:kern w:val="0"/>
                <w:sz w:val="18"/>
                <w:szCs w:val="18"/>
              </w:rPr>
              <w:br w:type="textWrapping"/>
            </w:r>
            <w:r>
              <w:rPr>
                <w:rFonts w:hint="eastAsia" w:ascii="仿宋" w:hAnsi="仿宋" w:eastAsia="仿宋" w:cs="宋体"/>
                <w:b/>
                <w:color w:val="000000"/>
                <w:kern w:val="0"/>
                <w:sz w:val="18"/>
                <w:szCs w:val="18"/>
              </w:rPr>
              <w:t>（10分）</w:t>
            </w:r>
          </w:p>
        </w:tc>
        <w:tc>
          <w:tcPr>
            <w:tcW w:w="312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被评价部门配合度</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w:t>
            </w:r>
          </w:p>
        </w:tc>
        <w:tc>
          <w:tcPr>
            <w:tcW w:w="473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被评价对象工作配合情况</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left"/>
              <w:textAlignment w:val="center"/>
              <w:rPr>
                <w:rFonts w:ascii="仿宋" w:hAnsi="仿宋" w:eastAsia="仿宋" w:cs="宋体"/>
                <w:color w:val="000000"/>
                <w:kern w:val="0"/>
                <w:sz w:val="18"/>
                <w:szCs w:val="18"/>
              </w:rPr>
            </w:pPr>
          </w:p>
        </w:tc>
      </w:tr>
    </w:tbl>
    <w:p>
      <w:pPr>
        <w:pStyle w:val="4"/>
        <w:ind w:left="0" w:leftChars="0" w:firstLine="0" w:firstLineChars="0"/>
        <w:outlineLvl w:val="9"/>
        <w:rPr>
          <w:rFonts w:hint="default" w:ascii="Times New Roman" w:hAnsi="Times New Roman" w:eastAsia="仿宋" w:cs="Times New Roman"/>
          <w:sz w:val="24"/>
          <w:szCs w:val="24"/>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pStyle w:val="8"/>
        <w:rPr>
          <w:rFonts w:ascii="仿宋" w:hAnsi="仿宋" w:eastAsia="仿宋" w:cs="仿宋"/>
          <w:sz w:val="31"/>
          <w:szCs w:val="31"/>
        </w:rPr>
      </w:pPr>
      <w:bookmarkStart w:id="30" w:name="_GoBack"/>
      <w:bookmarkEnd w:id="30"/>
    </w:p>
    <w:p>
      <w:pPr>
        <w:rPr>
          <w:rFonts w:ascii="仿宋" w:hAnsi="仿宋" w:eastAsia="仿宋" w:cs="仿宋"/>
          <w:sz w:val="31"/>
          <w:szCs w:val="3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57ACDE-97D0-47FC-B412-8FD07103BE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565E52F5-9051-4FE1-B496-FC7727945EE5}"/>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1064CB2D-365D-4B8F-86CA-1C453B203834}"/>
  </w:font>
  <w:font w:name="方正楷体_GB2312">
    <w:panose1 w:val="02000000000000000000"/>
    <w:charset w:val="86"/>
    <w:family w:val="auto"/>
    <w:pitch w:val="default"/>
    <w:sig w:usb0="A00002BF" w:usb1="184F6CFA" w:usb2="00000012" w:usb3="00000000" w:csb0="00040001" w:csb1="00000000"/>
    <w:embedRegular r:id="rId4" w:fontKey="{06764F91-FDD7-459D-9F64-5ED70AE395D0}"/>
  </w:font>
  <w:font w:name="方正仿宋_GB2312">
    <w:panose1 w:val="02000000000000000000"/>
    <w:charset w:val="86"/>
    <w:family w:val="auto"/>
    <w:pitch w:val="default"/>
    <w:sig w:usb0="A00002BF" w:usb1="184F6CFA" w:usb2="00000012" w:usb3="00000000" w:csb0="00040001" w:csb1="00000000"/>
    <w:embedRegular r:id="rId5" w:fontKey="{CB60F40D-1182-4ACB-BF1F-32A2B7052A39}"/>
  </w:font>
  <w:font w:name="仿宋">
    <w:panose1 w:val="02010609060101010101"/>
    <w:charset w:val="86"/>
    <w:family w:val="auto"/>
    <w:pitch w:val="default"/>
    <w:sig w:usb0="800002BF" w:usb1="38CF7CFA" w:usb2="00000016" w:usb3="00000000" w:csb0="00040001" w:csb1="00000000"/>
    <w:embedRegular r:id="rId6" w:fontKey="{9EEDA5C1-9BF4-4B6F-98C6-4AB52C24FE6E}"/>
  </w:font>
  <w:font w:name="方正楷体_GBK">
    <w:panose1 w:val="02000000000000000000"/>
    <w:charset w:val="86"/>
    <w:family w:val="auto"/>
    <w:pitch w:val="default"/>
    <w:sig w:usb0="800002BF" w:usb1="38CF7CFA" w:usb2="00000016" w:usb3="00000000" w:csb0="00040000" w:csb1="00000000"/>
    <w:embedRegular r:id="rId7" w:fontKey="{3B0D4461-1D7D-4184-B415-B17F8DC953EA}"/>
  </w:font>
  <w:font w:name="方正仿宋_GBK">
    <w:panose1 w:val="02000000000000000000"/>
    <w:charset w:val="86"/>
    <w:family w:val="auto"/>
    <w:pitch w:val="default"/>
    <w:sig w:usb0="A00002BF" w:usb1="38CF7CFA" w:usb2="00082016" w:usb3="00000000" w:csb0="00040001" w:csb1="00000000"/>
    <w:embedRegular r:id="rId8" w:fontKey="{E4C9CF08-AC04-40BF-B2E8-C8984D2F835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Mjg4YzljNDg3ZTZhNDgxOGJiZTI3NDZkYjE1OTMifQ=="/>
  </w:docVars>
  <w:rsids>
    <w:rsidRoot w:val="7416615E"/>
    <w:rsid w:val="74166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Body Text Indent"/>
    <w:basedOn w:val="1"/>
    <w:next w:val="4"/>
    <w:qFormat/>
    <w:uiPriority w:val="0"/>
    <w:pPr>
      <w:spacing w:after="120"/>
      <w:ind w:leftChars="200"/>
    </w:pPr>
    <w:rPr>
      <w:rFonts w:ascii="仿宋_GB2312"/>
      <w:szCs w:val="32"/>
    </w:rPr>
  </w:style>
  <w:style w:type="paragraph" w:styleId="4">
    <w:name w:val="Body Text First Indent 2"/>
    <w:basedOn w:val="3"/>
    <w:unhideWhenUsed/>
    <w:qFormat/>
    <w:uiPriority w:val="99"/>
    <w:pPr>
      <w:ind w:firstLine="420" w:firstLineChars="2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标题 5（有编号）（绿盟科技）"/>
    <w:basedOn w:val="1"/>
    <w:next w:val="1"/>
    <w:autoRedefine/>
    <w:qFormat/>
    <w:uiPriority w:val="99"/>
    <w:pPr>
      <w:keepNext/>
      <w:keepLines/>
      <w:spacing w:before="280" w:after="156" w:line="377" w:lineRule="auto"/>
      <w:jc w:val="left"/>
      <w:outlineLvl w:val="4"/>
    </w:pPr>
    <w:rPr>
      <w:rFonts w:ascii="Arial" w:hAnsi="Arial" w:eastAsia="黑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2025-10-16T06:45:00Z</dcterms:created>
  <dc:creator>liu635200</dc:creator>
  <cp:lastModifiedBy>liu635200</cp:lastModifiedBy>
  <dcterms:modified xsi:type="dcterms:W3CDTF">2025-10-16T06:47:09Z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63E0638CABD141CFB486D4C153B183BE_11</vt:lpwstr>
  </property>
</Properties>
</file>