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9D6C4">
      <w:pPr>
        <w:spacing w:line="600" w:lineRule="exact"/>
        <w:jc w:val="center"/>
        <w:rPr>
          <w:rFonts w:hint="eastAsia" w:ascii="黑体" w:hAnsi="黑体" w:eastAsia="黑体" w:cs="黑体"/>
          <w:b/>
          <w:bCs w:val="0"/>
          <w:sz w:val="44"/>
          <w:szCs w:val="44"/>
          <w:highlight w:val="none"/>
          <w:shd w:val="clear" w:color="auto" w:fill="FFFFFF"/>
          <w:lang w:eastAsia="zh-CN"/>
        </w:rPr>
      </w:pPr>
      <w:bookmarkStart w:id="0" w:name="_Toc15377226"/>
      <w:r>
        <w:rPr>
          <w:rFonts w:hint="eastAsia" w:ascii="黑体" w:hAnsi="黑体" w:eastAsia="黑体" w:cs="黑体"/>
          <w:b/>
          <w:bCs w:val="0"/>
          <w:sz w:val="44"/>
          <w:szCs w:val="44"/>
          <w:highlight w:val="none"/>
          <w:shd w:val="clear" w:color="auto" w:fill="FFFFFF"/>
          <w:lang w:eastAsia="zh-CN"/>
        </w:rPr>
        <w:t>渠县临巴镇人民政府</w:t>
      </w:r>
    </w:p>
    <w:p w14:paraId="60D9ECA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黑体" w:hAnsi="黑体" w:eastAsia="黑体" w:cs="黑体"/>
          <w:b/>
          <w:bCs w:val="0"/>
          <w:sz w:val="44"/>
          <w:szCs w:val="44"/>
          <w:highlight w:val="none"/>
          <w:shd w:val="clear" w:color="auto" w:fill="FFFFFF"/>
        </w:rPr>
      </w:pPr>
      <w:r>
        <w:rPr>
          <w:rFonts w:hint="eastAsia" w:ascii="黑体" w:hAnsi="黑体" w:eastAsia="黑体" w:cs="黑体"/>
          <w:b/>
          <w:bCs w:val="0"/>
          <w:sz w:val="44"/>
          <w:szCs w:val="44"/>
          <w:highlight w:val="none"/>
          <w:shd w:val="clear" w:color="auto" w:fill="FFFFFF"/>
        </w:rPr>
        <w:t>部门</w:t>
      </w:r>
      <w:r>
        <w:rPr>
          <w:rFonts w:hint="eastAsia" w:ascii="黑体" w:hAnsi="黑体" w:eastAsia="黑体" w:cs="黑体"/>
          <w:b/>
          <w:bCs w:val="0"/>
          <w:sz w:val="44"/>
          <w:szCs w:val="44"/>
          <w:highlight w:val="none"/>
          <w:shd w:val="clear" w:color="auto" w:fill="FFFFFF"/>
          <w:lang w:eastAsia="zh-CN"/>
        </w:rPr>
        <w:t>预算整体</w:t>
      </w:r>
      <w:r>
        <w:rPr>
          <w:rFonts w:hint="eastAsia" w:ascii="黑体" w:hAnsi="黑体" w:eastAsia="黑体" w:cs="黑体"/>
          <w:b/>
          <w:bCs w:val="0"/>
          <w:sz w:val="44"/>
          <w:szCs w:val="44"/>
          <w:highlight w:val="none"/>
          <w:shd w:val="clear" w:color="auto" w:fill="FFFFFF"/>
        </w:rPr>
        <w:t>绩效</w:t>
      </w:r>
      <w:r>
        <w:rPr>
          <w:rFonts w:hint="eastAsia" w:ascii="黑体" w:hAnsi="黑体" w:eastAsia="黑体" w:cs="黑体"/>
          <w:b/>
          <w:bCs w:val="0"/>
          <w:sz w:val="44"/>
          <w:szCs w:val="44"/>
          <w:highlight w:val="none"/>
          <w:shd w:val="clear" w:color="auto" w:fill="FFFFFF"/>
          <w:lang w:eastAsia="zh-CN"/>
        </w:rPr>
        <w:t>评价</w:t>
      </w:r>
      <w:r>
        <w:rPr>
          <w:rFonts w:hint="eastAsia" w:ascii="黑体" w:hAnsi="黑体" w:eastAsia="黑体" w:cs="黑体"/>
          <w:b/>
          <w:bCs w:val="0"/>
          <w:sz w:val="44"/>
          <w:szCs w:val="44"/>
          <w:highlight w:val="none"/>
          <w:shd w:val="clear" w:color="auto" w:fill="FFFFFF"/>
        </w:rPr>
        <w:t>报告</w:t>
      </w:r>
    </w:p>
    <w:p w14:paraId="5F9BA20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7A0775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b w:val="0"/>
          <w:bCs w:val="0"/>
          <w:color w:val="000000"/>
          <w:kern w:val="0"/>
          <w:sz w:val="32"/>
          <w:szCs w:val="32"/>
          <w:highlight w:val="none"/>
          <w:shd w:val="clear" w:color="auto" w:fill="FFFFFF"/>
          <w:lang w:val="zh-CN"/>
        </w:rPr>
      </w:pPr>
      <w:r>
        <w:rPr>
          <w:rFonts w:hint="eastAsia" w:ascii="Times New Roman" w:hAnsi="Times New Roman" w:eastAsia="黑体" w:cs="Times New Roman"/>
          <w:b/>
          <w:bCs/>
          <w:color w:val="000000"/>
          <w:kern w:val="0"/>
          <w:sz w:val="32"/>
          <w:szCs w:val="32"/>
          <w:highlight w:val="none"/>
          <w:shd w:val="clear" w:color="auto" w:fill="FFFFFF"/>
          <w:lang w:val="zh-CN"/>
        </w:rPr>
        <w:t>一、</w:t>
      </w:r>
      <w:r>
        <w:rPr>
          <w:rFonts w:hint="default" w:ascii="Times New Roman" w:hAnsi="Times New Roman" w:eastAsia="黑体" w:cs="Times New Roman"/>
          <w:b/>
          <w:bCs/>
          <w:color w:val="000000"/>
          <w:kern w:val="0"/>
          <w:sz w:val="32"/>
          <w:szCs w:val="32"/>
          <w:highlight w:val="none"/>
          <w:shd w:val="clear" w:color="auto" w:fill="FFFFFF"/>
          <w:lang w:val="zh-CN"/>
        </w:rPr>
        <w:t>部门（单位）基本情况</w:t>
      </w:r>
    </w:p>
    <w:p w14:paraId="150D5A5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color w:val="auto"/>
          <w:sz w:val="32"/>
          <w:szCs w:val="32"/>
          <w:highlight w:val="none"/>
          <w:lang w:val="zh-CN"/>
        </w:rPr>
      </w:pPr>
      <w:r>
        <w:rPr>
          <w:rFonts w:hint="eastAsia" w:ascii="仿宋_GB2312" w:hAnsi="仿宋_GB2312" w:eastAsia="仿宋_GB2312" w:cs="仿宋_GB2312"/>
          <w:b/>
          <w:bCs w:val="0"/>
          <w:color w:val="auto"/>
          <w:sz w:val="32"/>
          <w:szCs w:val="32"/>
          <w:highlight w:val="none"/>
          <w:lang w:val="zh-CN"/>
        </w:rPr>
        <w:t>（一）机构组成。</w:t>
      </w:r>
      <w:r>
        <w:rPr>
          <w:rFonts w:hint="eastAsia" w:ascii="仿宋_GB2312" w:hAnsi="仿宋_GB2312" w:eastAsia="仿宋_GB2312" w:cs="仿宋_GB2312"/>
          <w:b w:val="0"/>
          <w:bCs/>
          <w:color w:val="auto"/>
          <w:sz w:val="32"/>
          <w:szCs w:val="32"/>
          <w:highlight w:val="none"/>
          <w:lang w:val="zh-CN"/>
        </w:rPr>
        <w:t>渠县临巴镇人民政府为独立核算的行政单位，是一级预算单位。根据编委核定，我镇内设机构10个：包括党政综合办事机构、党建工作办公室、经济发展办公室、社会事务办公室、社会治理与综合执法办公室、应急管理办公室、财政所、便民服务中心、农业综合服务中心、村镇建设综合服务中心。</w:t>
      </w:r>
    </w:p>
    <w:p w14:paraId="3812B96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val="0"/>
          <w:color w:val="auto"/>
          <w:sz w:val="32"/>
          <w:szCs w:val="32"/>
          <w:highlight w:val="none"/>
          <w:lang w:val="zh-CN"/>
        </w:rPr>
      </w:pPr>
      <w:r>
        <w:rPr>
          <w:rFonts w:hint="eastAsia" w:ascii="仿宋_GB2312" w:hAnsi="仿宋_GB2312" w:eastAsia="仿宋_GB2312" w:cs="仿宋_GB2312"/>
          <w:b/>
          <w:bCs w:val="0"/>
          <w:color w:val="auto"/>
          <w:sz w:val="32"/>
          <w:szCs w:val="32"/>
          <w:highlight w:val="none"/>
          <w:lang w:val="zh-CN"/>
        </w:rPr>
        <w:t>（二）机构职能。</w:t>
      </w:r>
    </w:p>
    <w:p w14:paraId="655707C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color w:val="auto"/>
          <w:sz w:val="32"/>
          <w:szCs w:val="32"/>
          <w:highlight w:val="none"/>
          <w:lang w:val="zh-CN"/>
        </w:rPr>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lang w:val="zh-CN"/>
        </w:rPr>
        <w:t>落实政策。</w:t>
      </w:r>
      <w:r>
        <w:rPr>
          <w:rFonts w:hint="eastAsia" w:ascii="仿宋_GB2312" w:hAnsi="仿宋_GB2312" w:eastAsia="仿宋_GB2312" w:cs="仿宋_GB2312"/>
          <w:b w:val="0"/>
          <w:bCs/>
          <w:color w:val="auto"/>
          <w:sz w:val="32"/>
          <w:szCs w:val="32"/>
          <w:highlight w:val="none"/>
          <w:lang w:val="zh-CN"/>
        </w:rPr>
        <w:t>宣传、落实好党的路线、方针、政策和法律、法规，稳定农村基本经济制度，坚持依法行政，推进政务公开，加强对村民委员会的指导，提高、培育村民委员会自治能力。</w:t>
      </w:r>
    </w:p>
    <w:p w14:paraId="5ACA650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color w:val="auto"/>
          <w:sz w:val="32"/>
          <w:szCs w:val="32"/>
          <w:highlight w:val="none"/>
          <w:lang w:val="zh-CN"/>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lang w:val="zh-CN"/>
        </w:rPr>
        <w:t>维护稳定。</w:t>
      </w:r>
      <w:r>
        <w:rPr>
          <w:rFonts w:hint="eastAsia" w:ascii="仿宋_GB2312" w:hAnsi="仿宋_GB2312" w:eastAsia="仿宋_GB2312" w:cs="仿宋_GB2312"/>
          <w:b w:val="0"/>
          <w:bCs/>
          <w:color w:val="auto"/>
          <w:sz w:val="32"/>
          <w:szCs w:val="32"/>
          <w:highlight w:val="none"/>
          <w:lang w:val="zh-CN"/>
        </w:rPr>
        <w:t>坚持“立党为公，执政为民”，紧紧围绕实现和维护群众利益，突出解决人民群众最关心、最直接、最现实的利益问题。加强和巩固农村基层政权建设，加强社会治安综合治理，加强对突发事件的预警，建立、健全各种应急机制，加强民事纠纷调解，化解农村社会矛盾，开展农村扶贫和社会救助，切实保障农民合法权益，维护农村社会稳定。</w:t>
      </w:r>
    </w:p>
    <w:p w14:paraId="7D7EC92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color w:val="auto"/>
          <w:sz w:val="32"/>
          <w:szCs w:val="32"/>
          <w:highlight w:val="none"/>
          <w:lang w:val="zh-CN"/>
        </w:rPr>
      </w:pPr>
      <w:r>
        <w:rPr>
          <w:rFonts w:hint="eastAsia" w:ascii="仿宋_GB2312" w:hAnsi="仿宋_GB2312" w:eastAsia="仿宋_GB2312" w:cs="仿宋_GB2312"/>
          <w:b/>
          <w:bCs w:val="0"/>
          <w:color w:val="auto"/>
          <w:sz w:val="32"/>
          <w:szCs w:val="32"/>
          <w:highlight w:val="none"/>
          <w:lang w:val="en-US" w:eastAsia="zh-CN"/>
        </w:rPr>
        <w:t>3.</w:t>
      </w:r>
      <w:r>
        <w:rPr>
          <w:rFonts w:hint="eastAsia" w:ascii="仿宋_GB2312" w:hAnsi="仿宋_GB2312" w:eastAsia="仿宋_GB2312" w:cs="仿宋_GB2312"/>
          <w:b/>
          <w:bCs w:val="0"/>
          <w:color w:val="auto"/>
          <w:sz w:val="32"/>
          <w:szCs w:val="32"/>
          <w:highlight w:val="none"/>
          <w:lang w:val="zh-CN"/>
        </w:rPr>
        <w:t>加强管理。</w:t>
      </w:r>
      <w:r>
        <w:rPr>
          <w:rFonts w:hint="eastAsia" w:ascii="仿宋_GB2312" w:hAnsi="仿宋_GB2312" w:eastAsia="仿宋_GB2312" w:cs="仿宋_GB2312"/>
          <w:b w:val="0"/>
          <w:bCs/>
          <w:color w:val="auto"/>
          <w:sz w:val="32"/>
          <w:szCs w:val="32"/>
          <w:highlight w:val="none"/>
          <w:lang w:val="zh-CN"/>
        </w:rPr>
        <w:t>加强民政、教育、科技、文化、卫生、计划生育、安全生产、劳动保障和乡村规划等社会管理，加强社会主义精神文明建设，做好防灾减灾工作，加强环境保护，改善农村人居环境，提高农村人口素质和农民生活质量。</w:t>
      </w:r>
    </w:p>
    <w:p w14:paraId="38D4548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zh-CN"/>
        </w:rPr>
      </w:pPr>
      <w:r>
        <w:rPr>
          <w:rFonts w:hint="eastAsia" w:ascii="仿宋_GB2312" w:hAnsi="仿宋_GB2312" w:eastAsia="仿宋_GB2312" w:cs="仿宋_GB2312"/>
          <w:b/>
          <w:bCs w:val="0"/>
          <w:color w:val="auto"/>
          <w:sz w:val="32"/>
          <w:szCs w:val="32"/>
          <w:highlight w:val="none"/>
          <w:lang w:val="en-US" w:eastAsia="zh-CN"/>
        </w:rPr>
        <w:t>4.</w:t>
      </w:r>
      <w:r>
        <w:rPr>
          <w:rFonts w:hint="eastAsia" w:ascii="仿宋_GB2312" w:hAnsi="仿宋_GB2312" w:eastAsia="仿宋_GB2312" w:cs="仿宋_GB2312"/>
          <w:b/>
          <w:bCs w:val="0"/>
          <w:color w:val="auto"/>
          <w:sz w:val="32"/>
          <w:szCs w:val="32"/>
          <w:highlight w:val="none"/>
          <w:lang w:val="zh-CN"/>
        </w:rPr>
        <w:t>提供服务。</w:t>
      </w:r>
      <w:r>
        <w:rPr>
          <w:rFonts w:hint="eastAsia" w:ascii="仿宋_GB2312" w:hAnsi="仿宋_GB2312" w:eastAsia="仿宋_GB2312" w:cs="仿宋_GB2312"/>
          <w:b w:val="0"/>
          <w:bCs/>
          <w:color w:val="auto"/>
          <w:sz w:val="32"/>
          <w:szCs w:val="32"/>
          <w:highlight w:val="none"/>
          <w:lang w:val="zh-CN"/>
        </w:rPr>
        <w:t>进一步发展和完善农业社会化服务体系,引导各类协会和农村专业合作经济组织发展,充分发挥其作用,发展农村社会公益事业和集体公益事业，加强农村基础设施建设，提供政策、科技、市场信息和社会救济、救助服务，及时向上级党委、政府反映社情民意，进一步密切党和政府与人民群众的关系。</w:t>
      </w:r>
    </w:p>
    <w:p w14:paraId="7DDDE9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color w:val="000000"/>
          <w:kern w:val="0"/>
          <w:sz w:val="32"/>
          <w:szCs w:val="32"/>
          <w:highlight w:val="none"/>
          <w:shd w:val="clear" w:color="auto" w:fill="FFFFFF"/>
          <w:lang w:val="zh-CN"/>
        </w:rPr>
        <w:t>（三）人员概况。</w:t>
      </w:r>
      <w:r>
        <w:rPr>
          <w:rFonts w:hint="eastAsia" w:ascii="仿宋_GB2312" w:hAnsi="仿宋_GB2312" w:eastAsia="仿宋_GB2312" w:cs="仿宋_GB2312"/>
          <w:b w:val="0"/>
          <w:bCs/>
          <w:sz w:val="32"/>
          <w:szCs w:val="32"/>
          <w:lang w:val="en-US" w:eastAsia="zh-CN"/>
        </w:rPr>
        <w:t>截至2024年末，渠县临巴镇人民政府核定编制人数 119人，其中行政编制54人，事业编制60人，工勤编制5名。实际财政供养人员在职115人，遗属生活补助人员26人，退休人员99人。</w:t>
      </w:r>
    </w:p>
    <w:p w14:paraId="0442AE0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eastAsia" w:ascii="黑体" w:hAnsi="黑体" w:eastAsia="黑体" w:cs="黑体"/>
          <w:color w:val="000000"/>
          <w:kern w:val="0"/>
          <w:sz w:val="32"/>
          <w:szCs w:val="32"/>
          <w:highlight w:val="none"/>
          <w:shd w:val="clear" w:color="auto" w:fill="FFFFFF"/>
          <w:lang w:val="zh-CN" w:eastAsia="zh-CN"/>
        </w:rPr>
      </w:pPr>
      <w:r>
        <w:rPr>
          <w:rFonts w:hint="eastAsia" w:ascii="黑体" w:hAnsi="黑体" w:eastAsia="黑体" w:cs="黑体"/>
          <w:b/>
          <w:bCs/>
          <w:color w:val="000000"/>
          <w:kern w:val="0"/>
          <w:sz w:val="32"/>
          <w:szCs w:val="32"/>
          <w:highlight w:val="none"/>
          <w:shd w:val="clear" w:color="auto" w:fill="FFFFFF"/>
          <w:lang w:val="zh-CN" w:eastAsia="zh-CN"/>
        </w:rPr>
        <w:t>二、部门资金收支情况</w:t>
      </w:r>
    </w:p>
    <w:p w14:paraId="350D6C90">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r>
        <w:rPr>
          <w:rFonts w:hint="eastAsia" w:ascii="仿宋_GB2312" w:hAnsi="仿宋_GB2312" w:eastAsia="仿宋_GB2312" w:cs="仿宋_GB2312"/>
          <w:b w:val="0"/>
          <w:bCs w:val="0"/>
          <w:color w:val="auto"/>
          <w:kern w:val="2"/>
          <w:sz w:val="32"/>
          <w:szCs w:val="32"/>
          <w:highlight w:val="none"/>
          <w:lang w:val="en-US" w:eastAsia="zh-CN" w:bidi="ar-SA"/>
        </w:rPr>
        <w:t>临巴镇</w:t>
      </w:r>
      <w:r>
        <w:rPr>
          <w:rFonts w:hint="eastAsia" w:ascii="仿宋_GB2312" w:hAnsi="仿宋_GB2312" w:eastAsia="仿宋_GB2312" w:cs="仿宋_GB2312"/>
          <w:b w:val="0"/>
          <w:bCs w:val="0"/>
          <w:sz w:val="32"/>
          <w:szCs w:val="32"/>
          <w:lang w:val="en-US" w:eastAsia="zh-CN"/>
        </w:rPr>
        <w:t>2024年年初预算收入情况、决算报表收入情况。</w:t>
      </w:r>
    </w:p>
    <w:p w14:paraId="28C3DE7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sz w:val="32"/>
          <w:szCs w:val="32"/>
          <w:lang w:val="en-US" w:eastAsia="zh-CN"/>
        </w:rPr>
        <w:t>临巴镇2024年部门年初预算收入合计3224.62万元。年中调整预算收入575.16万元，调整后财政拨款收入3799.78万元。其中：一般公共预算财政拨款收3626.28万元，占95.43%；政府性基金预算财政拨款收入163.49万元，占4.30%；国有资本经营预算财政拨款收入10万元，占0.27%；预算收入执行率达100%。</w:t>
      </w:r>
      <w:bookmarkStart w:id="2" w:name="_GoBack"/>
      <w:bookmarkEnd w:id="2"/>
    </w:p>
    <w:p w14:paraId="56EED58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r>
        <w:rPr>
          <w:rFonts w:hint="eastAsia" w:ascii="仿宋_GB2312" w:hAnsi="仿宋_GB2312" w:eastAsia="仿宋_GB2312" w:cs="仿宋_GB2312"/>
          <w:b w:val="0"/>
          <w:bCs w:val="0"/>
          <w:color w:val="auto"/>
          <w:kern w:val="2"/>
          <w:sz w:val="32"/>
          <w:szCs w:val="32"/>
          <w:highlight w:val="none"/>
          <w:lang w:val="en-US" w:eastAsia="zh-CN" w:bidi="ar-SA"/>
        </w:rPr>
        <w:t>临巴镇</w:t>
      </w:r>
      <w:r>
        <w:rPr>
          <w:rFonts w:hint="eastAsia" w:ascii="仿宋_GB2312" w:hAnsi="仿宋_GB2312" w:eastAsia="仿宋_GB2312" w:cs="仿宋_GB2312"/>
          <w:b w:val="0"/>
          <w:bCs w:val="0"/>
          <w:sz w:val="32"/>
          <w:szCs w:val="32"/>
          <w:lang w:val="en-US" w:eastAsia="zh-CN"/>
        </w:rPr>
        <w:t>2024年年初预算支出情况、决算报表支出情况。</w:t>
      </w:r>
    </w:p>
    <w:p w14:paraId="49BEBE31">
      <w:pPr>
        <w:keepNext w:val="0"/>
        <w:keepLines w:val="0"/>
        <w:pageBreakBefore w:val="0"/>
        <w:widowControl/>
        <w:kinsoku/>
        <w:wordWrap/>
        <w:overflowPunct/>
        <w:topLinePunct w:val="0"/>
        <w:autoSpaceDE/>
        <w:autoSpaceDN/>
        <w:bidi w:val="0"/>
        <w:adjustRightInd w:val="0"/>
        <w:snapToGrid w:val="0"/>
        <w:spacing w:line="578" w:lineRule="exact"/>
        <w:ind w:firstLine="320" w:firstLineChars="1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sz w:val="32"/>
          <w:szCs w:val="32"/>
          <w:lang w:val="en-US" w:eastAsia="zh-CN"/>
        </w:rPr>
        <w:t>临巴镇2024年部门年初预算支出合计3224.62万元。中期调整预算支出575.16万元，调整后财政拨款支出3799.78万元。其中：基本支出2762.40万元，占72.70%；项目支出1037.37万元，占27.30%；预算整体支出进度为100%。</w:t>
      </w:r>
    </w:p>
    <w:p w14:paraId="0FDAEDE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（三）结余分配和结转结余情况</w:t>
      </w:r>
      <w:r>
        <w:rPr>
          <w:rFonts w:hint="eastAsia" w:ascii="仿宋_GB2312" w:hAnsi="仿宋_GB2312" w:eastAsia="仿宋_GB2312" w:cs="仿宋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b w:val="0"/>
          <w:bCs w:val="0"/>
          <w:color w:val="auto"/>
          <w:kern w:val="2"/>
          <w:sz w:val="32"/>
          <w:szCs w:val="32"/>
          <w:highlight w:val="none"/>
          <w:lang w:val="en-US" w:eastAsia="zh-CN" w:bidi="ar-SA"/>
        </w:rPr>
        <w:t>临巴镇</w:t>
      </w:r>
      <w:r>
        <w:rPr>
          <w:rFonts w:hint="eastAsia" w:ascii="仿宋_GB2312" w:hAnsi="仿宋_GB2312" w:eastAsia="仿宋_GB2312" w:cs="仿宋_GB2312"/>
          <w:b w:val="0"/>
          <w:bCs w:val="0"/>
          <w:sz w:val="32"/>
          <w:szCs w:val="32"/>
          <w:lang w:val="en-US" w:eastAsia="zh-CN"/>
        </w:rPr>
        <w:t>2024年决算报表结转结余情况。</w:t>
      </w:r>
    </w:p>
    <w:p w14:paraId="6B14511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val="0"/>
          <w:bCs w:val="0"/>
          <w:sz w:val="32"/>
          <w:szCs w:val="32"/>
          <w:lang w:val="en-US" w:eastAsia="zh-CN"/>
        </w:rPr>
        <w:t>临巴镇2024年决算报表收入金额为3799.78万元，支出金额为3799.78万元，年末结转结余0万元。</w:t>
      </w:r>
    </w:p>
    <w:p w14:paraId="69F9D1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b/>
          <w:bCs/>
          <w:color w:val="000000"/>
          <w:kern w:val="0"/>
          <w:sz w:val="32"/>
          <w:szCs w:val="32"/>
          <w:highlight w:val="none"/>
          <w:shd w:val="clear" w:color="auto" w:fill="FFFFFF"/>
          <w:lang w:val="zh-CN" w:eastAsia="zh-CN"/>
        </w:rPr>
      </w:pPr>
      <w:r>
        <w:rPr>
          <w:rFonts w:hint="default" w:ascii="Times New Roman" w:hAnsi="Times New Roman" w:eastAsia="黑体" w:cs="Times New Roman"/>
          <w:b/>
          <w:bCs/>
          <w:color w:val="000000"/>
          <w:kern w:val="0"/>
          <w:sz w:val="32"/>
          <w:szCs w:val="32"/>
          <w:highlight w:val="none"/>
          <w:shd w:val="clear" w:color="auto" w:fill="FFFFFF"/>
          <w:lang w:val="zh-CN" w:eastAsia="zh-CN"/>
        </w:rPr>
        <w:t>三、部门预算绩效分析</w:t>
      </w:r>
    </w:p>
    <w:p w14:paraId="185B12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321" w:firstLineChars="100"/>
        <w:contextualSpacing/>
        <w:jc w:val="left"/>
        <w:textAlignment w:val="auto"/>
        <w:outlineLvl w:val="9"/>
        <w:rPr>
          <w:rFonts w:hint="eastAsia" w:ascii="方正楷体_GBK" w:hAnsi="方正楷体_GBK" w:eastAsia="方正楷体_GBK" w:cs="方正楷体_GBK"/>
          <w:b/>
          <w:bCs/>
          <w:color w:val="auto"/>
          <w:kern w:val="2"/>
          <w:sz w:val="32"/>
          <w:szCs w:val="32"/>
          <w:highlight w:val="none"/>
          <w:lang w:val="zh-CN"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p>
    <w:p w14:paraId="6BB0E4C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auto"/>
          <w:kern w:val="2"/>
          <w:sz w:val="32"/>
          <w:szCs w:val="32"/>
          <w:highlight w:val="none"/>
          <w:lang w:val="zh-CN" w:eastAsia="zh-CN" w:bidi="ar-SA"/>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color w:val="auto"/>
          <w:kern w:val="2"/>
          <w:sz w:val="32"/>
          <w:szCs w:val="32"/>
          <w:highlight w:val="none"/>
          <w:lang w:val="zh-CN" w:eastAsia="zh-CN" w:bidi="ar-SA"/>
        </w:rPr>
        <w:t>履职效能。</w:t>
      </w:r>
    </w:p>
    <w:p w14:paraId="7A79176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(1)预算编审履职效果（5分）</w:t>
      </w:r>
    </w:p>
    <w:p w14:paraId="33E9C8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一是单位预算编制完整，齐全，收入来源编报齐全，编报数据准确。二是项目绩效目标编制完整合理；明确量化，覆盖率达到年度要求。</w:t>
      </w:r>
    </w:p>
    <w:p w14:paraId="1B1499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(2)预算执行履职效果（5分）</w:t>
      </w:r>
    </w:p>
    <w:p w14:paraId="277E998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一是2024年年初预算资金3224.62万元，预算完成率100%，二是2024年实际执行金额</w:t>
      </w:r>
      <w:r>
        <w:rPr>
          <w:rFonts w:hint="eastAsia" w:ascii="仿宋_GB2312" w:hAnsi="仿宋_GB2312" w:eastAsia="仿宋_GB2312" w:cs="仿宋_GB2312"/>
          <w:b w:val="0"/>
          <w:bCs w:val="0"/>
          <w:sz w:val="32"/>
          <w:szCs w:val="32"/>
          <w:lang w:val="en-US" w:eastAsia="zh-CN"/>
        </w:rPr>
        <w:t>3799.78</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万元，调整后预算完成率为100%，因年初预算编制不够精准，通过年中调整确保了预算执行率。三是“ 三公”经费预算金额为19.5万元，实际支出18.09万元，“三公 ”经费支出控制在预算内。</w:t>
      </w:r>
    </w:p>
    <w:p w14:paraId="4ED9CF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(3)预决算信息公开履职效果（5分）</w:t>
      </w:r>
    </w:p>
    <w:p w14:paraId="59DF06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一是按内容和时限公开预决算信息；二是提供的基础数据信息和会计信息资料真实、完整、准确；</w:t>
      </w:r>
    </w:p>
    <w:p w14:paraId="574642F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auto"/>
          <w:kern w:val="2"/>
          <w:sz w:val="32"/>
          <w:szCs w:val="32"/>
          <w:highlight w:val="none"/>
          <w:lang w:val="zh-CN" w:eastAsia="zh-CN" w:bidi="ar-SA"/>
        </w:rPr>
      </w:pPr>
      <w:r>
        <w:rPr>
          <w:rFonts w:hint="eastAsia" w:ascii="仿宋_GB2312" w:hAnsi="仿宋_GB2312"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bCs/>
          <w:color w:val="auto"/>
          <w:kern w:val="2"/>
          <w:sz w:val="32"/>
          <w:szCs w:val="32"/>
          <w:highlight w:val="none"/>
          <w:lang w:val="zh-CN" w:eastAsia="zh-CN" w:bidi="ar-SA"/>
        </w:rPr>
        <w:t>预算管理。</w:t>
      </w:r>
    </w:p>
    <w:p w14:paraId="414ED2C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(1)预算编制质量（8分）</w:t>
      </w:r>
    </w:p>
    <w:p w14:paraId="3539A6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调整预算编制口径，确保基本支出足额预算编制。严格落实过紧日子要求，推进预算安排与绩效目标深度融合，综合衡量政策和项目预算资金使用结果，大力削减低效无效资金，编制本部门预算。</w:t>
      </w:r>
    </w:p>
    <w:p w14:paraId="0F65D2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(2)单位收入统筹（4分）</w:t>
      </w:r>
    </w:p>
    <w:p w14:paraId="383886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2024年本单位无自有收入情况</w:t>
      </w:r>
    </w:p>
    <w:p w14:paraId="1EB1C6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(3)支出执行进度（6分）</w:t>
      </w:r>
    </w:p>
    <w:p w14:paraId="5FE1B39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我镇1-6月预算执行2086.05万元，以调整后预算为基数执行率54.90%;1-9月预算执行2849.83万元，以调整后预算为基数执行率75.00%;1-12月预算执行3799.78万元，以调整后预算为基数执行率100%。</w:t>
      </w:r>
    </w:p>
    <w:p w14:paraId="07B198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(4)预算年终结余（2分）</w:t>
      </w:r>
    </w:p>
    <w:p w14:paraId="74C775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2024年临巴镇决算报表收入金额为3799.78万元，支出金额为3799.78万元，部门整体年末结转结余0万元。</w:t>
      </w:r>
    </w:p>
    <w:p w14:paraId="2A1DC7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(5)严控一般性支出（5分）</w:t>
      </w:r>
    </w:p>
    <w:p w14:paraId="03E0ED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2024年我单位“三公经费”预算安排19.5万元，实际执行18.09万元，比上年下降3.26%，完成预算数的92%。具体情况如下：</w:t>
      </w:r>
    </w:p>
    <w:tbl>
      <w:tblPr>
        <w:tblStyle w:val="16"/>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3"/>
        <w:gridCol w:w="1380"/>
        <w:gridCol w:w="1430"/>
        <w:gridCol w:w="1430"/>
        <w:gridCol w:w="997"/>
      </w:tblGrid>
      <w:tr w14:paraId="152E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3223" w:type="dxa"/>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737B218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auto"/>
                <w:sz w:val="21"/>
                <w:szCs w:val="21"/>
                <w:u w:val="none"/>
                <w:shd w:val="clear" w:color="auto" w:fill="auto"/>
              </w:rPr>
            </w:pPr>
            <w:r>
              <w:rPr>
                <w:rFonts w:hint="eastAsia" w:ascii="仿宋_GB2312" w:hAnsi="仿宋_GB2312" w:eastAsia="仿宋_GB2312" w:cs="仿宋_GB2312"/>
                <w:b/>
                <w:bCs/>
                <w:i w:val="0"/>
                <w:iCs w:val="0"/>
                <w:color w:val="auto"/>
                <w:kern w:val="0"/>
                <w:sz w:val="21"/>
                <w:szCs w:val="21"/>
                <w:u w:val="none"/>
                <w:shd w:val="clear" w:color="auto" w:fill="auto"/>
                <w:lang w:val="en-US" w:eastAsia="zh-CN" w:bidi="ar"/>
              </w:rPr>
              <w:t>指标</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39960E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auto"/>
                <w:sz w:val="21"/>
                <w:szCs w:val="21"/>
                <w:u w:val="none"/>
                <w:shd w:val="clear" w:color="auto" w:fill="auto"/>
              </w:rPr>
            </w:pPr>
            <w:r>
              <w:rPr>
                <w:rFonts w:hint="eastAsia" w:ascii="仿宋_GB2312" w:hAnsi="仿宋_GB2312" w:eastAsia="仿宋_GB2312" w:cs="仿宋_GB2312"/>
                <w:b/>
                <w:bCs/>
                <w:i w:val="0"/>
                <w:iCs w:val="0"/>
                <w:color w:val="auto"/>
                <w:kern w:val="0"/>
                <w:sz w:val="21"/>
                <w:szCs w:val="21"/>
                <w:u w:val="none"/>
                <w:shd w:val="clear" w:color="auto" w:fill="auto"/>
                <w:lang w:val="en-US" w:eastAsia="zh-CN" w:bidi="ar"/>
              </w:rPr>
              <w:t>2024年度</w:t>
            </w:r>
          </w:p>
        </w:tc>
        <w:tc>
          <w:tcPr>
            <w:tcW w:w="143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6086A45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auto"/>
                <w:sz w:val="21"/>
                <w:szCs w:val="21"/>
                <w:u w:val="none"/>
                <w:shd w:val="clear" w:color="auto" w:fill="auto"/>
              </w:rPr>
            </w:pPr>
            <w:r>
              <w:rPr>
                <w:rFonts w:hint="eastAsia" w:ascii="仿宋_GB2312" w:hAnsi="仿宋_GB2312" w:eastAsia="仿宋_GB2312" w:cs="仿宋_GB2312"/>
                <w:b/>
                <w:bCs/>
                <w:i w:val="0"/>
                <w:iCs w:val="0"/>
                <w:color w:val="auto"/>
                <w:kern w:val="0"/>
                <w:sz w:val="21"/>
                <w:szCs w:val="21"/>
                <w:u w:val="none"/>
                <w:shd w:val="clear" w:color="auto" w:fill="auto"/>
                <w:lang w:val="en-US" w:eastAsia="zh-CN" w:bidi="ar"/>
              </w:rPr>
              <w:t>2023年度</w:t>
            </w:r>
          </w:p>
        </w:tc>
        <w:tc>
          <w:tcPr>
            <w:tcW w:w="1430"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6E57577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auto"/>
                <w:sz w:val="21"/>
                <w:szCs w:val="21"/>
                <w:u w:val="none"/>
                <w:shd w:val="clear" w:color="auto" w:fill="auto"/>
              </w:rPr>
            </w:pPr>
            <w:r>
              <w:rPr>
                <w:rFonts w:hint="eastAsia" w:ascii="仿宋_GB2312" w:hAnsi="仿宋_GB2312" w:eastAsia="仿宋_GB2312" w:cs="仿宋_GB2312"/>
                <w:b/>
                <w:bCs/>
                <w:i w:val="0"/>
                <w:iCs w:val="0"/>
                <w:color w:val="auto"/>
                <w:kern w:val="0"/>
                <w:sz w:val="21"/>
                <w:szCs w:val="21"/>
                <w:u w:val="none"/>
                <w:shd w:val="clear" w:color="auto" w:fill="auto"/>
                <w:lang w:val="en-US" w:eastAsia="zh-CN" w:bidi="ar"/>
              </w:rPr>
              <w:t>比上年减少</w:t>
            </w:r>
          </w:p>
        </w:tc>
        <w:tc>
          <w:tcPr>
            <w:tcW w:w="997"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E2469B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b/>
                <w:bCs/>
                <w:i w:val="0"/>
                <w:iCs w:val="0"/>
                <w:color w:val="auto"/>
                <w:sz w:val="21"/>
                <w:szCs w:val="21"/>
                <w:u w:val="none"/>
                <w:shd w:val="clear" w:color="auto" w:fill="auto"/>
              </w:rPr>
            </w:pPr>
            <w:r>
              <w:rPr>
                <w:rFonts w:hint="eastAsia" w:ascii="仿宋_GB2312" w:hAnsi="仿宋_GB2312" w:eastAsia="仿宋_GB2312" w:cs="仿宋_GB2312"/>
                <w:b/>
                <w:bCs/>
                <w:i w:val="0"/>
                <w:iCs w:val="0"/>
                <w:color w:val="auto"/>
                <w:kern w:val="0"/>
                <w:sz w:val="21"/>
                <w:szCs w:val="21"/>
                <w:u w:val="none"/>
                <w:shd w:val="clear" w:color="auto" w:fill="auto"/>
                <w:lang w:val="en-US" w:eastAsia="zh-CN" w:bidi="ar"/>
              </w:rPr>
              <w:t>下降%</w:t>
            </w:r>
          </w:p>
        </w:tc>
      </w:tr>
      <w:tr w14:paraId="25D0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223"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D8552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auto"/>
                <w:sz w:val="21"/>
                <w:szCs w:val="21"/>
                <w:u w:val="none"/>
                <w:shd w:val="clear" w:color="auto" w:fill="auto"/>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“三公”经费支出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B858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lang w:val="en-US" w:eastAsia="zh-CN"/>
              </w:rPr>
            </w:pPr>
            <w:r>
              <w:rPr>
                <w:rFonts w:hint="eastAsia" w:ascii="仿宋_GB2312" w:hAnsi="仿宋_GB2312" w:eastAsia="仿宋_GB2312" w:cs="仿宋_GB2312"/>
                <w:i w:val="0"/>
                <w:iCs w:val="0"/>
                <w:color w:val="auto"/>
                <w:sz w:val="21"/>
                <w:szCs w:val="21"/>
                <w:u w:val="none"/>
                <w:shd w:val="clear" w:color="auto" w:fill="auto"/>
                <w:lang w:val="en-US" w:eastAsia="zh-CN"/>
              </w:rPr>
              <w:t>18.09万元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632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shd w:val="clear" w:color="auto" w:fill="auto"/>
                <w:lang w:val="en-US" w:eastAsia="zh-CN" w:bidi="ar-SA"/>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18.70万元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78DD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lang w:val="en-US"/>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0.61万元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06D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lang w:val="en-US"/>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3.26%</w:t>
            </w:r>
          </w:p>
        </w:tc>
      </w:tr>
      <w:tr w14:paraId="58A9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223"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D553FC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auto"/>
                <w:sz w:val="21"/>
                <w:szCs w:val="21"/>
                <w:u w:val="none"/>
                <w:shd w:val="clear" w:color="auto" w:fill="auto"/>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其中：因公出国（境）费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083E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auto"/>
                <w:sz w:val="21"/>
                <w:szCs w:val="21"/>
                <w:u w:val="none"/>
                <w:shd w:val="clear" w:color="auto" w:fill="auto"/>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06F52">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auto"/>
                <w:kern w:val="2"/>
                <w:sz w:val="21"/>
                <w:szCs w:val="21"/>
                <w:u w:val="none"/>
                <w:shd w:val="clear" w:color="auto" w:fill="auto"/>
                <w:lang w:val="en-US" w:eastAsia="zh-CN" w:bidi="ar-SA"/>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314F9">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auto"/>
                <w:sz w:val="21"/>
                <w:szCs w:val="21"/>
                <w:u w:val="none"/>
                <w:shd w:val="clear" w:color="auto" w:fill="auto"/>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B094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auto"/>
                <w:sz w:val="21"/>
                <w:szCs w:val="21"/>
                <w:u w:val="none"/>
                <w:shd w:val="clear" w:color="auto" w:fill="auto"/>
              </w:rPr>
            </w:pPr>
          </w:p>
        </w:tc>
      </w:tr>
      <w:tr w14:paraId="5EAA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3223"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1F3F0A6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auto"/>
                <w:sz w:val="21"/>
                <w:szCs w:val="21"/>
                <w:u w:val="none"/>
                <w:shd w:val="clear" w:color="auto" w:fill="auto"/>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公务用车购置及运行维护费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7AE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lang w:val="en-US" w:eastAsia="zh-CN"/>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6.00万元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F0D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shd w:val="clear" w:color="auto" w:fill="auto"/>
                <w:lang w:val="en-US" w:eastAsia="zh-CN" w:bidi="ar-SA"/>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6.00万元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24D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809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rPr>
            </w:pPr>
          </w:p>
        </w:tc>
      </w:tr>
      <w:tr w14:paraId="69A8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223"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590534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仿宋_GB2312" w:hAnsi="仿宋_GB2312" w:eastAsia="仿宋_GB2312" w:cs="仿宋_GB2312"/>
                <w:i w:val="0"/>
                <w:iCs w:val="0"/>
                <w:color w:val="auto"/>
                <w:sz w:val="21"/>
                <w:szCs w:val="21"/>
                <w:u w:val="none"/>
                <w:shd w:val="clear" w:color="auto" w:fill="auto"/>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其中：公务用车购置费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1FEEE">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auto"/>
                <w:sz w:val="21"/>
                <w:szCs w:val="21"/>
                <w:u w:val="none"/>
                <w:shd w:val="clear" w:color="auto" w:fill="auto"/>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B65F6">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auto"/>
                <w:kern w:val="2"/>
                <w:sz w:val="21"/>
                <w:szCs w:val="21"/>
                <w:u w:val="none"/>
                <w:shd w:val="clear" w:color="auto" w:fill="auto"/>
                <w:lang w:val="en-US" w:eastAsia="zh-CN" w:bidi="ar-SA"/>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FC95F">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auto"/>
                <w:sz w:val="21"/>
                <w:szCs w:val="21"/>
                <w:u w:val="none"/>
                <w:shd w:val="clear" w:color="auto" w:fill="auto"/>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9C77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i w:val="0"/>
                <w:iCs w:val="0"/>
                <w:color w:val="auto"/>
                <w:sz w:val="21"/>
                <w:szCs w:val="21"/>
                <w:u w:val="none"/>
                <w:shd w:val="clear" w:color="auto" w:fill="auto"/>
              </w:rPr>
            </w:pPr>
          </w:p>
        </w:tc>
      </w:tr>
      <w:tr w14:paraId="2FC1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223"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E438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sz w:val="21"/>
                <w:szCs w:val="21"/>
                <w:u w:val="none"/>
                <w:shd w:val="clear" w:color="auto" w:fill="auto"/>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公务用车运行维护费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E1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lang w:val="en-US"/>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6.00万元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7C5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shd w:val="clear" w:color="auto" w:fill="auto"/>
                <w:lang w:val="en-US" w:eastAsia="zh-CN" w:bidi="ar-SA"/>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6.00万元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8EF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0A3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rPr>
            </w:pPr>
          </w:p>
        </w:tc>
      </w:tr>
      <w:tr w14:paraId="3840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223"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0CFCE7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auto"/>
                <w:sz w:val="21"/>
                <w:szCs w:val="21"/>
                <w:u w:val="none"/>
                <w:shd w:val="clear" w:color="auto" w:fill="auto"/>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公务接待费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7A40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12.09万元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126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kern w:val="2"/>
                <w:sz w:val="21"/>
                <w:szCs w:val="21"/>
                <w:u w:val="none"/>
                <w:shd w:val="clear" w:color="auto" w:fill="auto"/>
                <w:lang w:val="en-US" w:eastAsia="zh-CN" w:bidi="ar-SA"/>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12.70万元</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7ECA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0.61万元</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DE3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仿宋_GB2312" w:eastAsia="仿宋_GB2312" w:cs="仿宋_GB2312"/>
                <w:i w:val="0"/>
                <w:iCs w:val="0"/>
                <w:color w:val="auto"/>
                <w:sz w:val="21"/>
                <w:szCs w:val="21"/>
                <w:u w:val="none"/>
                <w:shd w:val="clear" w:color="auto" w:fill="auto"/>
                <w:lang w:val="en-US"/>
              </w:rPr>
            </w:pPr>
            <w:r>
              <w:rPr>
                <w:rFonts w:hint="eastAsia" w:ascii="仿宋_GB2312" w:hAnsi="仿宋_GB2312" w:eastAsia="仿宋_GB2312" w:cs="仿宋_GB2312"/>
                <w:i w:val="0"/>
                <w:iCs w:val="0"/>
                <w:color w:val="auto"/>
                <w:kern w:val="0"/>
                <w:sz w:val="21"/>
                <w:szCs w:val="21"/>
                <w:u w:val="none"/>
                <w:shd w:val="clear" w:color="auto" w:fill="auto"/>
                <w:lang w:val="en-US" w:eastAsia="zh-CN" w:bidi="ar"/>
              </w:rPr>
              <w:t>3.26%</w:t>
            </w:r>
          </w:p>
        </w:tc>
      </w:tr>
    </w:tbl>
    <w:p w14:paraId="415D83E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p>
    <w:p w14:paraId="1C2CC25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bCs/>
          <w:color w:val="auto"/>
          <w:kern w:val="2"/>
          <w:sz w:val="32"/>
          <w:szCs w:val="32"/>
          <w:highlight w:val="none"/>
          <w:lang w:val="en-US" w:eastAsia="zh-CN" w:bidi="ar-SA"/>
        </w:rPr>
        <w:t>3.</w:t>
      </w:r>
      <w:r>
        <w:rPr>
          <w:rFonts w:hint="eastAsia" w:ascii="仿宋_GB2312" w:hAnsi="仿宋_GB2312" w:eastAsia="仿宋_GB2312" w:cs="仿宋_GB2312"/>
          <w:b/>
          <w:bCs/>
          <w:color w:val="auto"/>
          <w:kern w:val="2"/>
          <w:sz w:val="32"/>
          <w:szCs w:val="32"/>
          <w:highlight w:val="none"/>
          <w:lang w:val="zh-CN" w:eastAsia="zh-CN" w:bidi="ar-SA"/>
        </w:rPr>
        <w:t>财务管理。</w:t>
      </w:r>
    </w:p>
    <w:p w14:paraId="234EB5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(1)管理制度健全性（4分）</w:t>
      </w:r>
    </w:p>
    <w:p w14:paraId="692E7B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我镇已制定预算资金管理办法、内控财务管理制度、会计核算制度、政府采购制度、国有资产管理办法、绩效评估控制制度等相关制度，规章制度合法、合规、完整，均得到有效执行。</w:t>
      </w:r>
    </w:p>
    <w:p w14:paraId="5C1BCB7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(2)财务岗位设置（2分）</w:t>
      </w:r>
    </w:p>
    <w:p w14:paraId="1C85EC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按照相关财务管理制度要求，明确责任分工，根据工作需要，按照不相容岗位不能一人兼任的原则，设置了财务、业务、核查等，在此基础上再进行岗位细分，并建立岗位责任制度，形成责任明确、相互制约的制衡机制。</w:t>
      </w:r>
    </w:p>
    <w:p w14:paraId="36F68C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(3)资金使用合规性（4分）</w:t>
      </w:r>
    </w:p>
    <w:p w14:paraId="4FAAFA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严格按照《中华人民共和国会计法》《政府会计准则》和政府会计制度等相关法律法规准确核算各项经费和项目收支，按照县级财政的要求完善年度部门预算编制，资金使用符合国家财经法规和财务管理制度规定以及有关专项资金管理办法的规定，拨付有完整的审批程序和手续，项目的重大开支均经过评估论证，符合部门预算批复的用途，不存在截留、挤占、挪用、虚列支出等情况。</w:t>
      </w:r>
    </w:p>
    <w:p w14:paraId="0FF3C2D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auto"/>
          <w:kern w:val="2"/>
          <w:sz w:val="32"/>
          <w:szCs w:val="32"/>
          <w:highlight w:val="none"/>
          <w:lang w:val="zh-CN" w:eastAsia="zh-CN" w:bidi="ar-SA"/>
        </w:rPr>
      </w:pPr>
      <w:r>
        <w:rPr>
          <w:rFonts w:hint="eastAsia" w:ascii="仿宋_GB2312" w:hAnsi="仿宋_GB2312" w:eastAsia="仿宋_GB2312" w:cs="仿宋_GB2312"/>
          <w:b/>
          <w:bCs/>
          <w:color w:val="auto"/>
          <w:kern w:val="2"/>
          <w:sz w:val="32"/>
          <w:szCs w:val="32"/>
          <w:highlight w:val="none"/>
          <w:lang w:val="en-US" w:eastAsia="zh-CN" w:bidi="ar-SA"/>
        </w:rPr>
        <w:t>4.</w:t>
      </w:r>
      <w:r>
        <w:rPr>
          <w:rFonts w:hint="eastAsia" w:ascii="仿宋_GB2312" w:hAnsi="仿宋_GB2312" w:eastAsia="仿宋_GB2312" w:cs="仿宋_GB2312"/>
          <w:b/>
          <w:bCs/>
          <w:color w:val="auto"/>
          <w:kern w:val="2"/>
          <w:sz w:val="32"/>
          <w:szCs w:val="32"/>
          <w:highlight w:val="none"/>
          <w:lang w:val="zh-CN" w:eastAsia="zh-CN" w:bidi="ar-SA"/>
        </w:rPr>
        <w:t>资产管理。</w:t>
      </w:r>
    </w:p>
    <w:p w14:paraId="3ED10D6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资产保存完整、配置合理、处置规范，资产账务管理合规，帐实相符,资产有偿使用及处置收入均及时足额上缴。</w:t>
      </w:r>
    </w:p>
    <w:p w14:paraId="18CC86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(1)人均资产变化率（3分）</w:t>
      </w:r>
    </w:p>
    <w:p w14:paraId="65D201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2024年年末固定资产金额446.55万元，比2023年444.34万元增加2.21万元，政府机关在职干部2024年111人，2024年人均占有固定资产4.02万元，比2023年人均占有固定资产增加0.14万元，增长3.6%。</w:t>
      </w:r>
    </w:p>
    <w:p w14:paraId="26D5FE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(2)固定资产利用率（3分）</w:t>
      </w:r>
    </w:p>
    <w:p w14:paraId="1F58C0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截至2024年12月底，土地、房屋及构筑物账面价值309.27万元，资产利用率100%。通用设备账面价值110.21万元，资产利用率100%。家具、用具、装具及动植物账面价值27.07万元，资产利用率100%。</w:t>
      </w:r>
    </w:p>
    <w:p w14:paraId="4DF2AC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(3)资产盘活率（3分）</w:t>
      </w:r>
    </w:p>
    <w:p w14:paraId="7AF41A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截至2024年12月底，本单位无闲置资产。盘活率100%。</w:t>
      </w:r>
    </w:p>
    <w:p w14:paraId="15FDBA3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bCs/>
          <w:color w:val="auto"/>
          <w:kern w:val="2"/>
          <w:sz w:val="32"/>
          <w:szCs w:val="32"/>
          <w:highlight w:val="none"/>
          <w:lang w:val="en-US" w:eastAsia="zh-CN" w:bidi="ar-SA"/>
        </w:rPr>
        <w:t>5.</w:t>
      </w:r>
      <w:r>
        <w:rPr>
          <w:rFonts w:hint="eastAsia" w:ascii="仿宋_GB2312" w:hAnsi="仿宋_GB2312" w:eastAsia="仿宋_GB2312" w:cs="仿宋_GB2312"/>
          <w:b/>
          <w:bCs/>
          <w:color w:val="auto"/>
          <w:kern w:val="2"/>
          <w:sz w:val="32"/>
          <w:szCs w:val="32"/>
          <w:highlight w:val="none"/>
          <w:lang w:val="zh-CN" w:eastAsia="zh-CN" w:bidi="ar-SA"/>
        </w:rPr>
        <w:t>采购管理。</w:t>
      </w:r>
    </w:p>
    <w:p w14:paraId="67D767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(1)支持中小企业发展（3分）</w:t>
      </w:r>
    </w:p>
    <w:p w14:paraId="355792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我镇2024年严格执行政府采购支持中小企业发展管理办法。</w:t>
      </w:r>
    </w:p>
    <w:p w14:paraId="2DEC57E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(2)采购执行率（3分）</w:t>
      </w:r>
    </w:p>
    <w:p w14:paraId="1F75015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我镇2024年政府无采购预算</w:t>
      </w:r>
    </w:p>
    <w:p w14:paraId="1DF1BBF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p>
    <w:p w14:paraId="66FED7A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常年项目绩效分析。</w:t>
      </w:r>
      <w:r>
        <w:rPr>
          <w:rFonts w:hint="eastAsia" w:ascii="仿宋_GB2312" w:hAnsi="仿宋_GB2312" w:eastAsia="仿宋_GB2312" w:cs="仿宋_GB2312"/>
          <w:b w:val="0"/>
          <w:bCs w:val="0"/>
          <w:color w:val="auto"/>
          <w:kern w:val="2"/>
          <w:sz w:val="32"/>
          <w:szCs w:val="32"/>
          <w:highlight w:val="none"/>
          <w:lang w:val="zh-CN" w:eastAsia="zh-CN" w:bidi="ar-SA"/>
        </w:rPr>
        <w:t>该类项目总数</w:t>
      </w:r>
      <w:r>
        <w:rPr>
          <w:rFonts w:hint="eastAsia" w:ascii="仿宋_GB2312" w:hAnsi="仿宋_GB2312" w:eastAsia="仿宋_GB2312" w:cs="仿宋_GB2312"/>
          <w:b w:val="0"/>
          <w:bCs w:val="0"/>
          <w:color w:val="auto"/>
          <w:kern w:val="2"/>
          <w:sz w:val="32"/>
          <w:szCs w:val="32"/>
          <w:highlight w:val="none"/>
          <w:lang w:val="en-US" w:eastAsia="zh-CN" w:bidi="ar-SA"/>
        </w:rPr>
        <w:t>17</w:t>
      </w:r>
      <w:r>
        <w:rPr>
          <w:rFonts w:hint="eastAsia" w:ascii="仿宋_GB2312" w:hAnsi="仿宋_GB2312" w:eastAsia="仿宋_GB2312" w:cs="仿宋_GB2312"/>
          <w:b w:val="0"/>
          <w:bCs w:val="0"/>
          <w:color w:val="auto"/>
          <w:kern w:val="2"/>
          <w:sz w:val="32"/>
          <w:szCs w:val="32"/>
          <w:highlight w:val="none"/>
          <w:lang w:val="zh-CN" w:eastAsia="zh-CN" w:bidi="ar-SA"/>
        </w:rPr>
        <w:t>个，涉及预算总金额</w:t>
      </w:r>
      <w:r>
        <w:rPr>
          <w:rFonts w:hint="eastAsia" w:ascii="仿宋_GB2312" w:hAnsi="仿宋_GB2312" w:eastAsia="仿宋_GB2312" w:cs="仿宋_GB2312"/>
          <w:b w:val="0"/>
          <w:bCs w:val="0"/>
          <w:color w:val="auto"/>
          <w:kern w:val="2"/>
          <w:sz w:val="32"/>
          <w:szCs w:val="32"/>
          <w:highlight w:val="none"/>
          <w:lang w:val="en-US" w:eastAsia="zh-CN" w:bidi="ar-SA"/>
        </w:rPr>
        <w:t>602.1</w:t>
      </w:r>
      <w:r>
        <w:rPr>
          <w:rFonts w:hint="eastAsia" w:ascii="仿宋_GB2312" w:hAnsi="仿宋_GB2312" w:eastAsia="仿宋_GB2312" w:cs="仿宋_GB2312"/>
          <w:b w:val="0"/>
          <w:bCs w:val="0"/>
          <w:color w:val="auto"/>
          <w:kern w:val="2"/>
          <w:sz w:val="32"/>
          <w:szCs w:val="32"/>
          <w:highlight w:val="none"/>
          <w:lang w:val="zh-CN" w:eastAsia="zh-CN" w:bidi="ar-SA"/>
        </w:rPr>
        <w:t>万元，1—1</w:t>
      </w:r>
      <w:r>
        <w:rPr>
          <w:rFonts w:hint="eastAsia"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zh-CN" w:eastAsia="zh-CN" w:bidi="ar-SA"/>
        </w:rPr>
        <w:t>月预算执行总体进度为</w:t>
      </w:r>
      <w:r>
        <w:rPr>
          <w:rFonts w:hint="eastAsia" w:ascii="仿宋_GB2312" w:hAnsi="仿宋_GB2312" w:eastAsia="仿宋_GB2312" w:cs="仿宋_GB2312"/>
          <w:b w:val="0"/>
          <w:bCs w:val="0"/>
          <w:color w:val="auto"/>
          <w:kern w:val="2"/>
          <w:sz w:val="32"/>
          <w:szCs w:val="32"/>
          <w:highlight w:val="none"/>
          <w:lang w:val="en-US" w:eastAsia="zh-CN" w:bidi="ar-SA"/>
        </w:rPr>
        <w:t>100</w:t>
      </w:r>
      <w:r>
        <w:rPr>
          <w:rFonts w:hint="eastAsia" w:ascii="仿宋_GB2312" w:hAnsi="仿宋_GB2312" w:eastAsia="仿宋_GB2312" w:cs="仿宋_GB2312"/>
          <w:b w:val="0"/>
          <w:bCs w:val="0"/>
          <w:color w:val="auto"/>
          <w:kern w:val="2"/>
          <w:sz w:val="32"/>
          <w:szCs w:val="32"/>
          <w:highlight w:val="none"/>
          <w:lang w:val="zh-CN" w:eastAsia="zh-CN" w:bidi="ar-SA"/>
        </w:rPr>
        <w:t>%，其中：预算结余率大于</w:t>
      </w:r>
      <w:r>
        <w:rPr>
          <w:rFonts w:hint="eastAsia" w:ascii="仿宋_GB2312" w:hAnsi="仿宋_GB2312" w:eastAsia="仿宋_GB2312" w:cs="仿宋_GB2312"/>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zh-CN" w:eastAsia="zh-CN" w:bidi="ar-SA"/>
        </w:rPr>
        <w:t>的项目共计</w:t>
      </w:r>
      <w:r>
        <w:rPr>
          <w:rFonts w:hint="eastAsia" w:ascii="仿宋_GB2312" w:hAnsi="仿宋_GB2312" w:eastAsia="仿宋_GB2312" w:cs="仿宋_GB2312"/>
          <w:b w:val="0"/>
          <w:bCs w:val="0"/>
          <w:color w:val="auto"/>
          <w:kern w:val="2"/>
          <w:sz w:val="32"/>
          <w:szCs w:val="32"/>
          <w:highlight w:val="none"/>
          <w:lang w:val="en-US" w:eastAsia="zh-CN" w:bidi="ar-SA"/>
        </w:rPr>
        <w:t>0</w:t>
      </w:r>
      <w:r>
        <w:rPr>
          <w:rFonts w:hint="eastAsia" w:ascii="仿宋_GB2312" w:hAnsi="仿宋_GB2312" w:eastAsia="仿宋_GB2312" w:cs="仿宋_GB2312"/>
          <w:b w:val="0"/>
          <w:bCs w:val="0"/>
          <w:color w:val="auto"/>
          <w:kern w:val="2"/>
          <w:sz w:val="32"/>
          <w:szCs w:val="32"/>
          <w:highlight w:val="none"/>
          <w:lang w:val="zh-CN" w:eastAsia="zh-CN" w:bidi="ar-SA"/>
        </w:rPr>
        <w:t>个。</w:t>
      </w:r>
    </w:p>
    <w:p w14:paraId="15BF5D3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阶段（一次性）项目绩效分析。</w:t>
      </w:r>
      <w:r>
        <w:rPr>
          <w:rFonts w:hint="eastAsia" w:ascii="仿宋_GB2312" w:hAnsi="仿宋_GB2312" w:eastAsia="仿宋_GB2312" w:cs="仿宋_GB2312"/>
          <w:b w:val="0"/>
          <w:bCs w:val="0"/>
          <w:color w:val="auto"/>
          <w:kern w:val="2"/>
          <w:sz w:val="32"/>
          <w:szCs w:val="32"/>
          <w:highlight w:val="none"/>
          <w:lang w:val="zh-CN" w:eastAsia="zh-CN" w:bidi="ar-SA"/>
        </w:rPr>
        <w:t>该类项目总数</w:t>
      </w:r>
      <w:r>
        <w:rPr>
          <w:rFonts w:hint="eastAsia" w:ascii="仿宋_GB2312" w:hAnsi="仿宋_GB2312" w:eastAsia="仿宋_GB2312" w:cs="仿宋_GB2312"/>
          <w:b w:val="0"/>
          <w:bCs w:val="0"/>
          <w:color w:val="auto"/>
          <w:kern w:val="2"/>
          <w:sz w:val="32"/>
          <w:szCs w:val="32"/>
          <w:highlight w:val="none"/>
          <w:lang w:val="en-US" w:eastAsia="zh-CN" w:bidi="ar-SA"/>
        </w:rPr>
        <w:t>19</w:t>
      </w:r>
      <w:r>
        <w:rPr>
          <w:rFonts w:hint="eastAsia" w:ascii="仿宋_GB2312" w:hAnsi="仿宋_GB2312" w:eastAsia="仿宋_GB2312" w:cs="仿宋_GB2312"/>
          <w:b w:val="0"/>
          <w:bCs w:val="0"/>
          <w:color w:val="auto"/>
          <w:kern w:val="2"/>
          <w:sz w:val="32"/>
          <w:szCs w:val="32"/>
          <w:highlight w:val="none"/>
          <w:lang w:val="zh-CN" w:eastAsia="zh-CN" w:bidi="ar-SA"/>
        </w:rPr>
        <w:t>个，涉及预算总金额</w:t>
      </w:r>
      <w:r>
        <w:rPr>
          <w:rFonts w:hint="eastAsia" w:ascii="仿宋_GB2312" w:hAnsi="仿宋_GB2312" w:eastAsia="仿宋_GB2312" w:cs="仿宋_GB2312"/>
          <w:b w:val="0"/>
          <w:bCs w:val="0"/>
          <w:color w:val="auto"/>
          <w:kern w:val="2"/>
          <w:sz w:val="32"/>
          <w:szCs w:val="32"/>
          <w:highlight w:val="none"/>
          <w:lang w:val="en-US" w:eastAsia="zh-CN" w:bidi="ar-SA"/>
        </w:rPr>
        <w:t>818.03</w:t>
      </w:r>
      <w:r>
        <w:rPr>
          <w:rFonts w:hint="eastAsia" w:ascii="仿宋_GB2312" w:hAnsi="仿宋_GB2312" w:eastAsia="仿宋_GB2312" w:cs="仿宋_GB2312"/>
          <w:b w:val="0"/>
          <w:bCs w:val="0"/>
          <w:color w:val="auto"/>
          <w:kern w:val="2"/>
          <w:sz w:val="32"/>
          <w:szCs w:val="32"/>
          <w:highlight w:val="none"/>
          <w:lang w:val="zh-CN" w:eastAsia="zh-CN" w:bidi="ar-SA"/>
        </w:rPr>
        <w:t>万元，1—1</w:t>
      </w:r>
      <w:r>
        <w:rPr>
          <w:rFonts w:hint="eastAsia" w:ascii="仿宋_GB2312" w:hAnsi="仿宋_GB2312" w:eastAsia="仿宋_GB2312" w:cs="仿宋_GB2312"/>
          <w:b w:val="0"/>
          <w:bCs w:val="0"/>
          <w:color w:val="auto"/>
          <w:kern w:val="2"/>
          <w:sz w:val="32"/>
          <w:szCs w:val="32"/>
          <w:highlight w:val="none"/>
          <w:lang w:val="en-US" w:eastAsia="zh-CN" w:bidi="ar-SA"/>
        </w:rPr>
        <w:t>2</w:t>
      </w:r>
      <w:r>
        <w:rPr>
          <w:rFonts w:hint="eastAsia" w:ascii="仿宋_GB2312" w:hAnsi="仿宋_GB2312" w:eastAsia="仿宋_GB2312" w:cs="仿宋_GB2312"/>
          <w:b w:val="0"/>
          <w:bCs w:val="0"/>
          <w:color w:val="auto"/>
          <w:kern w:val="2"/>
          <w:sz w:val="32"/>
          <w:szCs w:val="32"/>
          <w:highlight w:val="none"/>
          <w:lang w:val="zh-CN" w:eastAsia="zh-CN" w:bidi="ar-SA"/>
        </w:rPr>
        <w:t>月预算执行总体进度为</w:t>
      </w:r>
      <w:r>
        <w:rPr>
          <w:rFonts w:hint="eastAsia" w:ascii="仿宋_GB2312" w:hAnsi="仿宋_GB2312" w:eastAsia="仿宋_GB2312" w:cs="仿宋_GB2312"/>
          <w:b w:val="0"/>
          <w:bCs w:val="0"/>
          <w:color w:val="auto"/>
          <w:kern w:val="2"/>
          <w:sz w:val="32"/>
          <w:szCs w:val="32"/>
          <w:highlight w:val="none"/>
          <w:lang w:val="en-US" w:eastAsia="zh-CN" w:bidi="ar-SA"/>
        </w:rPr>
        <w:t>100</w:t>
      </w:r>
      <w:r>
        <w:rPr>
          <w:rFonts w:hint="eastAsia" w:ascii="仿宋_GB2312" w:hAnsi="仿宋_GB2312" w:eastAsia="仿宋_GB2312" w:cs="仿宋_GB2312"/>
          <w:b w:val="0"/>
          <w:bCs w:val="0"/>
          <w:color w:val="auto"/>
          <w:kern w:val="2"/>
          <w:sz w:val="32"/>
          <w:szCs w:val="32"/>
          <w:highlight w:val="none"/>
          <w:lang w:val="zh-CN" w:eastAsia="zh-CN" w:bidi="ar-SA"/>
        </w:rPr>
        <w:t>%，其中：预算结余率大于</w:t>
      </w:r>
      <w:r>
        <w:rPr>
          <w:rFonts w:hint="eastAsia" w:ascii="仿宋_GB2312" w:hAnsi="仿宋_GB2312" w:eastAsia="仿宋_GB2312" w:cs="仿宋_GB2312"/>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zh-CN" w:eastAsia="zh-CN" w:bidi="ar-SA"/>
        </w:rPr>
        <w:t>的项目共计</w:t>
      </w:r>
      <w:r>
        <w:rPr>
          <w:rFonts w:hint="eastAsia" w:ascii="仿宋_GB2312" w:hAnsi="仿宋_GB2312" w:eastAsia="仿宋_GB2312" w:cs="仿宋_GB2312"/>
          <w:b w:val="0"/>
          <w:bCs w:val="0"/>
          <w:color w:val="auto"/>
          <w:kern w:val="2"/>
          <w:sz w:val="32"/>
          <w:szCs w:val="32"/>
          <w:highlight w:val="none"/>
          <w:lang w:val="en-US" w:eastAsia="zh-CN" w:bidi="ar-SA"/>
        </w:rPr>
        <w:t>0</w:t>
      </w:r>
      <w:r>
        <w:rPr>
          <w:rFonts w:hint="eastAsia" w:ascii="仿宋_GB2312" w:hAnsi="仿宋_GB2312" w:eastAsia="仿宋_GB2312" w:cs="仿宋_GB2312"/>
          <w:b w:val="0"/>
          <w:bCs w:val="0"/>
          <w:color w:val="auto"/>
          <w:kern w:val="2"/>
          <w:sz w:val="32"/>
          <w:szCs w:val="32"/>
          <w:highlight w:val="none"/>
          <w:lang w:val="zh-CN" w:eastAsia="zh-CN" w:bidi="ar-SA"/>
        </w:rPr>
        <w:t>个。</w:t>
      </w:r>
    </w:p>
    <w:p w14:paraId="795313C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zh-CN" w:eastAsia="zh-CN" w:bidi="ar-SA"/>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color w:val="auto"/>
          <w:kern w:val="2"/>
          <w:sz w:val="32"/>
          <w:szCs w:val="32"/>
          <w:highlight w:val="none"/>
          <w:lang w:val="zh-CN" w:eastAsia="zh-CN" w:bidi="ar-SA"/>
        </w:rPr>
        <w:t>项目决策。</w:t>
      </w:r>
      <w:r>
        <w:rPr>
          <w:rFonts w:hint="eastAsia" w:ascii="仿宋_GB2312" w:hAnsi="仿宋_GB2312" w:eastAsia="仿宋_GB2312" w:cs="仿宋_GB2312"/>
          <w:b/>
          <w:bCs/>
          <w:color w:val="000000"/>
          <w:kern w:val="0"/>
          <w:sz w:val="32"/>
          <w:szCs w:val="32"/>
          <w:highlight w:val="none"/>
          <w:shd w:val="clear" w:color="auto" w:fill="FFFFFF"/>
          <w:lang w:val="en-US" w:eastAsia="zh-CN"/>
        </w:rPr>
        <w:t>（10分）</w:t>
      </w:r>
    </w:p>
    <w:p w14:paraId="7004A5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(1)围绕决策程序（4分）</w:t>
      </w:r>
    </w:p>
    <w:p w14:paraId="4D796CC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2024年我单位预算项目的设立基本履行了项目申报论证程序，与本单位部门职能职责相符，对符合事前评估条件的部门预算项目均实施了论证程序。</w:t>
      </w:r>
    </w:p>
    <w:p w14:paraId="34B8F1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(2)目标设置（2分）</w:t>
      </w:r>
    </w:p>
    <w:p w14:paraId="1AB6EAC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2024年度，按照渠县财政局关于加强2024年预算编制阶段绩效目标管理工作的通知要求，项目绩效目标制定符合部门“三定”方案确定职能职责、中长期工作规划，每个项目分别设置了整体目标和绩效目标，并对完成指标、效益指标、满意度指标进行细化量化。项目绩效目标制定符合科学合理、规范完整、量化细化、预算匹配的要求。</w:t>
      </w:r>
    </w:p>
    <w:p w14:paraId="1D98CE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(3)项目入库进度（4分）</w:t>
      </w:r>
    </w:p>
    <w:p w14:paraId="4A26AC8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我单位尚未建立本级项目库，按照规定在预算一体化平台进行登记、审核，程序规范合法。</w:t>
      </w:r>
    </w:p>
    <w:p w14:paraId="110A826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2.项目执行</w:t>
      </w:r>
      <w:r>
        <w:rPr>
          <w:rFonts w:hint="eastAsia" w:ascii="仿宋_GB2312" w:hAnsi="仿宋_GB2312" w:eastAsia="仿宋_GB2312" w:cs="仿宋_GB2312"/>
          <w:b/>
          <w:bCs/>
          <w:color w:val="auto"/>
          <w:kern w:val="2"/>
          <w:sz w:val="32"/>
          <w:szCs w:val="32"/>
          <w:highlight w:val="none"/>
          <w:lang w:val="zh-CN" w:eastAsia="zh-CN" w:bidi="ar-SA"/>
        </w:rPr>
        <w:t>。</w:t>
      </w:r>
      <w:r>
        <w:rPr>
          <w:rFonts w:hint="eastAsia" w:ascii="仿宋_GB2312" w:hAnsi="仿宋_GB2312" w:eastAsia="仿宋_GB2312" w:cs="仿宋_GB2312"/>
          <w:b/>
          <w:bCs/>
          <w:color w:val="000000"/>
          <w:kern w:val="0"/>
          <w:sz w:val="32"/>
          <w:szCs w:val="32"/>
          <w:highlight w:val="none"/>
          <w:shd w:val="clear" w:color="auto" w:fill="FFFFFF"/>
          <w:lang w:val="en-US" w:eastAsia="zh-CN"/>
        </w:rPr>
        <w:t>（12分）</w:t>
      </w:r>
    </w:p>
    <w:p w14:paraId="627324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(1)围绕资金执行同向（4分）</w:t>
      </w:r>
    </w:p>
    <w:p w14:paraId="50283C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为了进一步提高预算执行效率和资金使用效率，我单位采取了一系列措施加强预算绩效管理，这些措施确保部门预算项目的实际列支内容与绩效目标设置方向相符。</w:t>
      </w:r>
    </w:p>
    <w:p w14:paraId="5EA07F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(2)项目调整（4分）</w:t>
      </w:r>
    </w:p>
    <w:p w14:paraId="3A2957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我镇严格按照县级财政局项目调整原则进行，对预算项目确需要调整要资金使用部门提出追加方案，并详细列明预算追加的理由、项目、科目、金额等，并报财政和政府审批。</w:t>
      </w:r>
    </w:p>
    <w:p w14:paraId="6E92522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(3)执行结果（4分）</w:t>
      </w:r>
    </w:p>
    <w:p w14:paraId="30056C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我镇2024年36个项目中17个项目为年初申报项目，12月实际支付17个，支付进度100%，。还有19个项目为年中追加项目，截至12月执行率为100%。</w:t>
      </w:r>
    </w:p>
    <w:p w14:paraId="081A31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rPr>
      </w:pPr>
      <w:r>
        <w:rPr>
          <w:rFonts w:hint="eastAsia" w:ascii="仿宋_GB2312" w:hAnsi="仿宋_GB2312" w:eastAsia="仿宋_GB2312" w:cs="仿宋_GB2312"/>
          <w:b/>
          <w:bCs/>
          <w:color w:val="auto"/>
          <w:kern w:val="2"/>
          <w:sz w:val="32"/>
          <w:szCs w:val="32"/>
          <w:highlight w:val="none"/>
          <w:lang w:val="en-US" w:eastAsia="zh-CN" w:bidi="ar-SA"/>
        </w:rPr>
        <w:t>3.</w:t>
      </w:r>
      <w:r>
        <w:rPr>
          <w:rFonts w:hint="eastAsia" w:ascii="仿宋_GB2312" w:hAnsi="仿宋_GB2312" w:eastAsia="仿宋_GB2312" w:cs="仿宋_GB2312"/>
          <w:b/>
          <w:bCs/>
          <w:color w:val="auto"/>
          <w:kern w:val="2"/>
          <w:sz w:val="32"/>
          <w:szCs w:val="32"/>
          <w:highlight w:val="none"/>
          <w:lang w:val="zh-CN" w:eastAsia="zh-CN" w:bidi="ar-SA"/>
        </w:rPr>
        <w:t>目标实现。</w:t>
      </w:r>
      <w:r>
        <w:rPr>
          <w:rFonts w:hint="eastAsia" w:ascii="仿宋_GB2312" w:hAnsi="仿宋_GB2312" w:eastAsia="仿宋_GB2312" w:cs="仿宋_GB2312"/>
          <w:b/>
          <w:bCs/>
          <w:color w:val="000000"/>
          <w:kern w:val="0"/>
          <w:sz w:val="32"/>
          <w:szCs w:val="32"/>
          <w:highlight w:val="none"/>
          <w:shd w:val="clear" w:color="auto" w:fill="FFFFFF"/>
          <w:lang w:val="zh-CN"/>
        </w:rPr>
        <w:t>（</w:t>
      </w:r>
      <w:r>
        <w:rPr>
          <w:rFonts w:hint="eastAsia" w:ascii="仿宋_GB2312" w:hAnsi="仿宋_GB2312" w:eastAsia="仿宋_GB2312" w:cs="仿宋_GB2312"/>
          <w:b/>
          <w:bCs/>
          <w:color w:val="000000"/>
          <w:kern w:val="0"/>
          <w:sz w:val="32"/>
          <w:szCs w:val="32"/>
          <w:highlight w:val="none"/>
          <w:shd w:val="clear" w:color="auto" w:fill="FFFFFF"/>
          <w:lang w:val="en-US" w:eastAsia="zh-CN"/>
        </w:rPr>
        <w:t>11分）</w:t>
      </w:r>
    </w:p>
    <w:p w14:paraId="5D5A6BDA">
      <w:pPr>
        <w:pageBreakBefore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bCs/>
          <w:sz w:val="32"/>
          <w:szCs w:val="32"/>
          <w:u w:val="none"/>
        </w:rPr>
        <w:t>(1)目标完成（4分）</w:t>
      </w:r>
    </w:p>
    <w:p w14:paraId="13205FC7">
      <w:pPr>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临巴镇202</w:t>
      </w:r>
      <w:r>
        <w:rPr>
          <w:rFonts w:hint="eastAsia" w:ascii="仿宋_GB2312" w:hAnsi="仿宋_GB2312" w:eastAsia="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rPr>
        <w:t>年项目涉及36个，金额</w:t>
      </w:r>
      <w:r>
        <w:rPr>
          <w:rFonts w:hint="eastAsia" w:ascii="仿宋_GB2312" w:hAnsi="仿宋_GB2312" w:eastAsia="仿宋_GB2312" w:cs="仿宋_GB2312"/>
          <w:b w:val="0"/>
          <w:bCs w:val="0"/>
          <w:sz w:val="32"/>
          <w:szCs w:val="32"/>
          <w:u w:val="none"/>
          <w:lang w:val="en-US" w:eastAsia="zh-CN"/>
        </w:rPr>
        <w:t>1420.13万</w:t>
      </w:r>
      <w:r>
        <w:rPr>
          <w:rFonts w:hint="eastAsia" w:ascii="仿宋_GB2312" w:hAnsi="仿宋_GB2312" w:eastAsia="仿宋_GB2312" w:cs="仿宋_GB2312"/>
          <w:b w:val="0"/>
          <w:bCs w:val="0"/>
          <w:sz w:val="32"/>
          <w:szCs w:val="32"/>
          <w:u w:val="none"/>
        </w:rPr>
        <w:t>元，实际完成36个，金额</w:t>
      </w:r>
      <w:r>
        <w:rPr>
          <w:rFonts w:hint="eastAsia" w:ascii="仿宋_GB2312" w:hAnsi="仿宋_GB2312" w:eastAsia="仿宋_GB2312" w:cs="仿宋_GB2312"/>
          <w:b w:val="0"/>
          <w:bCs w:val="0"/>
          <w:sz w:val="32"/>
          <w:szCs w:val="32"/>
          <w:u w:val="none"/>
          <w:lang w:val="en-US" w:eastAsia="zh-CN"/>
        </w:rPr>
        <w:t>1420.13万</w:t>
      </w:r>
      <w:r>
        <w:rPr>
          <w:rFonts w:hint="eastAsia" w:ascii="仿宋_GB2312" w:hAnsi="仿宋_GB2312" w:eastAsia="仿宋_GB2312" w:cs="仿宋_GB2312"/>
          <w:b w:val="0"/>
          <w:bCs w:val="0"/>
          <w:sz w:val="32"/>
          <w:szCs w:val="32"/>
          <w:u w:val="none"/>
        </w:rPr>
        <w:t>元，完成率100%。</w:t>
      </w:r>
    </w:p>
    <w:p w14:paraId="3F967E8B">
      <w:pPr>
        <w:pageBreakBefore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rPr>
        <w:t>(2)（2）目标偏离（4分）</w:t>
      </w:r>
    </w:p>
    <w:p w14:paraId="6F9467A0">
      <w:pPr>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202</w:t>
      </w:r>
      <w:r>
        <w:rPr>
          <w:rFonts w:hint="eastAsia" w:ascii="仿宋_GB2312" w:hAnsi="仿宋_GB2312" w:eastAsia="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rPr>
        <w:t>年我镇36个项目所涉及数量指标未出现数量指标偏离现象。</w:t>
      </w:r>
    </w:p>
    <w:p w14:paraId="2F86960B">
      <w:pPr>
        <w:pageBreakBefore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bCs/>
          <w:sz w:val="32"/>
          <w:szCs w:val="32"/>
          <w:u w:val="none"/>
        </w:rPr>
        <w:t>(3)实现效果（3分）</w:t>
      </w:r>
    </w:p>
    <w:p w14:paraId="29D04A6B">
      <w:pPr>
        <w:pageBreakBefore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rPr>
        <w:t>202</w:t>
      </w:r>
      <w:r>
        <w:rPr>
          <w:rFonts w:hint="eastAsia" w:ascii="仿宋_GB2312" w:hAnsi="仿宋_GB2312" w:eastAsia="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rPr>
        <w:t>年我镇36个项目效益指标、成本指标、满意度指标的总体完成情况好，保障机关和职工正常运行，制度有效实施，推进社会化</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法治化进程。</w:t>
      </w:r>
      <w:r>
        <w:rPr>
          <w:rFonts w:hint="eastAsia" w:ascii="仿宋_GB2312" w:hAnsi="仿宋_GB2312" w:eastAsia="仿宋_GB2312" w:cs="仿宋_GB2312"/>
          <w:b w:val="0"/>
          <w:bCs w:val="0"/>
          <w:sz w:val="32"/>
          <w:szCs w:val="32"/>
          <w:u w:val="none"/>
          <w:lang w:eastAsia="zh-CN"/>
        </w:rPr>
        <w:t>全镇所有项目</w:t>
      </w:r>
      <w:r>
        <w:rPr>
          <w:rFonts w:hint="eastAsia" w:ascii="仿宋_GB2312" w:hAnsi="仿宋_GB2312" w:eastAsia="仿宋_GB2312" w:cs="仿宋_GB2312"/>
          <w:b w:val="0"/>
          <w:bCs w:val="0"/>
          <w:sz w:val="32"/>
          <w:szCs w:val="32"/>
          <w:u w:val="none"/>
        </w:rPr>
        <w:t>服务对象满意度</w:t>
      </w:r>
      <w:r>
        <w:rPr>
          <w:rFonts w:hint="eastAsia" w:ascii="仿宋_GB2312" w:hAnsi="仿宋_GB2312" w:eastAsia="仿宋_GB2312" w:cs="仿宋_GB2312"/>
          <w:b w:val="0"/>
          <w:bCs w:val="0"/>
          <w:sz w:val="32"/>
          <w:szCs w:val="32"/>
          <w:u w:val="none"/>
          <w:lang w:eastAsia="zh-CN"/>
        </w:rPr>
        <w:t>为</w:t>
      </w:r>
      <w:r>
        <w:rPr>
          <w:rFonts w:hint="eastAsia" w:ascii="仿宋_GB2312" w:hAnsi="仿宋_GB2312" w:eastAsia="仿宋_GB2312" w:cs="仿宋_GB2312"/>
          <w:b w:val="0"/>
          <w:bCs w:val="0"/>
          <w:sz w:val="32"/>
          <w:szCs w:val="32"/>
          <w:u w:val="none"/>
        </w:rPr>
        <w:t>9</w:t>
      </w:r>
      <w:r>
        <w:rPr>
          <w:rFonts w:hint="eastAsia" w:ascii="仿宋_GB2312" w:hAnsi="仿宋_GB2312" w:eastAsia="仿宋_GB2312" w:cs="仿宋_GB2312"/>
          <w:b w:val="0"/>
          <w:bCs w:val="0"/>
          <w:sz w:val="32"/>
          <w:szCs w:val="32"/>
          <w:u w:val="none"/>
          <w:lang w:val="en-US" w:eastAsia="zh-CN"/>
        </w:rPr>
        <w:t>6</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w:t>
      </w:r>
    </w:p>
    <w:p w14:paraId="45EC2845">
      <w:pPr>
        <w:pageBreakBefore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bCs/>
          <w:sz w:val="32"/>
          <w:szCs w:val="32"/>
          <w:u w:val="none"/>
        </w:rPr>
        <w:t>(4)202</w:t>
      </w:r>
      <w:r>
        <w:rPr>
          <w:rFonts w:hint="eastAsia" w:ascii="仿宋_GB2312" w:hAnsi="仿宋_GB2312" w:eastAsia="仿宋_GB2312" w:cs="仿宋_GB2312"/>
          <w:b/>
          <w:bCs/>
          <w:sz w:val="32"/>
          <w:szCs w:val="32"/>
          <w:u w:val="none"/>
          <w:lang w:val="en-US" w:eastAsia="zh-CN"/>
        </w:rPr>
        <w:t>4</w:t>
      </w:r>
      <w:r>
        <w:rPr>
          <w:rFonts w:hint="eastAsia" w:ascii="仿宋_GB2312" w:hAnsi="仿宋_GB2312" w:eastAsia="仿宋_GB2312" w:cs="仿宋_GB2312"/>
          <w:b/>
          <w:bCs/>
          <w:sz w:val="32"/>
          <w:szCs w:val="32"/>
          <w:u w:val="none"/>
        </w:rPr>
        <w:t>年度国有资本经营预算。</w:t>
      </w:r>
      <w:r>
        <w:rPr>
          <w:rFonts w:hint="eastAsia" w:ascii="仿宋_GB2312" w:hAnsi="仿宋_GB2312" w:eastAsia="仿宋_GB2312" w:cs="仿宋_GB2312"/>
          <w:b w:val="0"/>
          <w:bCs w:val="0"/>
          <w:sz w:val="32"/>
          <w:szCs w:val="32"/>
          <w:u w:val="none"/>
        </w:rPr>
        <w:t>临巴镇202</w:t>
      </w:r>
      <w:r>
        <w:rPr>
          <w:rFonts w:hint="eastAsia" w:ascii="仿宋_GB2312" w:hAnsi="仿宋_GB2312" w:eastAsia="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rPr>
        <w:t>年国有资本经营预算财政拨款收入10</w:t>
      </w:r>
      <w:r>
        <w:rPr>
          <w:rFonts w:hint="eastAsia" w:ascii="仿宋_GB2312" w:hAnsi="仿宋_GB2312" w:eastAsia="仿宋_GB2312" w:cs="仿宋_GB2312"/>
          <w:b w:val="0"/>
          <w:bCs w:val="0"/>
          <w:sz w:val="32"/>
          <w:szCs w:val="32"/>
          <w:u w:val="none"/>
          <w:lang w:val="en-US" w:eastAsia="zh-CN"/>
        </w:rPr>
        <w:t>万</w:t>
      </w:r>
      <w:r>
        <w:rPr>
          <w:rFonts w:hint="eastAsia" w:ascii="仿宋_GB2312" w:hAnsi="仿宋_GB2312" w:eastAsia="仿宋_GB2312" w:cs="仿宋_GB2312"/>
          <w:b w:val="0"/>
          <w:bCs w:val="0"/>
          <w:sz w:val="32"/>
          <w:szCs w:val="32"/>
          <w:u w:val="none"/>
        </w:rPr>
        <w:t>元，实际完成预算支出10</w:t>
      </w:r>
      <w:r>
        <w:rPr>
          <w:rFonts w:hint="eastAsia" w:ascii="仿宋_GB2312" w:hAnsi="仿宋_GB2312" w:eastAsia="仿宋_GB2312" w:cs="仿宋_GB2312"/>
          <w:b w:val="0"/>
          <w:bCs w:val="0"/>
          <w:sz w:val="32"/>
          <w:szCs w:val="32"/>
          <w:u w:val="none"/>
          <w:lang w:val="en-US" w:eastAsia="zh-CN"/>
        </w:rPr>
        <w:t>万</w:t>
      </w:r>
      <w:r>
        <w:rPr>
          <w:rFonts w:hint="eastAsia" w:ascii="仿宋_GB2312" w:hAnsi="仿宋_GB2312" w:eastAsia="仿宋_GB2312" w:cs="仿宋_GB2312"/>
          <w:b w:val="0"/>
          <w:bCs w:val="0"/>
          <w:sz w:val="32"/>
          <w:szCs w:val="32"/>
          <w:u w:val="none"/>
        </w:rPr>
        <w:t>元，完成支出执行率100%。</w:t>
      </w:r>
    </w:p>
    <w:p w14:paraId="5EB8DEA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u w:val="none"/>
        </w:rPr>
        <w:t>部门</w:t>
      </w:r>
      <w:r>
        <w:rPr>
          <w:rFonts w:hint="eastAsia" w:ascii="仿宋_GB2312" w:hAnsi="仿宋_GB2312" w:eastAsia="仿宋_GB2312" w:cs="仿宋_GB2312"/>
          <w:b w:val="0"/>
          <w:bCs w:val="0"/>
          <w:sz w:val="32"/>
          <w:szCs w:val="32"/>
          <w:u w:val="none"/>
          <w:lang w:eastAsia="zh-CN"/>
        </w:rPr>
        <w:t>对</w:t>
      </w:r>
      <w:r>
        <w:rPr>
          <w:rFonts w:hint="eastAsia" w:ascii="仿宋_GB2312" w:hAnsi="仿宋_GB2312" w:eastAsia="仿宋_GB2312" w:cs="仿宋_GB2312"/>
          <w:b w:val="0"/>
          <w:bCs w:val="0"/>
          <w:sz w:val="32"/>
          <w:szCs w:val="32"/>
          <w:u w:val="none"/>
          <w:lang w:val="en-US" w:eastAsia="zh-CN"/>
        </w:rPr>
        <w:t>2024年度一般公共预算、政府性基金预算、国有资本经营预算安排的常年项目、阶段项目绩效目标完成情况，以及债券资金、政府购买服务有关情况进行梳理阐述。</w:t>
      </w:r>
    </w:p>
    <w:p w14:paraId="38A6C408">
      <w:pPr>
        <w:keepNext w:val="0"/>
        <w:keepLines w:val="0"/>
        <w:pageBreakBefore w:val="0"/>
        <w:widowControl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方正仿宋简体" w:cs="Times New Roman"/>
          <w:b w:val="0"/>
          <w:bCs w:val="0"/>
          <w:sz w:val="32"/>
          <w:szCs w:val="32"/>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bCs/>
          <w:color w:val="000000"/>
          <w:kern w:val="0"/>
          <w:sz w:val="32"/>
          <w:szCs w:val="32"/>
          <w:highlight w:val="none"/>
          <w:shd w:val="clear" w:color="auto" w:fill="FFFFFF"/>
          <w:lang w:val="zh-CN" w:eastAsia="zh-CN"/>
        </w:rPr>
        <w:t>重点领域</w:t>
      </w:r>
      <w:r>
        <w:rPr>
          <w:rFonts w:hint="eastAsia" w:ascii="仿宋_GB2312" w:hAnsi="仿宋_GB2312" w:eastAsia="仿宋_GB2312" w:cs="仿宋_GB2312"/>
          <w:b/>
          <w:bCs/>
          <w:color w:val="000000"/>
          <w:kern w:val="0"/>
          <w:sz w:val="32"/>
          <w:szCs w:val="32"/>
          <w:highlight w:val="none"/>
          <w:shd w:val="clear" w:color="auto" w:fill="FFFFFF"/>
          <w:lang w:val="zh-CN"/>
        </w:rPr>
        <w:t>绩效分析</w:t>
      </w:r>
      <w:r>
        <w:rPr>
          <w:rFonts w:hint="eastAsia" w:ascii="仿宋_GB2312" w:hAnsi="仿宋_GB2312" w:eastAsia="仿宋_GB2312" w:cs="仿宋_GB2312"/>
          <w:b/>
          <w:bCs/>
          <w:color w:val="000000"/>
          <w:kern w:val="0"/>
          <w:sz w:val="32"/>
          <w:szCs w:val="32"/>
          <w:highlight w:val="none"/>
          <w:shd w:val="clear" w:color="auto" w:fill="FFFFFF"/>
          <w:lang w:val="zh-CN" w:eastAsia="zh-CN"/>
        </w:rPr>
        <w:t>。</w:t>
      </w:r>
    </w:p>
    <w:p w14:paraId="218DDBD5">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 xml:space="preserve">临巴镇2023年国有资本经营预算财政拨款收入 </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val="zh-CN"/>
        </w:rPr>
        <w:t>万元，实际完成预算支出</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lang w:val="zh-CN"/>
        </w:rPr>
        <w:t>万元，完成支出执行率100%。</w:t>
      </w:r>
    </w:p>
    <w:p w14:paraId="2837CEE9">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为认真贯彻落实渠财资产〔2023〕355号国有企业退休人员社会化管理补助资金文件精神，立足本地区经济社会发展实际，满足国有企业离退休人员社会化管理服务需求为落脚点，建立健全离退休人员社会化管理服务体系。本着政府与社会相结合的原则，发挥政府引导作用，同时充分调动社会各方面力量积极参与，全面推进国有企业移交临巴镇人民政府的离退休人员社会化管理服务工作。</w:t>
      </w:r>
    </w:p>
    <w:p w14:paraId="5629A564">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lang w:val="zh-CN"/>
        </w:rPr>
        <w:t>该项目在实施过程中严格按照渠财资产〔202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zh-CN"/>
        </w:rPr>
        <w:t>〕355号文件的规定进行管理。过程规范，财务管理以报账制为主，促进了资金使用管理的规范性、安全性和有效性。财政资金使用效率高，资金发挥效果良好，实现预期绩效目标任务，取得较好成效。</w:t>
      </w:r>
    </w:p>
    <w:p w14:paraId="10910DD7">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eastAsia" w:ascii="仿宋_GB2312" w:hAnsi="仿宋_GB2312" w:eastAsia="仿宋_GB2312" w:cs="仿宋_GB2312"/>
          <w:b/>
          <w:bCs/>
          <w:color w:val="000000"/>
          <w:kern w:val="0"/>
          <w:sz w:val="32"/>
          <w:szCs w:val="32"/>
          <w:highlight w:val="none"/>
          <w:shd w:val="clear" w:color="auto" w:fill="FFFFFF"/>
          <w:lang w:val="zh-CN" w:eastAsia="zh-CN"/>
        </w:rPr>
        <w:t>（</w:t>
      </w:r>
      <w:r>
        <w:rPr>
          <w:rFonts w:hint="eastAsia" w:ascii="仿宋_GB2312" w:hAnsi="仿宋_GB2312" w:eastAsia="仿宋_GB2312" w:cs="仿宋_GB2312"/>
          <w:b/>
          <w:bCs/>
          <w:color w:val="000000"/>
          <w:kern w:val="0"/>
          <w:sz w:val="32"/>
          <w:szCs w:val="32"/>
          <w:highlight w:val="none"/>
          <w:shd w:val="clear" w:color="auto" w:fill="FFFFFF"/>
          <w:lang w:val="en-US" w:eastAsia="zh-CN"/>
        </w:rPr>
        <w:t>四</w:t>
      </w:r>
      <w:r>
        <w:rPr>
          <w:rFonts w:hint="eastAsia" w:ascii="仿宋_GB2312" w:hAnsi="仿宋_GB2312" w:eastAsia="仿宋_GB2312" w:cs="仿宋_GB2312"/>
          <w:b/>
          <w:bCs/>
          <w:color w:val="000000"/>
          <w:kern w:val="0"/>
          <w:sz w:val="32"/>
          <w:szCs w:val="32"/>
          <w:highlight w:val="none"/>
          <w:shd w:val="clear" w:color="auto" w:fill="FFFFFF"/>
          <w:lang w:val="zh-CN" w:eastAsia="zh-CN"/>
        </w:rPr>
        <w:t>）绩效结果应用情况。</w:t>
      </w:r>
    </w:p>
    <w:p w14:paraId="6A0A8B1A">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建立绩效评价激励与</w:t>
      </w:r>
      <w:r>
        <w:rPr>
          <w:rFonts w:hint="eastAsia" w:ascii="仿宋_GB2312" w:hAnsi="仿宋_GB2312" w:eastAsia="仿宋_GB2312" w:cs="仿宋_GB2312"/>
          <w:b/>
          <w:bCs/>
          <w:sz w:val="32"/>
          <w:szCs w:val="32"/>
          <w:lang w:eastAsia="zh-CN"/>
        </w:rPr>
        <w:t>约</w:t>
      </w:r>
      <w:r>
        <w:rPr>
          <w:rFonts w:hint="eastAsia" w:ascii="仿宋_GB2312" w:hAnsi="仿宋_GB2312" w:eastAsia="仿宋_GB2312" w:cs="仿宋_GB2312"/>
          <w:b/>
          <w:bCs/>
          <w:sz w:val="32"/>
          <w:szCs w:val="32"/>
        </w:rPr>
        <w:t>束机</w:t>
      </w:r>
      <w:r>
        <w:rPr>
          <w:rFonts w:hint="eastAsia" w:ascii="仿宋_GB2312" w:hAnsi="仿宋_GB2312" w:eastAsia="仿宋_GB2312" w:cs="仿宋_GB2312"/>
          <w:b/>
          <w:bCs/>
          <w:sz w:val="32"/>
          <w:szCs w:val="32"/>
          <w:lang w:eastAsia="zh-CN"/>
        </w:rPr>
        <w:t>制</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根</w:t>
      </w:r>
      <w:r>
        <w:rPr>
          <w:rFonts w:hint="eastAsia" w:ascii="仿宋_GB2312" w:hAnsi="仿宋_GB2312" w:eastAsia="仿宋_GB2312" w:cs="仿宋_GB2312"/>
          <w:sz w:val="32"/>
          <w:szCs w:val="32"/>
          <w:lang w:eastAsia="zh-CN"/>
        </w:rPr>
        <w:t>据</w:t>
      </w:r>
      <w:r>
        <w:rPr>
          <w:rFonts w:hint="eastAsia" w:ascii="仿宋_GB2312" w:hAnsi="仿宋_GB2312" w:eastAsia="仿宋_GB2312" w:cs="仿宋_GB2312"/>
          <w:sz w:val="32"/>
          <w:szCs w:val="32"/>
        </w:rPr>
        <w:t>单位绩效评价结果，在安</w:t>
      </w:r>
      <w:r>
        <w:rPr>
          <w:rFonts w:hint="eastAsia" w:ascii="仿宋_GB2312" w:hAnsi="仿宋_GB2312" w:eastAsia="仿宋_GB2312" w:cs="仿宋_GB2312"/>
          <w:sz w:val="32"/>
          <w:szCs w:val="32"/>
          <w:lang w:eastAsia="zh-CN"/>
        </w:rPr>
        <w:t>排</w:t>
      </w:r>
      <w:r>
        <w:rPr>
          <w:rFonts w:hint="eastAsia" w:ascii="仿宋_GB2312" w:hAnsi="仿宋_GB2312" w:eastAsia="仿宋_GB2312" w:cs="仿宋_GB2312"/>
          <w:sz w:val="32"/>
          <w:szCs w:val="32"/>
        </w:rPr>
        <w:t>项目资金</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进行综合考虑。一</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效评价结果优秀且绩效突出的，在</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该项目后续资金时给</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优先保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绩效评价结果为良好的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在安排该项目后</w:t>
      </w:r>
      <w:r>
        <w:rPr>
          <w:rFonts w:hint="eastAsia" w:ascii="仿宋_GB2312" w:hAnsi="仿宋_GB2312" w:eastAsia="仿宋_GB2312" w:cs="仿宋_GB2312"/>
          <w:sz w:val="32"/>
          <w:szCs w:val="32"/>
          <w:lang w:eastAsia="zh-CN"/>
        </w:rPr>
        <w:t>续</w:t>
      </w:r>
      <w:r>
        <w:rPr>
          <w:rFonts w:hint="eastAsia" w:ascii="仿宋_GB2312" w:hAnsi="仿宋_GB2312" w:eastAsia="仿宋_GB2312" w:cs="仿宋_GB2312"/>
          <w:sz w:val="32"/>
          <w:szCs w:val="32"/>
        </w:rPr>
        <w:t>资</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时给</w:t>
      </w:r>
      <w:r>
        <w:rPr>
          <w:rFonts w:hint="eastAsia" w:ascii="仿宋_GB2312" w:hAnsi="仿宋_GB2312" w:eastAsia="仿宋_GB2312" w:cs="仿宋_GB2312"/>
          <w:sz w:val="32"/>
          <w:szCs w:val="32"/>
          <w:lang w:eastAsia="zh-CN"/>
        </w:rPr>
        <w:t>予保障，力求延续项目能够</w:t>
      </w:r>
      <w:r>
        <w:rPr>
          <w:rFonts w:hint="eastAsia" w:ascii="仿宋_GB2312" w:hAnsi="仿宋_GB2312" w:eastAsia="仿宋_GB2312" w:cs="仿宋_GB2312"/>
          <w:sz w:val="32"/>
          <w:szCs w:val="32"/>
        </w:rPr>
        <w:t>持续有效开展。三</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eastAsia="zh-CN"/>
        </w:rPr>
        <w:t>绩</w:t>
      </w:r>
      <w:r>
        <w:rPr>
          <w:rFonts w:hint="eastAsia" w:ascii="仿宋_GB2312" w:hAnsi="仿宋_GB2312" w:eastAsia="仿宋_GB2312" w:cs="仿宋_GB2312"/>
          <w:sz w:val="32"/>
          <w:szCs w:val="32"/>
        </w:rPr>
        <w:t>效</w:t>
      </w:r>
      <w:r>
        <w:rPr>
          <w:rFonts w:hint="eastAsia" w:ascii="仿宋_GB2312" w:hAnsi="仿宋_GB2312" w:eastAsia="仿宋_GB2312" w:cs="仿宋_GB2312"/>
          <w:sz w:val="32"/>
          <w:szCs w:val="32"/>
          <w:lang w:eastAsia="zh-CN"/>
        </w:rPr>
        <w:t>评</w:t>
      </w:r>
      <w:r>
        <w:rPr>
          <w:rFonts w:hint="eastAsia" w:ascii="仿宋_GB2312" w:hAnsi="仿宋_GB2312" w:eastAsia="仿宋_GB2312" w:cs="仿宋_GB2312"/>
          <w:sz w:val="32"/>
          <w:szCs w:val="32"/>
        </w:rPr>
        <w:t>价结</w:t>
      </w:r>
      <w:r>
        <w:rPr>
          <w:rFonts w:hint="eastAsia" w:ascii="仿宋_GB2312" w:hAnsi="仿宋_GB2312" w:eastAsia="仿宋_GB2312" w:cs="仿宋_GB2312"/>
          <w:sz w:val="32"/>
          <w:szCs w:val="32"/>
          <w:lang w:eastAsia="zh-CN"/>
        </w:rPr>
        <w:t>果</w:t>
      </w:r>
      <w:r>
        <w:rPr>
          <w:rFonts w:hint="eastAsia" w:ascii="仿宋_GB2312" w:hAnsi="仿宋_GB2312" w:eastAsia="仿宋_GB2312" w:cs="仿宋_GB2312"/>
          <w:sz w:val="32"/>
          <w:szCs w:val="32"/>
        </w:rPr>
        <w:t>为合格</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提出整改意见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并对整改意见落实情况进行跟踪观察，在此过程中，拨款及支付暂缓进行。</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eastAsia="zh-CN"/>
        </w:rPr>
        <w:t>绩效评价</w:t>
      </w:r>
      <w:r>
        <w:rPr>
          <w:rFonts w:hint="eastAsia" w:ascii="仿宋_GB2312" w:hAnsi="仿宋_GB2312" w:eastAsia="仿宋_GB2312" w:cs="仿宋_GB2312"/>
          <w:sz w:val="32"/>
          <w:szCs w:val="32"/>
        </w:rPr>
        <w:t>结果</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不合</w:t>
      </w:r>
      <w:r>
        <w:rPr>
          <w:rFonts w:hint="eastAsia" w:ascii="仿宋_GB2312" w:hAnsi="仿宋_GB2312" w:eastAsia="仿宋_GB2312" w:cs="仿宋_GB2312"/>
          <w:sz w:val="32"/>
          <w:szCs w:val="32"/>
          <w:lang w:eastAsia="zh-CN"/>
        </w:rPr>
        <w:t>格的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及时提出</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意见，整改期间停止安排资金的拨款和支付，对于完成评价的项目，</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eastAsia="zh-CN"/>
        </w:rPr>
        <w:t>镇对其</w:t>
      </w:r>
      <w:r>
        <w:rPr>
          <w:rFonts w:hint="eastAsia" w:ascii="仿宋_GB2312" w:hAnsi="仿宋_GB2312" w:eastAsia="仿宋_GB2312" w:cs="仿宋_GB2312"/>
          <w:sz w:val="32"/>
          <w:szCs w:val="32"/>
          <w:highlight w:val="none"/>
        </w:rPr>
        <w:t>进行前期论证和综合分析，以确保项目资金使用的</w:t>
      </w:r>
      <w:r>
        <w:rPr>
          <w:rFonts w:hint="eastAsia" w:ascii="仿宋_GB2312" w:hAnsi="仿宋_GB2312" w:eastAsia="仿宋_GB2312" w:cs="仿宋_GB2312"/>
          <w:sz w:val="32"/>
          <w:szCs w:val="32"/>
        </w:rPr>
        <w:t>安全有效。</w:t>
      </w:r>
    </w:p>
    <w:p w14:paraId="663768C8">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项目单位绩效自评情况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完成进度</w:t>
      </w:r>
      <w:r>
        <w:rPr>
          <w:rFonts w:hint="eastAsia" w:ascii="仿宋_GB2312" w:hAnsi="仿宋_GB2312" w:eastAsia="仿宋_GB2312" w:cs="仿宋_GB2312"/>
          <w:sz w:val="32"/>
          <w:szCs w:val="32"/>
        </w:rPr>
        <w:t>、完成质量以及组织开展等，在一定范围内对其评价结论</w:t>
      </w:r>
      <w:r>
        <w:rPr>
          <w:rFonts w:hint="eastAsia" w:ascii="仿宋_GB2312" w:hAnsi="仿宋_GB2312" w:eastAsia="仿宋_GB2312" w:cs="仿宋_GB2312"/>
          <w:sz w:val="32"/>
          <w:szCs w:val="32"/>
          <w:lang w:eastAsia="zh-CN"/>
        </w:rPr>
        <w:t>予以通报</w:t>
      </w:r>
      <w:r>
        <w:rPr>
          <w:rFonts w:hint="eastAsia" w:ascii="仿宋_GB2312" w:hAnsi="仿宋_GB2312" w:eastAsia="仿宋_GB2312" w:cs="仿宋_GB2312"/>
          <w:sz w:val="32"/>
          <w:szCs w:val="32"/>
        </w:rPr>
        <w:t>，促使其自觉地、保质保量地完成</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目的绩效自评工作。同时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县门户</w:t>
      </w:r>
      <w:r>
        <w:rPr>
          <w:rFonts w:hint="eastAsia" w:ascii="仿宋_GB2312" w:hAnsi="仿宋_GB2312" w:eastAsia="仿宋_GB2312" w:cs="仿宋_GB2312"/>
          <w:sz w:val="32"/>
          <w:szCs w:val="32"/>
        </w:rPr>
        <w:t>网站公开</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支出绩效评价情况，使公众了解有关项目的实际</w:t>
      </w:r>
      <w:r>
        <w:rPr>
          <w:rFonts w:hint="eastAsia" w:ascii="仿宋_GB2312" w:hAnsi="仿宋_GB2312" w:eastAsia="仿宋_GB2312" w:cs="仿宋_GB2312"/>
          <w:sz w:val="32"/>
          <w:szCs w:val="32"/>
          <w:lang w:eastAsia="zh-CN"/>
        </w:rPr>
        <w:t>绩效水平</w:t>
      </w:r>
      <w:r>
        <w:rPr>
          <w:rFonts w:hint="eastAsia" w:ascii="仿宋_GB2312" w:hAnsi="仿宋_GB2312" w:eastAsia="仿宋_GB2312" w:cs="仿宋_GB2312"/>
          <w:sz w:val="32"/>
          <w:szCs w:val="32"/>
        </w:rPr>
        <w:t>，接受</w:t>
      </w:r>
      <w:r>
        <w:rPr>
          <w:rFonts w:hint="eastAsia" w:ascii="仿宋_GB2312" w:hAnsi="仿宋_GB2312" w:eastAsia="仿宋_GB2312" w:cs="仿宋_GB2312"/>
          <w:sz w:val="32"/>
          <w:szCs w:val="32"/>
          <w:lang w:eastAsia="zh-CN"/>
        </w:rPr>
        <w:t>社</w:t>
      </w:r>
      <w:r>
        <w:rPr>
          <w:rFonts w:hint="eastAsia" w:ascii="仿宋_GB2312" w:hAnsi="仿宋_GB2312" w:eastAsia="仿宋_GB2312" w:cs="仿宋_GB2312"/>
          <w:sz w:val="32"/>
          <w:szCs w:val="32"/>
        </w:rPr>
        <w:t>会公众监督。</w:t>
      </w:r>
    </w:p>
    <w:p w14:paraId="16E62EB6">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3.预算公开。</w:t>
      </w:r>
      <w:r>
        <w:rPr>
          <w:rFonts w:hint="eastAsia" w:ascii="仿宋_GB2312" w:hAnsi="仿宋_GB2312" w:eastAsia="仿宋_GB2312" w:cs="仿宋_GB2312"/>
          <w:color w:val="auto"/>
          <w:sz w:val="32"/>
          <w:szCs w:val="32"/>
          <w:highlight w:val="none"/>
          <w:lang w:val="en-US" w:eastAsia="zh-CN"/>
        </w:rPr>
        <w:t>按照预算公开的相关要求，我单位于2024年1月31日公开了2024年预算，并将部门项目支出绩效目标、部门整体绩效目标和预算绩效管理情况随同预算公开。</w:t>
      </w:r>
    </w:p>
    <w:p w14:paraId="797612E5">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4.决算公开。</w:t>
      </w:r>
      <w:r>
        <w:rPr>
          <w:rFonts w:hint="eastAsia" w:ascii="仿宋_GB2312" w:hAnsi="仿宋_GB2312" w:eastAsia="仿宋_GB2312" w:cs="仿宋_GB2312"/>
          <w:color w:val="auto"/>
          <w:sz w:val="32"/>
          <w:szCs w:val="32"/>
          <w:highlight w:val="none"/>
          <w:lang w:val="en-US" w:eastAsia="zh-CN"/>
        </w:rPr>
        <w:t>按照决算公开的相关要求，我单位于2024年9月28日公开了2023年决算，并将部门整体绩效目标自评、项目支出绩效目标自评、部门整体绩效自评报告和项目绩效自评报告情况随同决算公开。</w:t>
      </w:r>
    </w:p>
    <w:p w14:paraId="5AA94AED">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5.整改反馈情况</w:t>
      </w:r>
    </w:p>
    <w:p w14:paraId="60779D8F">
      <w:pPr>
        <w:keepNext w:val="0"/>
        <w:keepLines w:val="0"/>
        <w:pageBreakBefore w:val="0"/>
        <w:kinsoku/>
        <w:wordWrap/>
        <w:overflowPunct/>
        <w:topLinePunct w:val="0"/>
        <w:autoSpaceDE/>
        <w:autoSpaceDN/>
        <w:bidi w:val="0"/>
        <w:spacing w:line="578"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（1）结果整改。</w:t>
      </w:r>
      <w:r>
        <w:rPr>
          <w:rFonts w:hint="eastAsia" w:ascii="仿宋_GB2312" w:hAnsi="仿宋_GB2312" w:eastAsia="仿宋_GB2312" w:cs="仿宋_GB2312"/>
          <w:color w:val="auto"/>
          <w:sz w:val="32"/>
          <w:szCs w:val="32"/>
          <w:highlight w:val="none"/>
          <w:lang w:val="en-US" w:eastAsia="zh-CN"/>
        </w:rPr>
        <w:t>2024年，渠县财政局在2024年部门预算绩效目标审查、绩效监控和2024年重点绩效评价中，</w:t>
      </w:r>
      <w:r>
        <w:rPr>
          <w:rFonts w:hint="eastAsia" w:ascii="仿宋_GB2312" w:hAnsi="仿宋_GB2312" w:eastAsia="仿宋_GB2312" w:cs="仿宋_GB2312"/>
          <w:b w:val="0"/>
          <w:bCs w:val="0"/>
          <w:color w:val="auto"/>
          <w:sz w:val="32"/>
          <w:szCs w:val="32"/>
          <w:highlight w:val="none"/>
          <w:lang w:val="en-US" w:eastAsia="zh-CN"/>
        </w:rPr>
        <w:t>未对我单位提出整改意见。</w:t>
      </w:r>
    </w:p>
    <w:p w14:paraId="639A7BF8">
      <w:pPr>
        <w:keepNext w:val="0"/>
        <w:keepLines w:val="0"/>
        <w:pageBreakBefore w:val="0"/>
        <w:kinsoku/>
        <w:wordWrap/>
        <w:overflowPunct/>
        <w:topLinePunct w:val="0"/>
        <w:autoSpaceDE/>
        <w:autoSpaceDN/>
        <w:bidi w:val="0"/>
        <w:spacing w:line="578" w:lineRule="exact"/>
        <w:ind w:firstLine="643"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auto"/>
          <w:sz w:val="32"/>
          <w:szCs w:val="32"/>
          <w:highlight w:val="none"/>
          <w:lang w:val="en-US" w:eastAsia="zh-CN"/>
        </w:rPr>
        <w:t>（2）应用反馈。</w:t>
      </w:r>
      <w:r>
        <w:rPr>
          <w:rFonts w:hint="eastAsia" w:ascii="仿宋_GB2312" w:hAnsi="仿宋_GB2312" w:eastAsia="仿宋_GB2312" w:cs="仿宋_GB2312"/>
          <w:color w:val="auto"/>
          <w:sz w:val="32"/>
          <w:szCs w:val="32"/>
          <w:highlight w:val="none"/>
          <w:lang w:val="en-US" w:eastAsia="zh-CN"/>
        </w:rPr>
        <w:t>经自查及与财政部门确认，</w:t>
      </w:r>
      <w:r>
        <w:rPr>
          <w:rFonts w:hint="eastAsia" w:ascii="仿宋_GB2312" w:hAnsi="仿宋_GB2312" w:eastAsia="仿宋_GB2312" w:cs="仿宋_GB2312"/>
          <w:b w:val="0"/>
          <w:bCs w:val="0"/>
          <w:color w:val="auto"/>
          <w:sz w:val="32"/>
          <w:szCs w:val="32"/>
          <w:highlight w:val="none"/>
          <w:lang w:val="en-US" w:eastAsia="zh-CN"/>
        </w:rPr>
        <w:t>未对我单位提出整改意见。</w:t>
      </w:r>
    </w:p>
    <w:p w14:paraId="449456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b/>
          <w:bCs/>
          <w:color w:val="000000"/>
          <w:kern w:val="0"/>
          <w:sz w:val="32"/>
          <w:szCs w:val="32"/>
          <w:highlight w:val="none"/>
          <w:shd w:val="clear" w:color="auto" w:fill="FFFFFF"/>
          <w:lang w:val="zh-CN" w:eastAsia="zh-CN"/>
        </w:rPr>
        <w:t>四、</w:t>
      </w:r>
      <w:r>
        <w:rPr>
          <w:rFonts w:hint="default" w:ascii="Times New Roman" w:hAnsi="Times New Roman" w:eastAsia="黑体" w:cs="Times New Roman"/>
          <w:b/>
          <w:bCs/>
          <w:color w:val="000000"/>
          <w:kern w:val="0"/>
          <w:sz w:val="32"/>
          <w:szCs w:val="32"/>
          <w:highlight w:val="none"/>
          <w:shd w:val="clear" w:color="auto" w:fill="FFFFFF"/>
          <w:lang w:val="zh-CN"/>
        </w:rPr>
        <w:t>评价结论及建议</w:t>
      </w:r>
    </w:p>
    <w:p w14:paraId="32C1090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bCs/>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36ED8110">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lang w:val="en-US" w:eastAsia="zh-CN"/>
        </w:rPr>
        <w:t>我镇2024年部门整体支出绩效情况好，年初预算存在一定偏差，通过中期调预算，预算执行进度好，财务管理制度健全，财务工作岗位设置合理，资金使用规范，政府采购严格执行了促进中小企业发展相关管理办法，预算项目的设立履行了项目申报论证程序，项目绩效目标制定较为科学合理、规范完整、量化细化，积极发挥部门职能，按照《2024年渠县部门预算绩效评价指标体系》设定的绩效指标和评分标准，我单位2024年部门整体支出绩效评价得分96分。</w:t>
      </w:r>
    </w:p>
    <w:p w14:paraId="36EC398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b/>
          <w:bCs/>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E1499BD">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1</w:t>
      </w:r>
      <w:r>
        <w:rPr>
          <w:rFonts w:hint="eastAsia" w:ascii="仿宋_GB2312" w:hAnsi="仿宋_GB2312" w:eastAsia="仿宋_GB2312" w:cs="仿宋_GB2312"/>
          <w:b/>
          <w:bCs/>
          <w:color w:val="000000"/>
          <w:kern w:val="0"/>
          <w:sz w:val="32"/>
          <w:szCs w:val="32"/>
          <w:highlight w:val="none"/>
          <w:shd w:val="clear" w:color="auto" w:fill="FFFFFF"/>
          <w:lang w:val="en-US" w:eastAsia="zh-CN"/>
        </w:rPr>
        <w:t>.</w:t>
      </w:r>
      <w:r>
        <w:rPr>
          <w:rFonts w:hint="eastAsia" w:ascii="仿宋_GB2312" w:hAnsi="仿宋_GB2312" w:eastAsia="仿宋_GB2312" w:cs="仿宋_GB2312"/>
          <w:b/>
          <w:bCs/>
          <w:color w:val="000000"/>
          <w:kern w:val="0"/>
          <w:sz w:val="32"/>
          <w:szCs w:val="32"/>
          <w:highlight w:val="none"/>
          <w:shd w:val="clear" w:color="auto" w:fill="FFFFFF"/>
          <w:lang w:val="zh-CN" w:eastAsia="zh-CN"/>
        </w:rPr>
        <w:t>预算支出明细料目编制不够准确。</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预算实际使用过程中产生偏差，无法准确预计全年经济活动。</w:t>
      </w:r>
    </w:p>
    <w:p w14:paraId="21A6BA12">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b/>
          <w:bCs/>
          <w:color w:val="000000"/>
          <w:kern w:val="0"/>
          <w:sz w:val="32"/>
          <w:szCs w:val="32"/>
          <w:highlight w:val="none"/>
          <w:shd w:val="clear" w:color="auto" w:fill="FFFFFF"/>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2</w:t>
      </w:r>
      <w:r>
        <w:rPr>
          <w:rFonts w:hint="eastAsia" w:ascii="仿宋_GB2312" w:hAnsi="仿宋_GB2312" w:eastAsia="仿宋_GB2312" w:cs="仿宋_GB2312"/>
          <w:b/>
          <w:bCs/>
          <w:color w:val="000000"/>
          <w:kern w:val="0"/>
          <w:sz w:val="32"/>
          <w:szCs w:val="32"/>
          <w:highlight w:val="none"/>
          <w:shd w:val="clear" w:color="auto" w:fill="FFFFFF"/>
          <w:lang w:val="en-US" w:eastAsia="zh-CN"/>
        </w:rPr>
        <w:t>.</w:t>
      </w:r>
      <w:r>
        <w:rPr>
          <w:rFonts w:hint="eastAsia" w:ascii="仿宋_GB2312" w:hAnsi="仿宋_GB2312" w:eastAsia="仿宋_GB2312" w:cs="仿宋_GB2312"/>
          <w:b/>
          <w:bCs/>
          <w:color w:val="000000"/>
          <w:kern w:val="0"/>
          <w:sz w:val="32"/>
          <w:szCs w:val="32"/>
          <w:highlight w:val="none"/>
          <w:shd w:val="clear" w:color="auto" w:fill="FFFFFF"/>
          <w:lang w:val="zh-CN" w:eastAsia="zh-CN"/>
        </w:rPr>
        <w:t>年初预算不够准确。</w:t>
      </w:r>
      <w:r>
        <w:rPr>
          <w:rFonts w:hint="eastAsia" w:ascii="仿宋_GB2312" w:hAnsi="仿宋_GB2312" w:eastAsia="仿宋_GB2312" w:cs="仿宋_GB2312"/>
          <w:b w:val="0"/>
          <w:bCs w:val="0"/>
          <w:color w:val="000000"/>
          <w:kern w:val="0"/>
          <w:sz w:val="32"/>
          <w:szCs w:val="32"/>
          <w:highlight w:val="none"/>
          <w:shd w:val="clear" w:color="auto" w:fill="FFFFFF"/>
          <w:lang w:val="zh-CN" w:eastAsia="zh-CN"/>
        </w:rPr>
        <w:t>年中落实县委、县政府重大决策和重大活动等原因，年中追加较多经费，导致全年预算支出占比大。预算控制率有待进一步降低。</w:t>
      </w:r>
    </w:p>
    <w:p w14:paraId="283EF80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u w:val="none"/>
          <w:lang w:val="en" w:eastAsia="zh-CN" w:bidi="ar"/>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bookmarkStart w:id="1" w:name="_Hlk110546638"/>
    </w:p>
    <w:bookmarkEnd w:id="1"/>
    <w:p w14:paraId="6B4EF27C">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eastAsia="zh-CN"/>
        </w:rPr>
        <w:t>科学严谨编制年度部门预算。</w:t>
      </w:r>
      <w:r>
        <w:rPr>
          <w:rFonts w:hint="eastAsia" w:ascii="仿宋_GB2312" w:hAnsi="仿宋_GB2312" w:eastAsia="仿宋_GB2312" w:cs="仿宋_GB2312"/>
          <w:sz w:val="32"/>
          <w:szCs w:val="32"/>
          <w:lang w:val="zh-CN" w:eastAsia="zh-CN"/>
        </w:rPr>
        <w:t>细化部门预算内容，保证预算的精准性，通过预算调配资金，提高资金使用效益。</w:t>
      </w:r>
    </w:p>
    <w:p w14:paraId="6C6D818B">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eastAsia="zh-CN"/>
        </w:rPr>
        <w:t>通过中期预算执行情况合理调配资金。</w:t>
      </w:r>
      <w:r>
        <w:rPr>
          <w:rFonts w:hint="eastAsia" w:ascii="仿宋_GB2312" w:hAnsi="仿宋_GB2312" w:eastAsia="仿宋_GB2312" w:cs="仿宋_GB2312"/>
          <w:sz w:val="32"/>
          <w:szCs w:val="32"/>
          <w:lang w:val="zh-CN" w:eastAsia="zh-CN"/>
        </w:rPr>
        <w:t>增强预算执行的前瞻性和预见性。提高项目执行率，提高资金支付效率。</w:t>
      </w:r>
    </w:p>
    <w:p w14:paraId="1221E0FF">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Times New Roman" w:hAnsi="Times New Roman"/>
          <w:lang w:eastAsia="zh-CN"/>
        </w:rPr>
      </w:pPr>
      <w:r>
        <w:rPr>
          <w:rFonts w:hint="eastAsia" w:ascii="仿宋_GB2312" w:hAnsi="仿宋_GB2312" w:eastAsia="仿宋_GB2312" w:cs="仿宋_GB2312"/>
          <w:b/>
          <w:bCs/>
          <w:sz w:val="32"/>
          <w:szCs w:val="32"/>
          <w:lang w:val="zh-CN" w:eastAsia="zh-CN"/>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eastAsia="zh-CN"/>
        </w:rPr>
        <w:t>多开展相关业务工作的培训。</w:t>
      </w:r>
      <w:r>
        <w:rPr>
          <w:rFonts w:hint="eastAsia" w:ascii="仿宋_GB2312" w:hAnsi="仿宋_GB2312" w:eastAsia="仿宋_GB2312" w:cs="仿宋_GB2312"/>
          <w:sz w:val="32"/>
          <w:szCs w:val="32"/>
          <w:lang w:val="zh-CN" w:eastAsia="zh-CN"/>
        </w:rPr>
        <w:t>通过开展相关业务工作的培训，提高财务人员的业务水平</w:t>
      </w:r>
      <w:bookmarkEnd w:id="0"/>
      <w:r>
        <w:rPr>
          <w:rFonts w:hint="eastAsia" w:ascii="仿宋_GB2312" w:hAnsi="仿宋_GB2312" w:eastAsia="仿宋_GB2312" w:cs="仿宋_GB2312"/>
          <w:sz w:val="32"/>
          <w:szCs w:val="32"/>
          <w:lang w:val="zh-CN" w:eastAsia="zh-CN"/>
        </w:rPr>
        <w:t>。</w:t>
      </w:r>
    </w:p>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F8794">
    <w:pPr>
      <w:pStyle w:val="10"/>
      <w:tabs>
        <w:tab w:val="center" w:pos="4213"/>
        <w:tab w:val="left" w:pos="4713"/>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140D3">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0140D3">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sz w:val="18"/>
        <w:lang w:eastAsia="zh-CN"/>
      </w:rPr>
      <w:tab/>
    </w:r>
    <w:r>
      <w:rPr>
        <w:rFonts w:hint="eastAsia"/>
        <w:lang w:eastAsia="zh-CN"/>
      </w:rPr>
      <w:tab/>
    </w:r>
  </w:p>
  <w:p w14:paraId="48EEF8C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60A1">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637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6B3225"/>
    <w:rsid w:val="01981D96"/>
    <w:rsid w:val="02FEBE30"/>
    <w:rsid w:val="04916F1E"/>
    <w:rsid w:val="04A869E9"/>
    <w:rsid w:val="04C11604"/>
    <w:rsid w:val="052A53FB"/>
    <w:rsid w:val="061E35DE"/>
    <w:rsid w:val="063744EB"/>
    <w:rsid w:val="064C13A1"/>
    <w:rsid w:val="066E0107"/>
    <w:rsid w:val="068F128E"/>
    <w:rsid w:val="06926ED5"/>
    <w:rsid w:val="07996F6E"/>
    <w:rsid w:val="07DFD8BA"/>
    <w:rsid w:val="081D54B2"/>
    <w:rsid w:val="09247848"/>
    <w:rsid w:val="09867E8F"/>
    <w:rsid w:val="09992B4F"/>
    <w:rsid w:val="09C43B69"/>
    <w:rsid w:val="0A2032A3"/>
    <w:rsid w:val="0A32616B"/>
    <w:rsid w:val="0B440899"/>
    <w:rsid w:val="0B574A70"/>
    <w:rsid w:val="0BFC73C5"/>
    <w:rsid w:val="0C336D77"/>
    <w:rsid w:val="0CA8290A"/>
    <w:rsid w:val="0D197B03"/>
    <w:rsid w:val="0D35B1ED"/>
    <w:rsid w:val="0E1D5740"/>
    <w:rsid w:val="0E254B6B"/>
    <w:rsid w:val="0EB9334C"/>
    <w:rsid w:val="0F0223B3"/>
    <w:rsid w:val="0F98263C"/>
    <w:rsid w:val="0FED7751"/>
    <w:rsid w:val="101860EC"/>
    <w:rsid w:val="101F47CC"/>
    <w:rsid w:val="10953945"/>
    <w:rsid w:val="10C055FF"/>
    <w:rsid w:val="1131366D"/>
    <w:rsid w:val="11694EBD"/>
    <w:rsid w:val="11772AA4"/>
    <w:rsid w:val="118107EC"/>
    <w:rsid w:val="11A66B2F"/>
    <w:rsid w:val="12013D56"/>
    <w:rsid w:val="12DC65D6"/>
    <w:rsid w:val="12E24EE2"/>
    <w:rsid w:val="13D50BC4"/>
    <w:rsid w:val="14B17F78"/>
    <w:rsid w:val="1557687B"/>
    <w:rsid w:val="1638549E"/>
    <w:rsid w:val="165E0673"/>
    <w:rsid w:val="16B831D5"/>
    <w:rsid w:val="16BB723D"/>
    <w:rsid w:val="176D3FE6"/>
    <w:rsid w:val="17E50567"/>
    <w:rsid w:val="185A16FC"/>
    <w:rsid w:val="186504BB"/>
    <w:rsid w:val="18B3585E"/>
    <w:rsid w:val="193C52A5"/>
    <w:rsid w:val="19A445FC"/>
    <w:rsid w:val="19FF7D3D"/>
    <w:rsid w:val="1A0F29BA"/>
    <w:rsid w:val="1A807414"/>
    <w:rsid w:val="1ABD5A92"/>
    <w:rsid w:val="1BAD5FE6"/>
    <w:rsid w:val="1BE8440E"/>
    <w:rsid w:val="1C00112C"/>
    <w:rsid w:val="1C1F5136"/>
    <w:rsid w:val="1C86291F"/>
    <w:rsid w:val="1C964CCC"/>
    <w:rsid w:val="1D155CEE"/>
    <w:rsid w:val="1D1638FE"/>
    <w:rsid w:val="1E312DEB"/>
    <w:rsid w:val="1E740ACF"/>
    <w:rsid w:val="1E8B1AFA"/>
    <w:rsid w:val="1FEB3581"/>
    <w:rsid w:val="1FF16DE9"/>
    <w:rsid w:val="1FF35744"/>
    <w:rsid w:val="1FF6BC77"/>
    <w:rsid w:val="204A474C"/>
    <w:rsid w:val="206D21E8"/>
    <w:rsid w:val="20F75336"/>
    <w:rsid w:val="216929AF"/>
    <w:rsid w:val="2186353C"/>
    <w:rsid w:val="23104DA9"/>
    <w:rsid w:val="23860B96"/>
    <w:rsid w:val="23952B9E"/>
    <w:rsid w:val="23F52C20"/>
    <w:rsid w:val="23F92711"/>
    <w:rsid w:val="240371BF"/>
    <w:rsid w:val="244F3473"/>
    <w:rsid w:val="24C97D99"/>
    <w:rsid w:val="25A718F0"/>
    <w:rsid w:val="25BB59F6"/>
    <w:rsid w:val="260F557C"/>
    <w:rsid w:val="264A7253"/>
    <w:rsid w:val="26970054"/>
    <w:rsid w:val="269F6F5B"/>
    <w:rsid w:val="26FD4B61"/>
    <w:rsid w:val="27313F6F"/>
    <w:rsid w:val="27C052F3"/>
    <w:rsid w:val="27EA33D5"/>
    <w:rsid w:val="281408E2"/>
    <w:rsid w:val="29CF181E"/>
    <w:rsid w:val="29FD04D3"/>
    <w:rsid w:val="2A07545B"/>
    <w:rsid w:val="2A8D7274"/>
    <w:rsid w:val="2AF61758"/>
    <w:rsid w:val="2B2A5AD1"/>
    <w:rsid w:val="2B361B54"/>
    <w:rsid w:val="2B7D677E"/>
    <w:rsid w:val="2BFF7BC6"/>
    <w:rsid w:val="2C274260"/>
    <w:rsid w:val="2C882884"/>
    <w:rsid w:val="2C8A61B5"/>
    <w:rsid w:val="2DF04E50"/>
    <w:rsid w:val="2E586DFA"/>
    <w:rsid w:val="2EFA10EB"/>
    <w:rsid w:val="2F040D46"/>
    <w:rsid w:val="2F074EF9"/>
    <w:rsid w:val="2F6B035B"/>
    <w:rsid w:val="2F6B3D97"/>
    <w:rsid w:val="2FAE5751"/>
    <w:rsid w:val="2FB1A395"/>
    <w:rsid w:val="2FB90FA6"/>
    <w:rsid w:val="2FD9A7D8"/>
    <w:rsid w:val="2FDBF714"/>
    <w:rsid w:val="301B542C"/>
    <w:rsid w:val="30AB6865"/>
    <w:rsid w:val="30C475C9"/>
    <w:rsid w:val="30E6401D"/>
    <w:rsid w:val="30EA2BD2"/>
    <w:rsid w:val="31091AB9"/>
    <w:rsid w:val="319F7F4E"/>
    <w:rsid w:val="3296737C"/>
    <w:rsid w:val="32BD1EF1"/>
    <w:rsid w:val="32FE4132"/>
    <w:rsid w:val="3304709D"/>
    <w:rsid w:val="337A730E"/>
    <w:rsid w:val="33A773CB"/>
    <w:rsid w:val="349D6851"/>
    <w:rsid w:val="34CB3C6C"/>
    <w:rsid w:val="35C07A3B"/>
    <w:rsid w:val="35F63496"/>
    <w:rsid w:val="36301896"/>
    <w:rsid w:val="36AA5135"/>
    <w:rsid w:val="36BE0DA7"/>
    <w:rsid w:val="36EF0F55"/>
    <w:rsid w:val="376B6AA6"/>
    <w:rsid w:val="376D39B2"/>
    <w:rsid w:val="37E16F03"/>
    <w:rsid w:val="37F53A3B"/>
    <w:rsid w:val="388D2FD0"/>
    <w:rsid w:val="389B6C89"/>
    <w:rsid w:val="38D469F0"/>
    <w:rsid w:val="38F92C96"/>
    <w:rsid w:val="39627CCD"/>
    <w:rsid w:val="39657AA9"/>
    <w:rsid w:val="396F0E6A"/>
    <w:rsid w:val="397BAF1F"/>
    <w:rsid w:val="39D35BCF"/>
    <w:rsid w:val="3A52627F"/>
    <w:rsid w:val="3AB79AF3"/>
    <w:rsid w:val="3ABB02C8"/>
    <w:rsid w:val="3AE834C0"/>
    <w:rsid w:val="3B5A188F"/>
    <w:rsid w:val="3B7EF35A"/>
    <w:rsid w:val="3B8E1539"/>
    <w:rsid w:val="3B9FDB6C"/>
    <w:rsid w:val="3BF5BC2F"/>
    <w:rsid w:val="3C2123AD"/>
    <w:rsid w:val="3CEBA265"/>
    <w:rsid w:val="3D98207C"/>
    <w:rsid w:val="3DAE5412"/>
    <w:rsid w:val="3DE03BA2"/>
    <w:rsid w:val="3DEE7CF3"/>
    <w:rsid w:val="3E740A63"/>
    <w:rsid w:val="3E78745D"/>
    <w:rsid w:val="3E970704"/>
    <w:rsid w:val="3EE17838"/>
    <w:rsid w:val="3F55381A"/>
    <w:rsid w:val="3F7F7599"/>
    <w:rsid w:val="3FF4CAE0"/>
    <w:rsid w:val="3FF7B227"/>
    <w:rsid w:val="40580367"/>
    <w:rsid w:val="40980CAD"/>
    <w:rsid w:val="40E65973"/>
    <w:rsid w:val="41032081"/>
    <w:rsid w:val="416E7E42"/>
    <w:rsid w:val="41EC0D67"/>
    <w:rsid w:val="42903DE8"/>
    <w:rsid w:val="42BA2C13"/>
    <w:rsid w:val="431308CF"/>
    <w:rsid w:val="431E43BB"/>
    <w:rsid w:val="440C749E"/>
    <w:rsid w:val="449D459A"/>
    <w:rsid w:val="44E268DA"/>
    <w:rsid w:val="44F83EFC"/>
    <w:rsid w:val="450D13D7"/>
    <w:rsid w:val="45336CAD"/>
    <w:rsid w:val="45506656"/>
    <w:rsid w:val="47A81BD4"/>
    <w:rsid w:val="47AF2BE2"/>
    <w:rsid w:val="48194880"/>
    <w:rsid w:val="48254FD3"/>
    <w:rsid w:val="486A6C7A"/>
    <w:rsid w:val="49553AEC"/>
    <w:rsid w:val="4A627F82"/>
    <w:rsid w:val="4A791606"/>
    <w:rsid w:val="4B0E749A"/>
    <w:rsid w:val="4B2477C4"/>
    <w:rsid w:val="4B4F25DA"/>
    <w:rsid w:val="4B5B1F36"/>
    <w:rsid w:val="4BE068DB"/>
    <w:rsid w:val="4D577224"/>
    <w:rsid w:val="4D5F4AE3"/>
    <w:rsid w:val="4DBF1CEB"/>
    <w:rsid w:val="4DED20EF"/>
    <w:rsid w:val="4DF0007C"/>
    <w:rsid w:val="4E7740AE"/>
    <w:rsid w:val="4EAB630A"/>
    <w:rsid w:val="4ECE2238"/>
    <w:rsid w:val="4F0A5C0A"/>
    <w:rsid w:val="4F806F93"/>
    <w:rsid w:val="4F833267"/>
    <w:rsid w:val="4FE9BD67"/>
    <w:rsid w:val="4FFB052F"/>
    <w:rsid w:val="50593A6B"/>
    <w:rsid w:val="511E28BD"/>
    <w:rsid w:val="522A029D"/>
    <w:rsid w:val="526D16D3"/>
    <w:rsid w:val="537E6D0A"/>
    <w:rsid w:val="53F74C96"/>
    <w:rsid w:val="543F35F0"/>
    <w:rsid w:val="54A97330"/>
    <w:rsid w:val="55170BA8"/>
    <w:rsid w:val="553218C9"/>
    <w:rsid w:val="55CF47D0"/>
    <w:rsid w:val="567E1AA5"/>
    <w:rsid w:val="56E47B74"/>
    <w:rsid w:val="57175D52"/>
    <w:rsid w:val="57BD3DD4"/>
    <w:rsid w:val="57F77ACB"/>
    <w:rsid w:val="59ED3476"/>
    <w:rsid w:val="5A8F48D3"/>
    <w:rsid w:val="5ABA1146"/>
    <w:rsid w:val="5AF92295"/>
    <w:rsid w:val="5B250254"/>
    <w:rsid w:val="5BB5790E"/>
    <w:rsid w:val="5BDD79E6"/>
    <w:rsid w:val="5BF561CA"/>
    <w:rsid w:val="5BFF5DFC"/>
    <w:rsid w:val="5C4B0106"/>
    <w:rsid w:val="5CD01559"/>
    <w:rsid w:val="5CD71FC4"/>
    <w:rsid w:val="5D1F11B5"/>
    <w:rsid w:val="5D695134"/>
    <w:rsid w:val="5D6D15F9"/>
    <w:rsid w:val="5DAE1B18"/>
    <w:rsid w:val="5DE7D9E5"/>
    <w:rsid w:val="5ECEC941"/>
    <w:rsid w:val="5FBF9FF3"/>
    <w:rsid w:val="5FC361DC"/>
    <w:rsid w:val="5FCD4E2C"/>
    <w:rsid w:val="5FEF394A"/>
    <w:rsid w:val="5FF67715"/>
    <w:rsid w:val="60600A87"/>
    <w:rsid w:val="60AF592A"/>
    <w:rsid w:val="61E37639"/>
    <w:rsid w:val="62574E11"/>
    <w:rsid w:val="62AD115F"/>
    <w:rsid w:val="62BF3928"/>
    <w:rsid w:val="63B3701E"/>
    <w:rsid w:val="647F5392"/>
    <w:rsid w:val="64966BE4"/>
    <w:rsid w:val="64D92E84"/>
    <w:rsid w:val="650E0E71"/>
    <w:rsid w:val="65E66580"/>
    <w:rsid w:val="664B1D71"/>
    <w:rsid w:val="664B4E8E"/>
    <w:rsid w:val="67277B67"/>
    <w:rsid w:val="672A6FFA"/>
    <w:rsid w:val="67AA3209"/>
    <w:rsid w:val="680447AD"/>
    <w:rsid w:val="68C8445A"/>
    <w:rsid w:val="691C1682"/>
    <w:rsid w:val="692F585A"/>
    <w:rsid w:val="698D0931"/>
    <w:rsid w:val="69FA19C4"/>
    <w:rsid w:val="6A7FE5F3"/>
    <w:rsid w:val="6B053271"/>
    <w:rsid w:val="6B2807B2"/>
    <w:rsid w:val="6B2B3DFF"/>
    <w:rsid w:val="6BDD78B3"/>
    <w:rsid w:val="6C4A05C8"/>
    <w:rsid w:val="6C8742B8"/>
    <w:rsid w:val="6CC369E5"/>
    <w:rsid w:val="6DBF5E93"/>
    <w:rsid w:val="6DD16EDF"/>
    <w:rsid w:val="6DFF077E"/>
    <w:rsid w:val="6E587081"/>
    <w:rsid w:val="6E714EF0"/>
    <w:rsid w:val="6E7E3605"/>
    <w:rsid w:val="6E7FDCC7"/>
    <w:rsid w:val="6ED6A62E"/>
    <w:rsid w:val="6EE00B15"/>
    <w:rsid w:val="6F190B3E"/>
    <w:rsid w:val="6F6FB3EB"/>
    <w:rsid w:val="6F8731EA"/>
    <w:rsid w:val="6F8C57B4"/>
    <w:rsid w:val="6FCE6052"/>
    <w:rsid w:val="6FD57C00"/>
    <w:rsid w:val="6FDA7B28"/>
    <w:rsid w:val="6FEFFFD8"/>
    <w:rsid w:val="6FF5CC65"/>
    <w:rsid w:val="6FFB47EC"/>
    <w:rsid w:val="6FFF034A"/>
    <w:rsid w:val="70484440"/>
    <w:rsid w:val="71193077"/>
    <w:rsid w:val="712A28F1"/>
    <w:rsid w:val="715C0E4B"/>
    <w:rsid w:val="71992E7C"/>
    <w:rsid w:val="71BE526B"/>
    <w:rsid w:val="72233669"/>
    <w:rsid w:val="726C71D7"/>
    <w:rsid w:val="72734D90"/>
    <w:rsid w:val="72B15531"/>
    <w:rsid w:val="73160E6D"/>
    <w:rsid w:val="7332FE48"/>
    <w:rsid w:val="73426189"/>
    <w:rsid w:val="73AB61DA"/>
    <w:rsid w:val="73AD73D5"/>
    <w:rsid w:val="73B6EB34"/>
    <w:rsid w:val="73F12089"/>
    <w:rsid w:val="73FA497D"/>
    <w:rsid w:val="744731E5"/>
    <w:rsid w:val="74B21997"/>
    <w:rsid w:val="74BBD01D"/>
    <w:rsid w:val="74ED5379"/>
    <w:rsid w:val="75DEEEC2"/>
    <w:rsid w:val="75E32345"/>
    <w:rsid w:val="764D4E7D"/>
    <w:rsid w:val="769D2054"/>
    <w:rsid w:val="76E3355F"/>
    <w:rsid w:val="76F039D9"/>
    <w:rsid w:val="76FF5125"/>
    <w:rsid w:val="77193BB9"/>
    <w:rsid w:val="771A36A5"/>
    <w:rsid w:val="775A1CF3"/>
    <w:rsid w:val="776F6FFA"/>
    <w:rsid w:val="778769C8"/>
    <w:rsid w:val="77A75DCA"/>
    <w:rsid w:val="77CA6D43"/>
    <w:rsid w:val="77DC22F5"/>
    <w:rsid w:val="77F739E6"/>
    <w:rsid w:val="783E271A"/>
    <w:rsid w:val="785A5BCE"/>
    <w:rsid w:val="78615304"/>
    <w:rsid w:val="78616DE9"/>
    <w:rsid w:val="78E875D7"/>
    <w:rsid w:val="78EC72C3"/>
    <w:rsid w:val="79086DAD"/>
    <w:rsid w:val="79701494"/>
    <w:rsid w:val="79D7FD79"/>
    <w:rsid w:val="79EE5BA4"/>
    <w:rsid w:val="7A894339"/>
    <w:rsid w:val="7A933556"/>
    <w:rsid w:val="7AD284E8"/>
    <w:rsid w:val="7AFF7572"/>
    <w:rsid w:val="7B65510B"/>
    <w:rsid w:val="7B6C59DB"/>
    <w:rsid w:val="7B6C7DFB"/>
    <w:rsid w:val="7BBFBED0"/>
    <w:rsid w:val="7BC3E394"/>
    <w:rsid w:val="7C1F3737"/>
    <w:rsid w:val="7CBFC87B"/>
    <w:rsid w:val="7CFE0F48"/>
    <w:rsid w:val="7D272ABC"/>
    <w:rsid w:val="7D7EC23E"/>
    <w:rsid w:val="7D985E2A"/>
    <w:rsid w:val="7DC46119"/>
    <w:rsid w:val="7E8ADEBF"/>
    <w:rsid w:val="7EEF11D3"/>
    <w:rsid w:val="7EF205A6"/>
    <w:rsid w:val="7EFE4840"/>
    <w:rsid w:val="7F0971A6"/>
    <w:rsid w:val="7F1D62E7"/>
    <w:rsid w:val="7F3F679B"/>
    <w:rsid w:val="7F437511"/>
    <w:rsid w:val="7F4FC4EF"/>
    <w:rsid w:val="7F5E4D54"/>
    <w:rsid w:val="7F6E0135"/>
    <w:rsid w:val="7F79F205"/>
    <w:rsid w:val="7FA30C79"/>
    <w:rsid w:val="7FA79C44"/>
    <w:rsid w:val="7FAF8ABF"/>
    <w:rsid w:val="7FB504D5"/>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6"/>
    <w:autoRedefine/>
    <w:qFormat/>
    <w:uiPriority w:val="99"/>
    <w:pPr>
      <w:spacing w:beforeLines="30"/>
    </w:pPr>
    <w:rPr>
      <w:rFonts w:ascii="仿宋_GB2312" w:eastAsia="仿宋_GB2312"/>
      <w:kern w:val="0"/>
      <w:sz w:val="30"/>
    </w:rPr>
  </w:style>
  <w:style w:type="paragraph" w:styleId="6">
    <w:name w:val="Body Text Indent"/>
    <w:basedOn w:val="1"/>
    <w:next w:val="7"/>
    <w:autoRedefine/>
    <w:qFormat/>
    <w:uiPriority w:val="0"/>
    <w:pPr>
      <w:spacing w:after="120"/>
      <w:ind w:leftChars="200"/>
    </w:pPr>
    <w:rPr>
      <w:rFonts w:ascii="仿宋_GB2312"/>
      <w:szCs w:val="32"/>
    </w:rPr>
  </w:style>
  <w:style w:type="paragraph" w:styleId="7">
    <w:name w:val="Body Text First Indent 2"/>
    <w:basedOn w:val="6"/>
    <w:autoRedefine/>
    <w:unhideWhenUsed/>
    <w:qFormat/>
    <w:uiPriority w:val="99"/>
    <w:pPr>
      <w:ind w:firstLine="420" w:firstLineChars="200"/>
    </w:p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autoRedefine/>
    <w:semiHidden/>
    <w:qFormat/>
    <w:uiPriority w:val="0"/>
    <w:pPr>
      <w:snapToGrid w:val="0"/>
      <w:jc w:val="left"/>
    </w:pPr>
    <w:rPr>
      <w:sz w:val="18"/>
      <w:szCs w:val="1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autoRedefine/>
    <w:semiHidden/>
    <w:qFormat/>
    <w:uiPriority w:val="99"/>
    <w:rPr>
      <w:rFonts w:ascii="Times New Roman" w:hAnsi="Times New Roman"/>
      <w:sz w:val="18"/>
      <w:szCs w:val="18"/>
    </w:rPr>
  </w:style>
  <w:style w:type="character" w:customStyle="1" w:styleId="22">
    <w:name w:val="页眉 Char"/>
    <w:link w:val="11"/>
    <w:autoRedefine/>
    <w:semiHidden/>
    <w:qFormat/>
    <w:locked/>
    <w:uiPriority w:val="99"/>
    <w:rPr>
      <w:sz w:val="18"/>
    </w:rPr>
  </w:style>
  <w:style w:type="character" w:customStyle="1" w:styleId="23">
    <w:name w:val="Footer Char"/>
    <w:basedOn w:val="17"/>
    <w:autoRedefine/>
    <w:semiHidden/>
    <w:qFormat/>
    <w:uiPriority w:val="99"/>
    <w:rPr>
      <w:rFonts w:ascii="Times New Roman" w:hAnsi="Times New Roman"/>
      <w:sz w:val="18"/>
      <w:szCs w:val="18"/>
    </w:rPr>
  </w:style>
  <w:style w:type="character" w:customStyle="1" w:styleId="24">
    <w:name w:val="页脚 Char"/>
    <w:link w:val="10"/>
    <w:autoRedefine/>
    <w:qFormat/>
    <w:locked/>
    <w:uiPriority w:val="99"/>
    <w:rPr>
      <w:sz w:val="18"/>
    </w:rPr>
  </w:style>
  <w:style w:type="character" w:customStyle="1" w:styleId="25">
    <w:name w:val="Body Text Char"/>
    <w:basedOn w:val="17"/>
    <w:autoRedefine/>
    <w:semiHidden/>
    <w:qFormat/>
    <w:uiPriority w:val="99"/>
    <w:rPr>
      <w:rFonts w:ascii="Times New Roman" w:hAnsi="Times New Roman"/>
      <w:szCs w:val="24"/>
    </w:rPr>
  </w:style>
  <w:style w:type="character" w:customStyle="1" w:styleId="26">
    <w:name w:val="正文文本 Char"/>
    <w:link w:val="2"/>
    <w:autoRedefine/>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31"/>
    <w:basedOn w:val="17"/>
    <w:qFormat/>
    <w:uiPriority w:val="0"/>
    <w:rPr>
      <w:rFonts w:hint="eastAsia" w:ascii="宋体" w:hAnsi="宋体" w:eastAsia="宋体" w:cs="宋体"/>
      <w:color w:val="000000"/>
      <w:sz w:val="18"/>
      <w:szCs w:val="18"/>
      <w:u w:val="none"/>
    </w:rPr>
  </w:style>
  <w:style w:type="character" w:customStyle="1" w:styleId="37">
    <w:name w:val="font111"/>
    <w:basedOn w:val="17"/>
    <w:qFormat/>
    <w:uiPriority w:val="0"/>
    <w:rPr>
      <w:rFonts w:ascii="Arial" w:hAnsi="Arial" w:cs="Arial"/>
      <w:color w:val="000000"/>
      <w:sz w:val="18"/>
      <w:szCs w:val="18"/>
      <w:u w:val="none"/>
    </w:rPr>
  </w:style>
  <w:style w:type="paragraph" w:customStyle="1" w:styleId="38">
    <w:name w:val="大标题下备注"/>
    <w:basedOn w:val="1"/>
    <w:qFormat/>
    <w:uiPriority w:val="0"/>
    <w:pPr>
      <w:ind w:firstLine="0" w:firstLineChars="0"/>
      <w:jc w:val="center"/>
    </w:pPr>
    <w:rPr>
      <w:rFonts w:ascii="方正仿宋_GBK" w:hAnsi="宋体" w:eastAsia="方正仿宋_GBK" w:cs="仿宋"/>
      <w:color w:val="000000"/>
      <w:kern w:val="0"/>
      <w:sz w:val="30"/>
      <w:szCs w:val="30"/>
    </w:rPr>
  </w:style>
  <w:style w:type="character" w:customStyle="1" w:styleId="39">
    <w:name w:val="15"/>
    <w:basedOn w:val="17"/>
    <w:qFormat/>
    <w:uiPriority w:val="0"/>
    <w:rPr>
      <w:rFonts w:hint="default" w:ascii="Times New Roman" w:hAnsi="Times New Roman" w:eastAsia="仿宋_GB2312" w:cs="Times New Roman"/>
    </w:rPr>
  </w:style>
  <w:style w:type="character" w:customStyle="1" w:styleId="40">
    <w:name w:val="font101"/>
    <w:basedOn w:val="17"/>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11</Pages>
  <Words>1228</Words>
  <Characters>1360</Characters>
  <Lines>61</Lines>
  <Paragraphs>17</Paragraphs>
  <TotalTime>22</TotalTime>
  <ScaleCrop>false</ScaleCrop>
  <LinksUpToDate>false</LinksUpToDate>
  <CharactersWithSpaces>1361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2025-10-14T09:25:00Z</cp:lastPrinted>
  <dcterms:modified xsi:type="dcterms:W3CDTF">2025-10-20T14:08:38Z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E9DD1FE442DD434ABE15D3A47A09A1E3_13</vt:lpwstr>
  </property>
  <property fmtid="{D5CDD505-2E9C-101B-9397-08002B2CF9AE}" pid="4" name="KSOTemplateDocerSaveRecord">
    <vt:lpwstr>eyJoZGlkIjoiNjExMWNiNzBmYmI3YTM2M2E4ZTQzMTRjYTZkZGQwNzkifQ==</vt:lpwstr>
  </property>
</Properties>
</file>