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B8FBF">
      <w:pPr>
        <w:keepNext w:val="0"/>
        <w:keepLines w:val="0"/>
        <w:pageBreakBefore w:val="0"/>
        <w:kinsoku/>
        <w:wordWrap/>
        <w:overflowPunct/>
        <w:topLinePunct w:val="0"/>
        <w:autoSpaceDE/>
        <w:autoSpaceDN/>
        <w:bidi w:val="0"/>
        <w:spacing w:line="578" w:lineRule="exact"/>
        <w:ind w:firstLine="320" w:firstLineChars="100"/>
        <w:contextualSpacing/>
        <w:textAlignment w:val="auto"/>
        <w:outlineLvl w:val="9"/>
        <w:rPr>
          <w:rFonts w:hint="default" w:ascii="Times New Roman" w:hAnsi="Times New Roman" w:eastAsia="黑体" w:cs="Times New Roman"/>
          <w:szCs w:val="32"/>
          <w:highlight w:val="none"/>
          <w:lang w:val="en-US" w:eastAsia="zh-CN"/>
        </w:rPr>
      </w:pPr>
      <w:bookmarkStart w:id="2" w:name="_GoBack"/>
      <w:bookmarkEnd w:id="2"/>
      <w:r>
        <w:rPr>
          <w:rFonts w:hint="default" w:ascii="Times New Roman" w:hAnsi="Times New Roman" w:eastAsia="黑体" w:cs="Times New Roman"/>
          <w:szCs w:val="32"/>
          <w:highlight w:val="none"/>
          <w:lang w:val="zh-CN"/>
        </w:rPr>
        <w:t>附件</w:t>
      </w:r>
      <w:r>
        <w:rPr>
          <w:rFonts w:hint="default" w:ascii="Times New Roman" w:hAnsi="Times New Roman" w:eastAsia="黑体" w:cs="Times New Roman"/>
          <w:szCs w:val="32"/>
          <w:highlight w:val="none"/>
          <w:lang w:val="en-US" w:eastAsia="zh-CN"/>
        </w:rPr>
        <w:t>2</w:t>
      </w:r>
    </w:p>
    <w:p w14:paraId="77C759A1">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Cs w:val="32"/>
          <w:highlight w:val="none"/>
          <w:lang w:val="zh-CN" w:eastAsia="zh-CN"/>
        </w:rPr>
      </w:pPr>
    </w:p>
    <w:p w14:paraId="4F0B021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lang w:eastAsia="zh-CN"/>
        </w:rPr>
      </w:pPr>
      <w:r>
        <w:rPr>
          <w:rFonts w:hint="eastAsia" w:ascii="方正小标宋_GBK" w:hAnsi="方正小标宋_GBK" w:eastAsia="方正小标宋_GBK" w:cs="方正小标宋_GBK"/>
          <w:b w:val="0"/>
          <w:bCs/>
          <w:sz w:val="44"/>
          <w:szCs w:val="44"/>
          <w:highlight w:val="none"/>
          <w:shd w:val="clear" w:color="auto" w:fill="FFFFFF"/>
          <w:lang w:eastAsia="zh-CN"/>
        </w:rPr>
        <w:t>渠县李馥镇人民政府关于报送</w:t>
      </w:r>
      <w:r>
        <w:rPr>
          <w:rFonts w:hint="eastAsia" w:ascii="方正小标宋_GBK" w:hAnsi="方正小标宋_GBK" w:eastAsia="方正小标宋_GBK" w:cs="方正小标宋_GBK"/>
          <w:b w:val="0"/>
          <w:bCs/>
          <w:sz w:val="44"/>
          <w:szCs w:val="44"/>
          <w:highlight w:val="none"/>
          <w:shd w:val="clear" w:color="auto" w:fill="FFFFFF"/>
          <w:lang w:val="en-US" w:eastAsia="zh-CN"/>
        </w:rPr>
        <w:t>2023年</w:t>
      </w:r>
      <w:r>
        <w:rPr>
          <w:rFonts w:hint="eastAsia" w:ascii="方正小标宋_GBK" w:hAnsi="方正小标宋_GBK" w:eastAsia="方正小标宋_GBK" w:cs="方正小标宋_GBK"/>
          <w:b w:val="0"/>
          <w:bCs/>
          <w:sz w:val="44"/>
          <w:szCs w:val="44"/>
          <w:highlight w:val="none"/>
          <w:shd w:val="clear" w:color="auto" w:fill="FFFFFF"/>
        </w:rPr>
        <w:t>部门</w:t>
      </w:r>
      <w:r>
        <w:rPr>
          <w:rFonts w:hint="eastAsia" w:ascii="方正小标宋_GBK" w:hAnsi="方正小标宋_GBK" w:eastAsia="方正小标宋_GBK" w:cs="方正小标宋_GBK"/>
          <w:b w:val="0"/>
          <w:bCs/>
          <w:sz w:val="44"/>
          <w:szCs w:val="44"/>
          <w:highlight w:val="none"/>
          <w:shd w:val="clear" w:color="auto" w:fill="FFFFFF"/>
          <w:lang w:eastAsia="zh-CN"/>
        </w:rPr>
        <w:t>整体支出</w:t>
      </w:r>
      <w:r>
        <w:rPr>
          <w:rFonts w:hint="eastAsia" w:ascii="方正小标宋_GBK" w:hAnsi="方正小标宋_GBK" w:eastAsia="方正小标宋_GBK" w:cs="方正小标宋_GBK"/>
          <w:b w:val="0"/>
          <w:bCs/>
          <w:sz w:val="44"/>
          <w:szCs w:val="44"/>
          <w:highlight w:val="none"/>
          <w:shd w:val="clear" w:color="auto" w:fill="FFFFFF"/>
        </w:rPr>
        <w:t>绩效</w:t>
      </w:r>
      <w:r>
        <w:rPr>
          <w:rFonts w:hint="eastAsia" w:ascii="方正小标宋_GBK" w:hAnsi="方正小标宋_GBK" w:eastAsia="方正小标宋_GBK" w:cs="方正小标宋_GBK"/>
          <w:b w:val="0"/>
          <w:bCs/>
          <w:sz w:val="44"/>
          <w:szCs w:val="44"/>
          <w:highlight w:val="none"/>
          <w:shd w:val="clear" w:color="auto" w:fill="FFFFFF"/>
          <w:lang w:eastAsia="zh-CN"/>
        </w:rPr>
        <w:t>自评的</w:t>
      </w:r>
    </w:p>
    <w:p w14:paraId="621C4FF7">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ascii="方正小标宋_GBK" w:hAnsi="方正小标宋_GBK" w:eastAsia="方正小标宋_GBK" w:cs="方正小标宋_GBK"/>
          <w:b w:val="0"/>
          <w:bCs/>
          <w:sz w:val="44"/>
          <w:szCs w:val="44"/>
          <w:highlight w:val="none"/>
          <w:shd w:val="clear" w:color="auto" w:fill="FFFFFF"/>
        </w:rPr>
        <w:t>报</w:t>
      </w:r>
      <w:r>
        <w:rPr>
          <w:rFonts w:hint="eastAsia" w:ascii="方正小标宋_GBK" w:hAnsi="方正小标宋_GBK" w:eastAsia="方正小标宋_GBK" w:cs="方正小标宋_GBK"/>
          <w:b w:val="0"/>
          <w:bCs/>
          <w:sz w:val="44"/>
          <w:szCs w:val="44"/>
          <w:highlight w:val="none"/>
          <w:shd w:val="clear" w:color="auto" w:fill="FFFFFF"/>
          <w:lang w:val="en-US" w:eastAsia="zh-CN"/>
        </w:rPr>
        <w:t xml:space="preserve">  </w:t>
      </w:r>
      <w:r>
        <w:rPr>
          <w:rFonts w:hint="eastAsia" w:ascii="方正小标宋_GBK" w:hAnsi="方正小标宋_GBK" w:eastAsia="方正小标宋_GBK" w:cs="方正小标宋_GBK"/>
          <w:b w:val="0"/>
          <w:bCs/>
          <w:sz w:val="44"/>
          <w:szCs w:val="44"/>
          <w:highlight w:val="none"/>
          <w:shd w:val="clear" w:color="auto" w:fill="FFFFFF"/>
        </w:rPr>
        <w:t>告</w:t>
      </w:r>
    </w:p>
    <w:p w14:paraId="5723C2A4">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宋体" w:cs="Times New Roman"/>
          <w:b/>
          <w:sz w:val="44"/>
          <w:szCs w:val="44"/>
          <w:highlight w:val="none"/>
          <w:shd w:val="clear" w:color="auto" w:fill="FFFFFF"/>
        </w:rPr>
      </w:pPr>
    </w:p>
    <w:p w14:paraId="554B577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渠县财政局：</w:t>
      </w:r>
    </w:p>
    <w:p w14:paraId="04CC23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kern w:val="0"/>
          <w:sz w:val="32"/>
          <w:szCs w:val="32"/>
          <w:highlight w:val="none"/>
          <w:shd w:val="clear" w:color="auto" w:fill="FFFFFF"/>
        </w:rPr>
      </w:pPr>
      <w:r>
        <w:rPr>
          <w:rFonts w:hint="eastAsia" w:ascii="方正仿宋_GBK" w:hAnsi="方正仿宋_GBK" w:eastAsia="方正仿宋_GBK" w:cs="方正仿宋_GBK"/>
          <w:sz w:val="32"/>
          <w:szCs w:val="32"/>
          <w:lang w:val="en-US" w:eastAsia="zh-CN"/>
        </w:rPr>
        <w:t>按照渠县财政局《关于开展2024年县级部门绩效自评工作的通知》（渠财绩〔2024〕11号）要求，李馥镇人民政府积极开展2023年部门整体支出绩效自评工作，形成2023年部门整体支出绩效自评报告。</w:t>
      </w:r>
    </w:p>
    <w:p w14:paraId="0F90ED7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14:paraId="529A35C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val="0"/>
          <w:bCs w:val="0"/>
          <w:color w:val="000000"/>
          <w:kern w:val="0"/>
          <w:szCs w:val="32"/>
          <w:highlight w:val="none"/>
          <w:shd w:val="clear" w:color="auto" w:fill="FFFFFF"/>
          <w:lang w:val="zh-CN"/>
        </w:rPr>
      </w:pPr>
      <w:r>
        <w:rPr>
          <w:rFonts w:hint="eastAsia" w:eastAsia="楷体_GB2312" w:cs="Times New Roman"/>
          <w:b w:val="0"/>
          <w:bCs w:val="0"/>
          <w:color w:val="000000"/>
          <w:kern w:val="0"/>
          <w:szCs w:val="32"/>
          <w:highlight w:val="none"/>
          <w:shd w:val="clear" w:color="auto" w:fill="FFFFFF"/>
          <w:lang w:val="zh-CN"/>
        </w:rPr>
        <w:t>（一）</w:t>
      </w:r>
      <w:r>
        <w:rPr>
          <w:rFonts w:hint="default" w:ascii="Times New Roman" w:hAnsi="Times New Roman" w:eastAsia="楷体_GB2312" w:cs="Times New Roman"/>
          <w:b w:val="0"/>
          <w:bCs w:val="0"/>
          <w:color w:val="000000"/>
          <w:kern w:val="0"/>
          <w:szCs w:val="32"/>
          <w:highlight w:val="none"/>
          <w:shd w:val="clear" w:color="auto" w:fill="FFFFFF"/>
          <w:lang w:val="zh-CN"/>
        </w:rPr>
        <w:t>机构组成。</w:t>
      </w:r>
    </w:p>
    <w:p w14:paraId="3D981941">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渠县</w:t>
      </w:r>
      <w:r>
        <w:rPr>
          <w:rFonts w:hint="eastAsia" w:ascii="Times New Roman" w:cs="Times New Roman"/>
          <w:lang w:val="en-US" w:eastAsia="zh-CN"/>
        </w:rPr>
        <w:t>李馥镇人民政府</w:t>
      </w:r>
      <w:r>
        <w:rPr>
          <w:rFonts w:hint="default" w:ascii="Times New Roman" w:hAnsi="Times New Roman" w:cs="Times New Roman"/>
          <w:lang w:val="en-US" w:eastAsia="zh-CN"/>
        </w:rPr>
        <w:t>为独立核算的行政单位，是一级预算单位</w:t>
      </w:r>
      <w:r>
        <w:rPr>
          <w:rFonts w:hint="eastAsia" w:ascii="Times New Roman" w:hAnsi="Times New Roman" w:cs="Times New Roman"/>
          <w:lang w:val="en-US" w:eastAsia="zh-CN"/>
        </w:rPr>
        <w:t>，</w:t>
      </w:r>
      <w:r>
        <w:rPr>
          <w:rFonts w:hint="default" w:ascii="Times New Roman" w:hAnsi="Times New Roman" w:cs="Times New Roman"/>
          <w:lang w:val="en-US" w:eastAsia="zh-CN"/>
        </w:rPr>
        <w:t>其中内设党政综合办事机构</w:t>
      </w:r>
      <w:r>
        <w:rPr>
          <w:rFonts w:hint="eastAsia" w:ascii="Times New Roman" w:cs="Times New Roman"/>
          <w:lang w:val="en-US" w:eastAsia="zh-CN"/>
        </w:rPr>
        <w:t>8</w:t>
      </w:r>
      <w:r>
        <w:rPr>
          <w:rFonts w:hint="default" w:ascii="Times New Roman" w:hAnsi="Times New Roman" w:cs="Times New Roman"/>
          <w:lang w:val="en-US" w:eastAsia="zh-CN"/>
        </w:rPr>
        <w:t>个，具体为：</w:t>
      </w:r>
      <w:r>
        <w:rPr>
          <w:rFonts w:hint="eastAsia" w:ascii="Times New Roman" w:cs="Times New Roman"/>
          <w:lang w:val="en-US" w:eastAsia="zh-CN"/>
        </w:rPr>
        <w:t>党政综合</w:t>
      </w:r>
      <w:r>
        <w:rPr>
          <w:rFonts w:hint="default" w:ascii="Times New Roman" w:hAnsi="Times New Roman" w:cs="Times New Roman"/>
          <w:lang w:val="en-US" w:eastAsia="zh-CN"/>
        </w:rPr>
        <w:t>办公室、党建办公室、综合执法办公室、经济发展</w:t>
      </w:r>
      <w:r>
        <w:rPr>
          <w:rFonts w:hint="eastAsia" w:ascii="Times New Roman" w:cs="Times New Roman"/>
          <w:lang w:val="en-US" w:eastAsia="zh-CN"/>
        </w:rPr>
        <w:t>与统计</w:t>
      </w:r>
      <w:r>
        <w:rPr>
          <w:rFonts w:hint="default" w:ascii="Times New Roman" w:hAnsi="Times New Roman" w:cs="Times New Roman"/>
          <w:lang w:val="en-US" w:eastAsia="zh-CN"/>
        </w:rPr>
        <w:t>办公室、</w:t>
      </w:r>
      <w:r>
        <w:rPr>
          <w:rFonts w:hint="eastAsia" w:ascii="Times New Roman" w:cs="Times New Roman"/>
          <w:lang w:val="en-US" w:eastAsia="zh-CN"/>
        </w:rPr>
        <w:t>社会事务办公室、</w:t>
      </w:r>
      <w:r>
        <w:rPr>
          <w:rFonts w:hint="default" w:ascii="Times New Roman" w:hAnsi="Times New Roman" w:cs="Times New Roman"/>
          <w:lang w:val="en-US" w:eastAsia="zh-CN"/>
        </w:rPr>
        <w:t>应急管理</w:t>
      </w:r>
      <w:r>
        <w:rPr>
          <w:rFonts w:hint="eastAsia" w:ascii="Times New Roman" w:cs="Times New Roman"/>
          <w:lang w:val="en-US" w:eastAsia="zh-CN"/>
        </w:rPr>
        <w:t>和社会治理</w:t>
      </w:r>
      <w:r>
        <w:rPr>
          <w:rFonts w:hint="default" w:ascii="Times New Roman" w:hAnsi="Times New Roman" w:cs="Times New Roman"/>
          <w:lang w:val="en-US" w:eastAsia="zh-CN"/>
        </w:rPr>
        <w:t>办公室</w:t>
      </w:r>
      <w:r>
        <w:rPr>
          <w:rFonts w:hint="eastAsia" w:ascii="Times New Roman" w:cs="Times New Roman"/>
          <w:lang w:val="en-US" w:eastAsia="zh-CN"/>
        </w:rPr>
        <w:t>、社区建设管理办公室</w:t>
      </w:r>
      <w:r>
        <w:rPr>
          <w:rFonts w:hint="default" w:ascii="Times New Roman" w:hAnsi="Times New Roman" w:cs="Times New Roman"/>
          <w:lang w:val="en-US" w:eastAsia="zh-CN"/>
        </w:rPr>
        <w:t>、</w:t>
      </w:r>
      <w:r>
        <w:rPr>
          <w:rFonts w:hint="eastAsia" w:ascii="Times New Roman" w:cs="Times New Roman"/>
          <w:lang w:val="en-US" w:eastAsia="zh-CN"/>
        </w:rPr>
        <w:t>财政所</w:t>
      </w:r>
      <w:r>
        <w:rPr>
          <w:rFonts w:hint="eastAsia" w:ascii="Times New Roman" w:hAnsi="Times New Roman" w:cs="Times New Roman"/>
          <w:lang w:val="en-US" w:eastAsia="zh-CN"/>
        </w:rPr>
        <w:t>；公益一类事业单位</w:t>
      </w:r>
      <w:r>
        <w:rPr>
          <w:rFonts w:hint="eastAsia" w:ascii="Times New Roman" w:cs="Times New Roman"/>
          <w:lang w:val="en-US" w:eastAsia="zh-CN"/>
        </w:rPr>
        <w:t>4</w:t>
      </w:r>
      <w:r>
        <w:rPr>
          <w:rFonts w:hint="eastAsia" w:ascii="Times New Roman" w:hAnsi="Times New Roman" w:cs="Times New Roman"/>
          <w:lang w:val="en-US" w:eastAsia="zh-CN"/>
        </w:rPr>
        <w:t>个，具体为：便民服务中心、农民工服务中心、农业综合服务中心、村镇建设综合服务中心。</w:t>
      </w:r>
      <w:r>
        <w:rPr>
          <w:rFonts w:hint="default" w:ascii="Times New Roman" w:hAnsi="Times New Roman" w:cs="Times New Roman"/>
          <w:lang w:val="en-US" w:eastAsia="zh-CN"/>
        </w:rPr>
        <w:t>辖</w:t>
      </w:r>
      <w:r>
        <w:rPr>
          <w:rFonts w:hint="eastAsia" w:ascii="Times New Roman" w:cs="Times New Roman"/>
          <w:lang w:val="en-US" w:eastAsia="zh-CN"/>
        </w:rPr>
        <w:t>7</w:t>
      </w:r>
      <w:r>
        <w:rPr>
          <w:rFonts w:hint="default" w:ascii="Times New Roman" w:hAnsi="Times New Roman" w:cs="Times New Roman"/>
          <w:lang w:val="en-US" w:eastAsia="zh-CN"/>
        </w:rPr>
        <w:t>个村民委员会、</w:t>
      </w:r>
      <w:r>
        <w:rPr>
          <w:rFonts w:hint="eastAsia" w:ascii="Times New Roman" w:cs="Times New Roman"/>
          <w:lang w:val="en-US" w:eastAsia="zh-CN"/>
        </w:rPr>
        <w:t>2</w:t>
      </w:r>
      <w:r>
        <w:rPr>
          <w:rFonts w:hint="default" w:ascii="Times New Roman" w:hAnsi="Times New Roman" w:cs="Times New Roman"/>
          <w:lang w:val="en-US" w:eastAsia="zh-CN"/>
        </w:rPr>
        <w:t>个社区居民委员会。</w:t>
      </w:r>
    </w:p>
    <w:p w14:paraId="522C97FB">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楷体_GB2312" w:cs="Times New Roman"/>
          <w:b w:val="0"/>
          <w:bCs w:val="0"/>
          <w:color w:val="000000"/>
          <w:kern w:val="0"/>
          <w:szCs w:val="32"/>
          <w:highlight w:val="none"/>
          <w:shd w:val="clear" w:color="auto" w:fill="FFFFFF"/>
          <w:lang w:val="zh-CN"/>
        </w:rPr>
      </w:pPr>
      <w:r>
        <w:rPr>
          <w:rFonts w:hint="default" w:ascii="Times New Roman" w:hAnsi="Times New Roman" w:eastAsia="楷体_GB2312" w:cs="Times New Roman"/>
          <w:b w:val="0"/>
          <w:bCs w:val="0"/>
          <w:color w:val="000000"/>
          <w:kern w:val="0"/>
          <w:szCs w:val="32"/>
          <w:highlight w:val="none"/>
          <w:shd w:val="clear" w:color="auto" w:fill="FFFFFF"/>
          <w:lang w:val="zh-CN"/>
        </w:rPr>
        <w:t>机构职能</w:t>
      </w:r>
      <w:r>
        <w:rPr>
          <w:rFonts w:hint="eastAsia" w:eastAsia="楷体_GB2312" w:cs="Times New Roman"/>
          <w:b w:val="0"/>
          <w:bCs w:val="0"/>
          <w:color w:val="000000"/>
          <w:kern w:val="0"/>
          <w:szCs w:val="32"/>
          <w:highlight w:val="none"/>
          <w:shd w:val="clear" w:color="auto" w:fill="FFFFFF"/>
          <w:lang w:val="zh-CN"/>
        </w:rPr>
        <w:t>。</w:t>
      </w:r>
    </w:p>
    <w:p w14:paraId="7474CDD5">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落实政策。宣传、落实好党的路线、方针、政策和国家的法律、法规，稳定农村基本经济制度</w:t>
      </w:r>
      <w:r>
        <w:rPr>
          <w:rFonts w:hint="eastAsia" w:ascii="Times New Roman" w:hAnsi="Times New Roman" w:cs="Times New Roman"/>
          <w:lang w:val="en-US" w:eastAsia="zh-CN"/>
        </w:rPr>
        <w:t>，</w:t>
      </w:r>
      <w:r>
        <w:rPr>
          <w:rFonts w:hint="default" w:ascii="Times New Roman" w:hAnsi="Times New Roman" w:cs="Times New Roman"/>
          <w:lang w:val="en-US" w:eastAsia="zh-CN"/>
        </w:rPr>
        <w:t>坚持依法行政，推进政务公开，加强对村</w:t>
      </w:r>
      <w:r>
        <w:rPr>
          <w:rFonts w:hint="eastAsia" w:ascii="Times New Roman" w:cs="Times New Roman"/>
          <w:lang w:val="en-US" w:eastAsia="zh-CN"/>
        </w:rPr>
        <w:t>（居）</w:t>
      </w:r>
      <w:r>
        <w:rPr>
          <w:rFonts w:hint="default" w:ascii="Times New Roman" w:hAnsi="Times New Roman" w:cs="Times New Roman"/>
          <w:lang w:val="en-US" w:eastAsia="zh-CN"/>
        </w:rPr>
        <w:t>民委员会的指导，提高、培育村</w:t>
      </w:r>
      <w:r>
        <w:rPr>
          <w:rFonts w:hint="eastAsia" w:ascii="Times New Roman" w:cs="Times New Roman"/>
          <w:lang w:val="en-US" w:eastAsia="zh-CN"/>
        </w:rPr>
        <w:t>（居）</w:t>
      </w:r>
      <w:r>
        <w:rPr>
          <w:rFonts w:hint="default" w:ascii="Times New Roman" w:hAnsi="Times New Roman" w:cs="Times New Roman"/>
          <w:lang w:val="en-US" w:eastAsia="zh-CN"/>
        </w:rPr>
        <w:t>民委员会自治能力。</w:t>
      </w:r>
    </w:p>
    <w:p w14:paraId="0D90FB5E">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促进发展。科学制定发展规划，营造经济发展环境，加强市场监督、培育、提升市场功能，搞活市场流通，推广农业技术，完善农业社会化服务体系，引导农民发展现代农业，调整产业结构，加强农村劳动力技能培训</w:t>
      </w:r>
      <w:r>
        <w:rPr>
          <w:rFonts w:hint="eastAsia" w:ascii="Times New Roman" w:hAnsi="Times New Roman" w:cs="Times New Roman"/>
          <w:lang w:val="en-US" w:eastAsia="zh-CN"/>
        </w:rPr>
        <w:t>，</w:t>
      </w:r>
      <w:r>
        <w:rPr>
          <w:rFonts w:hint="default" w:ascii="Times New Roman" w:hAnsi="Times New Roman" w:cs="Times New Roman"/>
          <w:lang w:val="en-US" w:eastAsia="zh-CN"/>
        </w:rPr>
        <w:t>引导农村劳动力转移和就业</w:t>
      </w:r>
      <w:r>
        <w:rPr>
          <w:rFonts w:hint="eastAsia" w:ascii="Times New Roman" w:hAnsi="Times New Roman" w:cs="Times New Roman"/>
          <w:lang w:val="en-US" w:eastAsia="zh-CN"/>
        </w:rPr>
        <w:t>，</w:t>
      </w:r>
      <w:r>
        <w:rPr>
          <w:rFonts w:hint="default" w:ascii="Times New Roman" w:hAnsi="Times New Roman" w:cs="Times New Roman"/>
          <w:lang w:val="en-US" w:eastAsia="zh-CN"/>
        </w:rPr>
        <w:t>不断提高社会主义新农村建设水平。</w:t>
      </w:r>
    </w:p>
    <w:p w14:paraId="72AB9A4D">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维护稳定。坚持“立党为公，执政为民”，紧紧围绕实现和维护群众利益开展工作，突出解决人民群众最关心、最直接、最现实的利益问题。加强和巩固基层政权建设和民主</w:t>
      </w:r>
      <w:r>
        <w:rPr>
          <w:rFonts w:hint="eastAsia" w:ascii="Times New Roman" w:cs="Times New Roman"/>
          <w:lang w:val="en-US" w:eastAsia="zh-CN"/>
        </w:rPr>
        <w:t>法治建设</w:t>
      </w:r>
      <w:r>
        <w:rPr>
          <w:rFonts w:hint="default" w:ascii="Times New Roman" w:hAnsi="Times New Roman" w:cs="Times New Roman"/>
          <w:lang w:val="en-US" w:eastAsia="zh-CN"/>
        </w:rPr>
        <w:t>，加强社会治安综合治理，加强对突发事件的预警和管理，建立、健全各种应急机制，加强民事纠纷调解，化解社会矛盾，开展农村脱贫户帮扶和社会救助，切实保障农民合法权益，维护农村社会稳定。</w:t>
      </w:r>
    </w:p>
    <w:p w14:paraId="27F3CA52">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加强管理。加强民政、教育、科技、文化、卫生、安全生产、劳动保障和乡村规划等社会管理，加强社会主义精神文明建设，做好防灾减灾工作，加强环境保护，改善农村人居环境，提高农村人口素质和农民生活质量。</w:t>
      </w:r>
    </w:p>
    <w:p w14:paraId="0A1376AE">
      <w:pPr>
        <w:pStyle w:val="11"/>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提供服务</w:t>
      </w:r>
      <w:r>
        <w:rPr>
          <w:rFonts w:hint="eastAsia" w:ascii="Times New Roman" w:hAnsi="Times New Roman" w:cs="Times New Roman"/>
          <w:lang w:val="en-US" w:eastAsia="zh-CN"/>
        </w:rPr>
        <w:t>。</w:t>
      </w:r>
      <w:r>
        <w:rPr>
          <w:rFonts w:hint="default" w:ascii="Times New Roman" w:hAnsi="Times New Roman" w:cs="Times New Roman"/>
          <w:lang w:val="en-US" w:eastAsia="zh-CN"/>
        </w:rPr>
        <w:t>进一步发展和完善农业社会化服务体系</w:t>
      </w:r>
      <w:r>
        <w:rPr>
          <w:rFonts w:hint="eastAsia" w:ascii="Times New Roman" w:hAnsi="Times New Roman" w:cs="Times New Roman"/>
          <w:lang w:val="en-US" w:eastAsia="zh-CN"/>
        </w:rPr>
        <w:t>，</w:t>
      </w:r>
      <w:r>
        <w:rPr>
          <w:rFonts w:hint="default" w:ascii="Times New Roman" w:hAnsi="Times New Roman" w:cs="Times New Roman"/>
          <w:lang w:val="en-US" w:eastAsia="zh-CN"/>
        </w:rPr>
        <w:t>引导各类协会和农村专业合作经济组织发展</w:t>
      </w:r>
      <w:r>
        <w:rPr>
          <w:rFonts w:hint="eastAsia" w:ascii="Times New Roman" w:hAnsi="Times New Roman" w:cs="Times New Roman"/>
          <w:lang w:val="en-US" w:eastAsia="zh-CN"/>
        </w:rPr>
        <w:t>，</w:t>
      </w:r>
      <w:r>
        <w:rPr>
          <w:rFonts w:hint="default" w:ascii="Times New Roman" w:hAnsi="Times New Roman" w:cs="Times New Roman"/>
          <w:lang w:val="en-US" w:eastAsia="zh-CN"/>
        </w:rPr>
        <w:t>充分发挥其作用</w:t>
      </w:r>
      <w:r>
        <w:rPr>
          <w:rFonts w:hint="eastAsia" w:ascii="Times New Roman" w:hAnsi="Times New Roman" w:cs="Times New Roman"/>
          <w:lang w:val="en-US" w:eastAsia="zh-CN"/>
        </w:rPr>
        <w:t>，</w:t>
      </w:r>
      <w:r>
        <w:rPr>
          <w:rFonts w:hint="default" w:ascii="Times New Roman" w:hAnsi="Times New Roman" w:cs="Times New Roman"/>
          <w:lang w:val="en-US" w:eastAsia="zh-CN"/>
        </w:rPr>
        <w:t>发展农村社会公益事业和集体公益事业，加强农村基础设施建设，增加公共产品，提供政策、科技、市场信息和社会救济、救助服务，及时向上级党委、政府反映社情民意，进一步密切党和政府与人民群众的关系。</w:t>
      </w:r>
    </w:p>
    <w:p w14:paraId="68CC1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楷体_GB2312" w:cs="Times New Roman"/>
          <w:b w:val="0"/>
          <w:bCs w:val="0"/>
          <w:color w:val="000000"/>
          <w:kern w:val="0"/>
          <w:szCs w:val="32"/>
          <w:highlight w:val="none"/>
          <w:shd w:val="clear" w:color="auto" w:fill="FFFFFF"/>
          <w:lang w:val="zh-CN"/>
        </w:rPr>
      </w:pPr>
      <w:r>
        <w:rPr>
          <w:rFonts w:hint="default" w:ascii="Times New Roman" w:hAnsi="Times New Roman" w:eastAsia="楷体_GB2312" w:cs="Times New Roman"/>
          <w:b w:val="0"/>
          <w:bCs w:val="0"/>
          <w:color w:val="000000"/>
          <w:kern w:val="0"/>
          <w:szCs w:val="32"/>
          <w:highlight w:val="none"/>
          <w:shd w:val="clear" w:color="auto" w:fill="FFFFFF"/>
          <w:lang w:val="zh-CN"/>
        </w:rPr>
        <w:t>（</w:t>
      </w:r>
      <w:r>
        <w:rPr>
          <w:rFonts w:hint="eastAsia" w:eastAsia="楷体_GB2312" w:cs="Times New Roman"/>
          <w:b w:val="0"/>
          <w:bCs w:val="0"/>
          <w:color w:val="000000"/>
          <w:kern w:val="0"/>
          <w:szCs w:val="32"/>
          <w:highlight w:val="none"/>
          <w:shd w:val="clear" w:color="auto" w:fill="FFFFFF"/>
          <w:lang w:val="zh-CN"/>
        </w:rPr>
        <w:t>三</w:t>
      </w:r>
      <w:r>
        <w:rPr>
          <w:rFonts w:hint="default" w:ascii="Times New Roman" w:hAnsi="Times New Roman" w:eastAsia="楷体_GB2312" w:cs="Times New Roman"/>
          <w:b w:val="0"/>
          <w:bCs w:val="0"/>
          <w:color w:val="000000"/>
          <w:kern w:val="0"/>
          <w:szCs w:val="32"/>
          <w:highlight w:val="none"/>
          <w:shd w:val="clear" w:color="auto" w:fill="FFFFFF"/>
          <w:lang w:val="zh-CN"/>
        </w:rPr>
        <w:t>）人员概况</w:t>
      </w:r>
      <w:r>
        <w:rPr>
          <w:rFonts w:hint="eastAsia" w:eastAsia="楷体_GB2312" w:cs="Times New Roman"/>
          <w:b w:val="0"/>
          <w:bCs w:val="0"/>
          <w:color w:val="000000"/>
          <w:kern w:val="0"/>
          <w:szCs w:val="32"/>
          <w:highlight w:val="none"/>
          <w:shd w:val="clear" w:color="auto" w:fill="FFFFFF"/>
          <w:lang w:val="zh-CN"/>
        </w:rPr>
        <w:t>。</w:t>
      </w:r>
    </w:p>
    <w:p w14:paraId="143455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en-US" w:eastAsia="zh-CN"/>
        </w:rPr>
      </w:pPr>
      <w:r>
        <w:rPr>
          <w:rFonts w:hint="default" w:ascii="Times New Roman" w:hAnsi="Times New Roman" w:cs="Times New Roman"/>
          <w:szCs w:val="32"/>
        </w:rPr>
        <w:t>截至202</w:t>
      </w:r>
      <w:r>
        <w:rPr>
          <w:rFonts w:hint="eastAsia" w:ascii="Times New Roman" w:hAnsi="Times New Roman" w:cs="Times New Roman"/>
          <w:szCs w:val="32"/>
          <w:lang w:val="en-US" w:eastAsia="zh-CN"/>
        </w:rPr>
        <w:t>3</w:t>
      </w:r>
      <w:r>
        <w:rPr>
          <w:rFonts w:hint="default" w:ascii="Times New Roman" w:hAnsi="Times New Roman" w:cs="Times New Roman"/>
          <w:szCs w:val="32"/>
        </w:rPr>
        <w:t>年末，</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办事处</w:t>
      </w:r>
      <w:r>
        <w:rPr>
          <w:rFonts w:hint="eastAsia" w:cs="Times New Roman"/>
          <w:szCs w:val="32"/>
          <w:lang w:val="en-US" w:eastAsia="zh-CN"/>
        </w:rPr>
        <w:t>编制总数51</w:t>
      </w:r>
      <w:r>
        <w:rPr>
          <w:rFonts w:hint="eastAsia" w:ascii="Times New Roman" w:hAnsi="Times New Roman" w:cs="Times New Roman"/>
          <w:szCs w:val="32"/>
          <w:lang w:val="en-US" w:eastAsia="zh-CN"/>
        </w:rPr>
        <w:t>人，其中行政</w:t>
      </w:r>
      <w:r>
        <w:rPr>
          <w:rFonts w:hint="eastAsia" w:cs="Times New Roman"/>
          <w:szCs w:val="32"/>
          <w:lang w:val="en-US" w:eastAsia="zh-CN"/>
        </w:rPr>
        <w:t>编制27</w:t>
      </w:r>
      <w:r>
        <w:rPr>
          <w:rFonts w:hint="eastAsia" w:ascii="Times New Roman" w:hAnsi="Times New Roman" w:cs="Times New Roman"/>
          <w:szCs w:val="32"/>
          <w:lang w:val="en-US" w:eastAsia="zh-CN"/>
        </w:rPr>
        <w:t>人</w:t>
      </w:r>
      <w:r>
        <w:rPr>
          <w:rFonts w:hint="eastAsia" w:cs="Times New Roman"/>
          <w:szCs w:val="32"/>
          <w:lang w:val="en-US" w:eastAsia="zh-CN"/>
        </w:rPr>
        <w:t>，</w:t>
      </w:r>
      <w:r>
        <w:rPr>
          <w:rFonts w:hint="eastAsia" w:ascii="Times New Roman" w:hAnsi="Times New Roman" w:cs="Times New Roman"/>
          <w:szCs w:val="32"/>
          <w:lang w:val="en-US" w:eastAsia="zh-CN"/>
        </w:rPr>
        <w:t>事业</w:t>
      </w:r>
      <w:r>
        <w:rPr>
          <w:rFonts w:hint="eastAsia" w:cs="Times New Roman"/>
          <w:szCs w:val="32"/>
          <w:lang w:val="en-US" w:eastAsia="zh-CN"/>
        </w:rPr>
        <w:t>编制21</w:t>
      </w:r>
      <w:r>
        <w:rPr>
          <w:rFonts w:hint="eastAsia" w:ascii="Times New Roman" w:hAnsi="Times New Roman" w:cs="Times New Roman"/>
          <w:szCs w:val="32"/>
          <w:lang w:val="en-US" w:eastAsia="zh-CN"/>
        </w:rPr>
        <w:t>人</w:t>
      </w:r>
      <w:r>
        <w:rPr>
          <w:rFonts w:hint="eastAsia" w:cs="Times New Roman"/>
          <w:szCs w:val="32"/>
          <w:lang w:val="en-US" w:eastAsia="zh-CN"/>
        </w:rPr>
        <w:t>，</w:t>
      </w:r>
      <w:r>
        <w:rPr>
          <w:rFonts w:hint="eastAsia" w:ascii="Times New Roman" w:hAnsi="Times New Roman" w:cs="Times New Roman"/>
          <w:szCs w:val="32"/>
          <w:lang w:val="en-US" w:eastAsia="zh-CN"/>
        </w:rPr>
        <w:t>工勤</w:t>
      </w:r>
      <w:r>
        <w:rPr>
          <w:rFonts w:hint="eastAsia" w:cs="Times New Roman"/>
          <w:szCs w:val="32"/>
          <w:lang w:val="en-US" w:eastAsia="zh-CN"/>
        </w:rPr>
        <w:t>编制3人。实际财政供养人员87人，在职53人，遗属9人，</w:t>
      </w:r>
      <w:r>
        <w:rPr>
          <w:rFonts w:hint="eastAsia" w:ascii="Times New Roman" w:hAnsi="Times New Roman" w:cs="Times New Roman"/>
          <w:szCs w:val="32"/>
          <w:lang w:val="en-US" w:eastAsia="zh-CN"/>
        </w:rPr>
        <w:t>退休</w:t>
      </w:r>
      <w:r>
        <w:rPr>
          <w:rFonts w:hint="eastAsia" w:cs="Times New Roman"/>
          <w:szCs w:val="32"/>
          <w:lang w:val="en-US" w:eastAsia="zh-CN"/>
        </w:rPr>
        <w:t>25</w:t>
      </w:r>
      <w:r>
        <w:rPr>
          <w:rFonts w:hint="eastAsia" w:ascii="Times New Roman" w:hAnsi="Times New Roman" w:cs="Times New Roman"/>
          <w:szCs w:val="32"/>
          <w:lang w:val="en-US" w:eastAsia="zh-CN"/>
        </w:rPr>
        <w:t>人。</w:t>
      </w:r>
    </w:p>
    <w:p w14:paraId="3F4DF566">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14:paraId="5156D37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val="0"/>
          <w:bCs w:val="0"/>
          <w:color w:val="000000"/>
          <w:kern w:val="0"/>
          <w:szCs w:val="32"/>
          <w:highlight w:val="none"/>
          <w:shd w:val="clear" w:color="auto" w:fill="FFFFFF"/>
          <w:lang w:val="zh-CN"/>
        </w:rPr>
      </w:pPr>
      <w:r>
        <w:rPr>
          <w:rFonts w:hint="default" w:ascii="Times New Roman" w:hAnsi="Times New Roman" w:eastAsia="楷体_GB2312" w:cs="Times New Roman"/>
          <w:b w:val="0"/>
          <w:bCs w:val="0"/>
          <w:color w:val="000000"/>
          <w:kern w:val="0"/>
          <w:szCs w:val="32"/>
          <w:highlight w:val="none"/>
          <w:shd w:val="clear" w:color="auto" w:fill="FFFFFF"/>
          <w:lang w:val="zh-CN"/>
        </w:rPr>
        <w:t>（一）</w:t>
      </w:r>
      <w:r>
        <w:rPr>
          <w:rFonts w:hint="eastAsia" w:eastAsia="楷体_GB2312" w:cs="Times New Roman"/>
          <w:b w:val="0"/>
          <w:bCs w:val="0"/>
          <w:color w:val="000000"/>
          <w:kern w:val="0"/>
          <w:szCs w:val="32"/>
          <w:highlight w:val="none"/>
          <w:shd w:val="clear" w:color="auto" w:fill="FFFFFF"/>
          <w:lang w:val="zh-CN"/>
        </w:rPr>
        <w:t>收入情况</w:t>
      </w:r>
      <w:r>
        <w:rPr>
          <w:rFonts w:hint="default" w:ascii="Times New Roman" w:hAnsi="Times New Roman" w:eastAsia="楷体_GB2312" w:cs="Times New Roman"/>
          <w:b w:val="0"/>
          <w:bCs w:val="0"/>
          <w:color w:val="000000"/>
          <w:kern w:val="0"/>
          <w:szCs w:val="32"/>
          <w:highlight w:val="none"/>
          <w:shd w:val="clear" w:color="auto" w:fill="FFFFFF"/>
          <w:lang w:val="zh-CN"/>
        </w:rPr>
        <w:t>。</w:t>
      </w:r>
    </w:p>
    <w:p w14:paraId="2CA07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2023年</w:t>
      </w:r>
      <w:r>
        <w:rPr>
          <w:szCs w:val="32"/>
        </w:rPr>
        <w:t>部门财政资金收入年初预算</w:t>
      </w:r>
      <w:r>
        <w:rPr>
          <w:rFonts w:hint="eastAsia"/>
          <w:szCs w:val="32"/>
          <w:lang w:val="en-US" w:eastAsia="zh-CN"/>
        </w:rPr>
        <w:t>1288.21万元，中期调整增加581.89万元，调整后财政资金预算收入1816.12万元，</w:t>
      </w:r>
      <w:r>
        <w:rPr>
          <w:rFonts w:hint="eastAsia"/>
        </w:rPr>
        <w:t>其中：</w:t>
      </w:r>
      <w:r>
        <w:rPr>
          <w:rFonts w:hint="eastAsia"/>
          <w:lang w:eastAsia="zh-CN"/>
        </w:rPr>
        <w:t>一般公共预算财政拨款收入</w:t>
      </w:r>
      <w:r>
        <w:rPr>
          <w:rFonts w:hint="eastAsia"/>
          <w:lang w:val="en-US" w:eastAsia="zh-CN"/>
        </w:rPr>
        <w:t>1743.52</w:t>
      </w:r>
      <w:r>
        <w:rPr>
          <w:rFonts w:hint="eastAsia"/>
          <w:color w:val="auto"/>
          <w:highlight w:val="none"/>
        </w:rPr>
        <w:t>万元，占</w:t>
      </w:r>
      <w:r>
        <w:rPr>
          <w:rFonts w:hint="eastAsia"/>
          <w:color w:val="auto"/>
          <w:highlight w:val="none"/>
          <w:lang w:val="en-US" w:eastAsia="zh-CN"/>
        </w:rPr>
        <w:t>95.99</w:t>
      </w:r>
      <w:r>
        <w:rPr>
          <w:rFonts w:hint="eastAsia"/>
          <w:color w:val="auto"/>
          <w:highlight w:val="none"/>
        </w:rPr>
        <w:t>%</w:t>
      </w:r>
      <w:r>
        <w:rPr>
          <w:rFonts w:hint="eastAsia"/>
          <w:color w:val="auto"/>
          <w:highlight w:val="none"/>
          <w:lang w:eastAsia="zh-CN"/>
        </w:rPr>
        <w:t>；政府性基金预算财政拨款收入</w:t>
      </w:r>
      <w:r>
        <w:rPr>
          <w:rFonts w:hint="eastAsia"/>
          <w:color w:val="auto"/>
          <w:highlight w:val="none"/>
          <w:lang w:val="en-US" w:eastAsia="zh-CN"/>
        </w:rPr>
        <w:t>72.69万元，占4.01%</w:t>
      </w:r>
      <w:r>
        <w:rPr>
          <w:rFonts w:hint="eastAsia"/>
          <w:color w:val="auto"/>
          <w:highlight w:val="none"/>
          <w:lang w:eastAsia="zh-CN"/>
        </w:rPr>
        <w:t>；</w:t>
      </w:r>
      <w:r>
        <w:rPr>
          <w:rFonts w:hint="eastAsia"/>
          <w:color w:val="auto"/>
          <w:highlight w:val="none"/>
        </w:rPr>
        <w:t>国有资本经营预算财政拨款收入</w:t>
      </w:r>
      <w:r>
        <w:rPr>
          <w:rFonts w:hint="eastAsia"/>
          <w:lang w:val="en-US" w:eastAsia="zh-CN"/>
        </w:rPr>
        <w:t>0.1</w:t>
      </w:r>
      <w:r>
        <w:rPr>
          <w:rFonts w:hint="eastAsia"/>
          <w:color w:val="auto"/>
          <w:highlight w:val="none"/>
        </w:rPr>
        <w:t>万元，占</w:t>
      </w:r>
      <w:r>
        <w:rPr>
          <w:rFonts w:hint="eastAsia"/>
          <w:lang w:val="en-US" w:eastAsia="zh-CN"/>
        </w:rPr>
        <w:t>0.001</w:t>
      </w:r>
      <w:r>
        <w:rPr>
          <w:rFonts w:hint="eastAsia"/>
          <w:color w:val="auto"/>
          <w:highlight w:val="none"/>
        </w:rPr>
        <w:t>%</w:t>
      </w:r>
      <w:r>
        <w:rPr>
          <w:rFonts w:hint="eastAsia"/>
          <w:szCs w:val="32"/>
          <w:lang w:val="en-US" w:eastAsia="zh-CN"/>
        </w:rPr>
        <w:t>。</w:t>
      </w:r>
    </w:p>
    <w:p w14:paraId="3FE1B43C">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default" w:ascii="Times New Roman" w:hAnsi="Times New Roman" w:eastAsia="楷体_GB2312" w:cs="Times New Roman"/>
          <w:b w:val="0"/>
          <w:bCs w:val="0"/>
          <w:color w:val="000000"/>
          <w:kern w:val="0"/>
          <w:szCs w:val="32"/>
          <w:highlight w:val="none"/>
          <w:shd w:val="clear" w:color="auto" w:fill="FFFFFF"/>
          <w:lang w:val="zh-CN"/>
        </w:rPr>
      </w:pPr>
      <w:r>
        <w:rPr>
          <w:rFonts w:hint="eastAsia" w:eastAsia="楷体_GB2312" w:cs="Times New Roman"/>
          <w:b w:val="0"/>
          <w:bCs w:val="0"/>
          <w:color w:val="000000"/>
          <w:kern w:val="0"/>
          <w:szCs w:val="32"/>
          <w:highlight w:val="none"/>
          <w:shd w:val="clear" w:color="auto" w:fill="FFFFFF"/>
          <w:lang w:val="zh-CN"/>
        </w:rPr>
        <w:t>支出情况</w:t>
      </w:r>
      <w:r>
        <w:rPr>
          <w:rFonts w:hint="default" w:ascii="Times New Roman" w:hAnsi="Times New Roman" w:eastAsia="楷体_GB2312" w:cs="Times New Roman"/>
          <w:b w:val="0"/>
          <w:bCs w:val="0"/>
          <w:color w:val="000000"/>
          <w:kern w:val="0"/>
          <w:szCs w:val="32"/>
          <w:highlight w:val="none"/>
          <w:shd w:val="clear" w:color="auto" w:fill="FFFFFF"/>
          <w:lang w:val="zh-CN"/>
        </w:rPr>
        <w:t>。</w:t>
      </w:r>
    </w:p>
    <w:p w14:paraId="5AE70D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default" w:ascii="Times New Roman" w:hAnsi="Times New Roman" w:cs="Times New Roman"/>
          <w:szCs w:val="32"/>
          <w:lang w:val="zh-CN" w:eastAsia="zh-CN"/>
        </w:rPr>
        <w:t>2023年部门财政资金决算支出合计</w:t>
      </w:r>
      <w:r>
        <w:rPr>
          <w:rFonts w:hint="eastAsia" w:cs="Times New Roman"/>
          <w:szCs w:val="32"/>
          <w:lang w:val="en-US" w:eastAsia="zh-CN"/>
        </w:rPr>
        <w:t>1816.32</w:t>
      </w:r>
      <w:r>
        <w:rPr>
          <w:rFonts w:hint="default" w:ascii="Times New Roman" w:hAnsi="Times New Roman" w:cs="Times New Roman"/>
          <w:szCs w:val="32"/>
          <w:lang w:val="zh-CN" w:eastAsia="zh-CN"/>
        </w:rPr>
        <w:t>万元，整体执行进度</w:t>
      </w:r>
      <w:r>
        <w:rPr>
          <w:rFonts w:hint="eastAsia" w:cs="Times New Roman"/>
          <w:szCs w:val="32"/>
          <w:lang w:val="en-US" w:eastAsia="zh-CN"/>
        </w:rPr>
        <w:t>100</w:t>
      </w:r>
      <w:r>
        <w:rPr>
          <w:rFonts w:hint="default" w:ascii="Times New Roman" w:hAnsi="Times New Roman" w:cs="Times New Roman"/>
          <w:szCs w:val="32"/>
          <w:lang w:val="zh-CN" w:eastAsia="zh-CN"/>
        </w:rPr>
        <w:t>%。其中：基本支出</w:t>
      </w:r>
      <w:r>
        <w:rPr>
          <w:rFonts w:hint="eastAsia" w:cs="Times New Roman"/>
          <w:szCs w:val="32"/>
          <w:lang w:val="en-US" w:eastAsia="zh-CN"/>
        </w:rPr>
        <w:t>1255.13</w:t>
      </w:r>
      <w:r>
        <w:rPr>
          <w:rFonts w:hint="default" w:ascii="Times New Roman" w:hAnsi="Times New Roman" w:cs="Times New Roman"/>
          <w:szCs w:val="32"/>
          <w:lang w:val="zh-CN" w:eastAsia="zh-CN"/>
        </w:rPr>
        <w:t>万元，执行率</w:t>
      </w:r>
      <w:r>
        <w:rPr>
          <w:rFonts w:hint="eastAsia" w:cs="Times New Roman"/>
          <w:szCs w:val="32"/>
          <w:lang w:val="en-US" w:eastAsia="zh-CN"/>
        </w:rPr>
        <w:t>100</w:t>
      </w:r>
      <w:r>
        <w:rPr>
          <w:rFonts w:hint="default" w:ascii="Times New Roman" w:hAnsi="Times New Roman" w:cs="Times New Roman"/>
          <w:szCs w:val="32"/>
          <w:lang w:val="zh-CN" w:eastAsia="zh-CN"/>
        </w:rPr>
        <w:t>%；项目支出</w:t>
      </w:r>
      <w:r>
        <w:rPr>
          <w:rFonts w:hint="eastAsia" w:cs="Times New Roman"/>
          <w:szCs w:val="32"/>
          <w:lang w:val="en-US" w:eastAsia="zh-CN"/>
        </w:rPr>
        <w:t>561.19</w:t>
      </w:r>
      <w:r>
        <w:rPr>
          <w:rFonts w:hint="default" w:ascii="Times New Roman" w:hAnsi="Times New Roman" w:cs="Times New Roman"/>
          <w:szCs w:val="32"/>
          <w:lang w:val="zh-CN" w:eastAsia="zh-CN"/>
        </w:rPr>
        <w:t>万元，执行率</w:t>
      </w:r>
      <w:r>
        <w:rPr>
          <w:rFonts w:hint="eastAsia" w:cs="Times New Roman"/>
          <w:szCs w:val="32"/>
          <w:lang w:val="en-US" w:eastAsia="zh-CN"/>
        </w:rPr>
        <w:t>100</w:t>
      </w:r>
      <w:r>
        <w:rPr>
          <w:rFonts w:hint="default" w:ascii="Times New Roman" w:hAnsi="Times New Roman" w:cs="Times New Roman"/>
          <w:szCs w:val="32"/>
          <w:lang w:val="zh-CN" w:eastAsia="zh-CN"/>
        </w:rPr>
        <w:t>%。</w:t>
      </w:r>
    </w:p>
    <w:p w14:paraId="3E2AF5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zh-CN" w:eastAsia="zh-CN"/>
        </w:rPr>
      </w:pPr>
      <w:r>
        <w:rPr>
          <w:rFonts w:hint="default" w:ascii="Times New Roman" w:hAnsi="Times New Roman" w:cs="Times New Roman"/>
          <w:szCs w:val="32"/>
          <w:lang w:val="zh-CN" w:eastAsia="zh-CN"/>
        </w:rPr>
        <w:t>根据预算管理一体化平台，</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default" w:ascii="Times New Roman" w:hAnsi="Times New Roman" w:cs="Times New Roman"/>
          <w:szCs w:val="32"/>
          <w:lang w:val="zh-CN" w:eastAsia="zh-CN"/>
        </w:rPr>
        <w:t>2023年涉及上级专项资金</w:t>
      </w:r>
      <w:r>
        <w:rPr>
          <w:rFonts w:hint="eastAsia" w:cs="Times New Roman"/>
          <w:szCs w:val="32"/>
          <w:lang w:val="en-US" w:eastAsia="zh-CN"/>
        </w:rPr>
        <w:t>14.5</w:t>
      </w:r>
      <w:r>
        <w:rPr>
          <w:rFonts w:hint="default" w:ascii="Times New Roman" w:hAnsi="Times New Roman" w:cs="Times New Roman"/>
          <w:szCs w:val="32"/>
          <w:lang w:val="zh-CN" w:eastAsia="zh-CN"/>
        </w:rPr>
        <w:t>万元，实际执行</w:t>
      </w:r>
      <w:r>
        <w:rPr>
          <w:rFonts w:hint="eastAsia" w:cs="Times New Roman"/>
          <w:szCs w:val="32"/>
          <w:lang w:val="en-US" w:eastAsia="zh-CN"/>
        </w:rPr>
        <w:t>14.5</w:t>
      </w:r>
      <w:r>
        <w:rPr>
          <w:rFonts w:hint="default" w:ascii="Times New Roman" w:hAnsi="Times New Roman" w:cs="Times New Roman"/>
          <w:szCs w:val="32"/>
          <w:lang w:val="zh-CN" w:eastAsia="zh-CN"/>
        </w:rPr>
        <w:t>万元，预算执行率</w:t>
      </w:r>
      <w:r>
        <w:rPr>
          <w:rFonts w:hint="eastAsia" w:cs="Times New Roman"/>
          <w:szCs w:val="32"/>
          <w:lang w:val="en-US" w:eastAsia="zh-CN"/>
        </w:rPr>
        <w:t>100</w:t>
      </w:r>
      <w:r>
        <w:rPr>
          <w:rFonts w:hint="default" w:ascii="Times New Roman" w:hAnsi="Times New Roman" w:cs="Times New Roman"/>
          <w:szCs w:val="32"/>
          <w:lang w:val="zh-CN" w:eastAsia="zh-CN"/>
        </w:rPr>
        <w:t>%。</w:t>
      </w:r>
    </w:p>
    <w:p w14:paraId="1150E419">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Times New Roman" w:hAnsi="Times New Roman" w:eastAsia="楷体_GB2312" w:cs="Times New Roman"/>
          <w:b w:val="0"/>
          <w:bCs/>
          <w:szCs w:val="32"/>
          <w:lang w:eastAsia="zh-CN"/>
        </w:rPr>
      </w:pPr>
      <w:r>
        <w:rPr>
          <w:rFonts w:hint="default" w:ascii="Times New Roman" w:hAnsi="Times New Roman" w:eastAsia="楷体_GB2312" w:cs="Times New Roman"/>
          <w:b w:val="0"/>
          <w:bCs/>
          <w:szCs w:val="32"/>
        </w:rPr>
        <w:t>结余分配和结转结余情况</w:t>
      </w:r>
      <w:r>
        <w:rPr>
          <w:rFonts w:hint="eastAsia" w:ascii="Times New Roman" w:hAnsi="Times New Roman" w:eastAsia="楷体_GB2312" w:cs="Times New Roman"/>
          <w:b w:val="0"/>
          <w:bCs/>
          <w:szCs w:val="32"/>
          <w:lang w:eastAsia="zh-CN"/>
        </w:rPr>
        <w:t>。</w:t>
      </w:r>
    </w:p>
    <w:p w14:paraId="55967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zh-CN" w:eastAsia="zh-CN"/>
        </w:rPr>
      </w:pPr>
      <w:r>
        <w:rPr>
          <w:szCs w:val="32"/>
        </w:rPr>
        <w:t>决算报表反映，</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default" w:ascii="Times New Roman" w:hAnsi="Times New Roman" w:cs="Times New Roman"/>
          <w:szCs w:val="32"/>
          <w:lang w:val="zh-CN" w:eastAsia="zh-CN"/>
        </w:rPr>
        <w:t>202</w:t>
      </w:r>
      <w:r>
        <w:rPr>
          <w:rFonts w:hint="eastAsia" w:ascii="Times New Roman" w:hAnsi="Times New Roman" w:cs="Times New Roman"/>
          <w:szCs w:val="32"/>
          <w:lang w:val="en-US" w:eastAsia="zh-CN"/>
        </w:rPr>
        <w:t>3</w:t>
      </w:r>
      <w:r>
        <w:rPr>
          <w:szCs w:val="32"/>
        </w:rPr>
        <w:t>年末结余分配0万元，年末结转结余</w:t>
      </w:r>
      <w:r>
        <w:rPr>
          <w:rFonts w:hint="eastAsia"/>
          <w:szCs w:val="32"/>
          <w:lang w:val="en-US" w:eastAsia="zh-CN"/>
        </w:rPr>
        <w:t>0</w:t>
      </w:r>
      <w:r>
        <w:rPr>
          <w:szCs w:val="32"/>
        </w:rPr>
        <w:t>万元。</w:t>
      </w:r>
    </w:p>
    <w:p w14:paraId="0370ED7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14:paraId="6EBA6BB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b w:val="0"/>
          <w:bCs w:val="0"/>
          <w:color w:val="000000"/>
          <w:kern w:val="0"/>
          <w:szCs w:val="32"/>
          <w:highlight w:val="none"/>
          <w:shd w:val="clear" w:color="auto" w:fill="FFFFFF"/>
          <w:lang w:val="zh-CN"/>
        </w:rPr>
      </w:pPr>
      <w:r>
        <w:rPr>
          <w:rFonts w:hint="default" w:ascii="Times New Roman" w:hAnsi="Times New Roman" w:eastAsia="楷体_GB2312" w:cs="Times New Roman"/>
          <w:b w:val="0"/>
          <w:bCs w:val="0"/>
          <w:color w:val="000000"/>
          <w:kern w:val="0"/>
          <w:szCs w:val="32"/>
          <w:highlight w:val="none"/>
          <w:shd w:val="clear" w:color="auto" w:fill="FFFFFF"/>
          <w:lang w:val="zh-CN"/>
        </w:rPr>
        <w:t>（一）</w:t>
      </w:r>
      <w:r>
        <w:rPr>
          <w:rFonts w:hint="eastAsia" w:eastAsia="楷体_GB2312" w:cs="Times New Roman"/>
          <w:b w:val="0"/>
          <w:bCs w:val="0"/>
          <w:color w:val="000000"/>
          <w:kern w:val="0"/>
          <w:szCs w:val="32"/>
          <w:highlight w:val="none"/>
          <w:shd w:val="clear" w:color="auto" w:fill="FFFFFF"/>
          <w:lang w:val="zh-CN"/>
        </w:rPr>
        <w:t>部门预算</w:t>
      </w:r>
      <w:r>
        <w:rPr>
          <w:rFonts w:hint="default" w:ascii="Times New Roman" w:hAnsi="Times New Roman" w:eastAsia="楷体_GB2312" w:cs="Times New Roman"/>
          <w:b w:val="0"/>
          <w:bCs w:val="0"/>
          <w:color w:val="000000"/>
          <w:kern w:val="0"/>
          <w:szCs w:val="32"/>
          <w:highlight w:val="none"/>
          <w:shd w:val="clear" w:color="auto" w:fill="FFFFFF"/>
          <w:lang w:val="zh-CN"/>
        </w:rPr>
        <w:t>总体绩效分析。</w:t>
      </w:r>
    </w:p>
    <w:p w14:paraId="290F7D9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履职效能。（</w:t>
      </w:r>
      <w:r>
        <w:rPr>
          <w:rFonts w:hint="eastAsia" w:ascii="楷体_GB2312" w:hAnsi="楷体_GB2312" w:eastAsia="楷体_GB2312" w:cs="楷体_GB2312"/>
          <w:color w:val="000000"/>
          <w:kern w:val="0"/>
          <w:szCs w:val="32"/>
          <w:highlight w:val="none"/>
          <w:shd w:val="clear" w:color="auto" w:fill="FFFFFF"/>
          <w:lang w:val="en-US" w:eastAsia="zh-CN"/>
        </w:rPr>
        <w:t>14分）</w:t>
      </w:r>
    </w:p>
    <w:p w14:paraId="4D896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1</w:t>
      </w:r>
      <w:r>
        <w:rPr>
          <w:rFonts w:hint="eastAsia" w:ascii="Times New Roman" w:hAnsi="Times New Roman" w:cs="Times New Roman"/>
          <w:szCs w:val="32"/>
          <w:lang w:val="zh-CN" w:eastAsia="zh-CN"/>
        </w:rPr>
        <w:t>）党建工作履职效能</w:t>
      </w:r>
      <w:r>
        <w:rPr>
          <w:rFonts w:hint="eastAsia" w:cs="Times New Roman"/>
          <w:szCs w:val="32"/>
          <w:lang w:val="zh-CN" w:eastAsia="zh-CN"/>
        </w:rPr>
        <w:t>。（</w:t>
      </w:r>
      <w:r>
        <w:rPr>
          <w:rFonts w:hint="eastAsia" w:cs="Times New Roman"/>
          <w:szCs w:val="32"/>
          <w:lang w:val="en-US" w:eastAsia="zh-CN"/>
        </w:rPr>
        <w:t>5分）</w:t>
      </w:r>
    </w:p>
    <w:p w14:paraId="454750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r>
        <w:rPr>
          <w:rFonts w:hint="eastAsia" w:ascii="Times New Roman" w:hAnsi="Times New Roman" w:cs="Times New Roman"/>
          <w:szCs w:val="32"/>
          <w:lang w:val="zh-CN" w:eastAsia="zh-CN"/>
        </w:rPr>
        <w:t>筑牢思想防线，注重党员干部意识形态教育，严格落实习近平新时代中国特色社会主义思想第一议题，深学细悟，扎实开展党委中心组理论学习、“三会一课”、主题党日等组织活动，自觉</w:t>
      </w:r>
      <w:r>
        <w:rPr>
          <w:rFonts w:hint="eastAsia" w:cs="Times New Roman"/>
          <w:szCs w:val="32"/>
          <w:lang w:val="zh-CN" w:eastAsia="zh-CN"/>
        </w:rPr>
        <w:t>增强“四个意识”、坚定“四个自信”、做到“两个维护”</w:t>
      </w:r>
      <w:r>
        <w:rPr>
          <w:rFonts w:hint="eastAsia" w:ascii="Times New Roman" w:hAnsi="Times New Roman" w:cs="Times New Roman"/>
          <w:szCs w:val="32"/>
          <w:lang w:val="zh-CN" w:eastAsia="zh-CN"/>
        </w:rPr>
        <w:t>，拥护“两个确立”。全年组织开展中心组学习</w:t>
      </w:r>
      <w:r>
        <w:rPr>
          <w:rFonts w:hint="eastAsia" w:cs="Times New Roman"/>
          <w:szCs w:val="32"/>
          <w:lang w:val="en-US" w:eastAsia="zh-CN"/>
        </w:rPr>
        <w:t>12</w:t>
      </w:r>
      <w:r>
        <w:rPr>
          <w:rFonts w:hint="eastAsia" w:ascii="Times New Roman" w:hAnsi="Times New Roman" w:cs="Times New Roman"/>
          <w:szCs w:val="32"/>
          <w:lang w:val="zh-CN" w:eastAsia="zh-CN"/>
        </w:rPr>
        <w:t>次、专题研讨</w:t>
      </w:r>
      <w:r>
        <w:rPr>
          <w:rFonts w:hint="eastAsia" w:cs="Times New Roman"/>
          <w:szCs w:val="32"/>
          <w:lang w:val="en-US" w:eastAsia="zh-CN"/>
        </w:rPr>
        <w:t>4</w:t>
      </w:r>
      <w:r>
        <w:rPr>
          <w:rFonts w:hint="eastAsia" w:ascii="Times New Roman" w:hAnsi="Times New Roman" w:cs="Times New Roman"/>
          <w:szCs w:val="32"/>
          <w:lang w:val="zh-CN" w:eastAsia="zh-CN"/>
        </w:rPr>
        <w:t>次，专题研究意识形态</w:t>
      </w:r>
      <w:r>
        <w:rPr>
          <w:rFonts w:hint="eastAsia" w:cs="Times New Roman"/>
          <w:szCs w:val="32"/>
          <w:lang w:val="en-US" w:eastAsia="zh-CN"/>
        </w:rPr>
        <w:t>4</w:t>
      </w:r>
      <w:r>
        <w:rPr>
          <w:rFonts w:hint="eastAsia" w:ascii="Times New Roman" w:hAnsi="Times New Roman" w:cs="Times New Roman"/>
          <w:szCs w:val="32"/>
          <w:lang w:val="zh-CN" w:eastAsia="zh-CN"/>
        </w:rPr>
        <w:t>次，街道“学习强国”周排名长期名列全县前茅</w:t>
      </w:r>
      <w:r>
        <w:rPr>
          <w:rFonts w:hint="eastAsia" w:cs="Times New Roman"/>
          <w:szCs w:val="32"/>
          <w:lang w:val="zh-CN" w:eastAsia="zh-CN"/>
        </w:rPr>
        <w:t>，</w:t>
      </w:r>
      <w:r>
        <w:rPr>
          <w:rFonts w:hint="eastAsia" w:cs="Times New Roman"/>
          <w:szCs w:val="32"/>
          <w:lang w:val="en-US" w:eastAsia="zh-CN"/>
        </w:rPr>
        <w:t>有效发挥党组织战斗堡垒作用，党员干部受益率高。</w:t>
      </w:r>
    </w:p>
    <w:p w14:paraId="35237DC4">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r>
        <w:rPr>
          <w:rFonts w:hint="eastAsia" w:ascii="Times New Roman" w:hAnsi="Times New Roman" w:cs="Times New Roman"/>
          <w:szCs w:val="32"/>
          <w:lang w:val="zh-CN" w:eastAsia="zh-CN"/>
        </w:rPr>
        <w:t>安全生产工作履职效能</w:t>
      </w:r>
      <w:r>
        <w:rPr>
          <w:rFonts w:hint="eastAsia" w:cs="Times New Roman"/>
          <w:szCs w:val="32"/>
          <w:lang w:val="zh-CN" w:eastAsia="zh-CN"/>
        </w:rPr>
        <w:t>。（</w:t>
      </w:r>
      <w:r>
        <w:rPr>
          <w:rFonts w:hint="eastAsia" w:cs="Times New Roman"/>
          <w:szCs w:val="32"/>
          <w:lang w:val="en-US" w:eastAsia="zh-CN"/>
        </w:rPr>
        <w:t>4分）</w:t>
      </w:r>
    </w:p>
    <w:p w14:paraId="2FDF59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安全生产压实责任，常态化进行安全排查</w:t>
      </w:r>
      <w:r>
        <w:rPr>
          <w:rFonts w:hint="eastAsia" w:cs="Times New Roman"/>
          <w:szCs w:val="32"/>
          <w:lang w:val="zh-CN" w:eastAsia="zh-CN"/>
        </w:rPr>
        <w:t>，</w:t>
      </w:r>
      <w:r>
        <w:rPr>
          <w:rFonts w:hint="eastAsia" w:ascii="Times New Roman" w:hAnsi="Times New Roman" w:cs="Times New Roman"/>
          <w:szCs w:val="32"/>
          <w:lang w:val="zh-CN" w:eastAsia="zh-CN"/>
        </w:rPr>
        <w:t>开展森林防灭火巡查1</w:t>
      </w:r>
      <w:r>
        <w:rPr>
          <w:rFonts w:hint="eastAsia" w:cs="Times New Roman"/>
          <w:szCs w:val="32"/>
          <w:lang w:val="en-US" w:eastAsia="zh-CN"/>
        </w:rPr>
        <w:t>80</w:t>
      </w:r>
      <w:r>
        <w:rPr>
          <w:rFonts w:hint="eastAsia" w:ascii="Times New Roman" w:hAnsi="Times New Roman" w:cs="Times New Roman"/>
          <w:szCs w:val="32"/>
          <w:lang w:val="zh-CN" w:eastAsia="zh-CN"/>
        </w:rPr>
        <w:t>余次、危化品巡查</w:t>
      </w:r>
      <w:r>
        <w:rPr>
          <w:rFonts w:hint="eastAsia" w:cs="Times New Roman"/>
          <w:szCs w:val="32"/>
          <w:lang w:val="en-US" w:eastAsia="zh-CN"/>
        </w:rPr>
        <w:t>12</w:t>
      </w:r>
      <w:r>
        <w:rPr>
          <w:rFonts w:hint="eastAsia" w:ascii="Times New Roman" w:hAnsi="Times New Roman" w:cs="Times New Roman"/>
          <w:szCs w:val="32"/>
          <w:lang w:val="zh-CN" w:eastAsia="zh-CN"/>
        </w:rPr>
        <w:t>余次、燃气安全巡查</w:t>
      </w:r>
      <w:r>
        <w:rPr>
          <w:rFonts w:hint="eastAsia" w:cs="Times New Roman"/>
          <w:szCs w:val="32"/>
          <w:lang w:val="en-US" w:eastAsia="zh-CN"/>
        </w:rPr>
        <w:t>36</w:t>
      </w:r>
      <w:r>
        <w:rPr>
          <w:rFonts w:hint="eastAsia" w:ascii="Times New Roman" w:hAnsi="Times New Roman" w:cs="Times New Roman"/>
          <w:szCs w:val="32"/>
          <w:lang w:val="zh-CN" w:eastAsia="zh-CN"/>
        </w:rPr>
        <w:t>余次、汛期安全检查</w:t>
      </w:r>
      <w:r>
        <w:rPr>
          <w:rFonts w:hint="eastAsia" w:cs="Times New Roman"/>
          <w:szCs w:val="32"/>
          <w:lang w:val="en-US" w:eastAsia="zh-CN"/>
        </w:rPr>
        <w:t>18</w:t>
      </w:r>
      <w:r>
        <w:rPr>
          <w:rFonts w:hint="eastAsia" w:ascii="Times New Roman" w:hAnsi="Times New Roman" w:cs="Times New Roman"/>
          <w:szCs w:val="32"/>
          <w:lang w:val="zh-CN" w:eastAsia="zh-CN"/>
        </w:rPr>
        <w:t>余次、消防安全检查</w:t>
      </w:r>
      <w:r>
        <w:rPr>
          <w:rFonts w:hint="eastAsia" w:cs="Times New Roman"/>
          <w:szCs w:val="32"/>
          <w:lang w:val="en-US" w:eastAsia="zh-CN"/>
        </w:rPr>
        <w:t>15</w:t>
      </w:r>
      <w:r>
        <w:rPr>
          <w:rFonts w:hint="eastAsia" w:ascii="Times New Roman" w:hAnsi="Times New Roman" w:cs="Times New Roman"/>
          <w:szCs w:val="32"/>
          <w:lang w:val="zh-CN" w:eastAsia="zh-CN"/>
        </w:rPr>
        <w:t>余次、在建工地安全巡查</w:t>
      </w:r>
      <w:r>
        <w:rPr>
          <w:rFonts w:hint="eastAsia" w:cs="Times New Roman"/>
          <w:szCs w:val="32"/>
          <w:lang w:val="en-US" w:eastAsia="zh-CN"/>
        </w:rPr>
        <w:t>8</w:t>
      </w:r>
      <w:r>
        <w:rPr>
          <w:rFonts w:hint="eastAsia" w:ascii="Times New Roman" w:hAnsi="Times New Roman" w:cs="Times New Roman"/>
          <w:szCs w:val="32"/>
          <w:lang w:val="zh-CN" w:eastAsia="zh-CN"/>
        </w:rPr>
        <w:t>次，应急演练</w:t>
      </w:r>
      <w:r>
        <w:rPr>
          <w:rFonts w:hint="eastAsia" w:cs="Times New Roman"/>
          <w:szCs w:val="32"/>
          <w:lang w:val="en-US" w:eastAsia="zh-CN"/>
        </w:rPr>
        <w:t>8</w:t>
      </w:r>
      <w:r>
        <w:rPr>
          <w:rFonts w:hint="eastAsia" w:ascii="Times New Roman" w:hAnsi="Times New Roman" w:cs="Times New Roman"/>
          <w:szCs w:val="32"/>
          <w:lang w:val="zh-CN" w:eastAsia="zh-CN"/>
        </w:rPr>
        <w:t>次，落实安全生产宣传</w:t>
      </w:r>
      <w:r>
        <w:rPr>
          <w:rFonts w:hint="eastAsia" w:cs="Times New Roman"/>
          <w:szCs w:val="32"/>
          <w:lang w:val="en-US" w:eastAsia="zh-CN"/>
        </w:rPr>
        <w:t>6</w:t>
      </w:r>
      <w:r>
        <w:rPr>
          <w:rFonts w:hint="eastAsia" w:ascii="Times New Roman" w:hAnsi="Times New Roman" w:cs="Times New Roman"/>
          <w:szCs w:val="32"/>
          <w:lang w:val="zh-CN" w:eastAsia="zh-CN"/>
        </w:rPr>
        <w:t>次、森林防灭火知识宣传次、农村道路交通安全劝导</w:t>
      </w:r>
      <w:r>
        <w:rPr>
          <w:rFonts w:hint="eastAsia" w:cs="Times New Roman"/>
          <w:szCs w:val="32"/>
          <w:lang w:val="en-US" w:eastAsia="zh-CN"/>
        </w:rPr>
        <w:t>480</w:t>
      </w:r>
      <w:r>
        <w:rPr>
          <w:rFonts w:hint="eastAsia" w:ascii="Times New Roman" w:hAnsi="Times New Roman" w:cs="Times New Roman"/>
          <w:szCs w:val="32"/>
          <w:lang w:val="zh-CN" w:eastAsia="zh-CN"/>
        </w:rPr>
        <w:t>余次</w:t>
      </w:r>
      <w:r>
        <w:rPr>
          <w:rFonts w:hint="eastAsia" w:cs="Times New Roman"/>
          <w:szCs w:val="32"/>
          <w:lang w:val="zh-CN" w:eastAsia="zh-CN"/>
        </w:rPr>
        <w:t>，</w:t>
      </w:r>
      <w:r>
        <w:rPr>
          <w:rFonts w:hint="eastAsia" w:cs="Times New Roman"/>
          <w:szCs w:val="32"/>
          <w:lang w:val="en-US" w:eastAsia="zh-CN"/>
        </w:rPr>
        <w:t>有效减少安全事故发生，提高人民群众安全生产意识。</w:t>
      </w:r>
    </w:p>
    <w:p w14:paraId="61BD0820">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cs="Times New Roman"/>
          <w:szCs w:val="32"/>
          <w:lang w:val="en-US" w:eastAsia="zh-CN"/>
        </w:rPr>
      </w:pPr>
      <w:r>
        <w:rPr>
          <w:rFonts w:hint="eastAsia" w:ascii="Times New Roman" w:hAnsi="Times New Roman" w:cs="Times New Roman"/>
          <w:szCs w:val="32"/>
          <w:lang w:val="zh-CN" w:eastAsia="zh-CN"/>
        </w:rPr>
        <w:t>民生民计工作履职效能</w:t>
      </w:r>
      <w:r>
        <w:rPr>
          <w:rFonts w:hint="eastAsia" w:cs="Times New Roman"/>
          <w:szCs w:val="32"/>
          <w:lang w:val="zh-CN" w:eastAsia="zh-CN"/>
        </w:rPr>
        <w:t>。（</w:t>
      </w:r>
      <w:r>
        <w:rPr>
          <w:rFonts w:hint="eastAsia" w:cs="Times New Roman"/>
          <w:szCs w:val="32"/>
          <w:lang w:val="en-US" w:eastAsia="zh-CN"/>
        </w:rPr>
        <w:t>5分）</w:t>
      </w:r>
    </w:p>
    <w:p w14:paraId="545894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kern w:val="0"/>
          <w:szCs w:val="32"/>
          <w:highlight w:val="none"/>
          <w:shd w:val="clear" w:color="auto" w:fill="FFFFFF"/>
          <w:lang w:val="en-US"/>
        </w:rPr>
      </w:pPr>
      <w:r>
        <w:rPr>
          <w:rFonts w:hint="eastAsia" w:ascii="Times New Roman" w:hAnsi="Times New Roman" w:cs="Times New Roman"/>
          <w:szCs w:val="32"/>
          <w:lang w:val="zh-CN" w:eastAsia="zh-CN"/>
        </w:rPr>
        <w:t>高效落实惠民政策，提升社会救助服务水平</w:t>
      </w:r>
      <w:r>
        <w:rPr>
          <w:rFonts w:hint="eastAsia" w:cs="Times New Roman"/>
          <w:szCs w:val="32"/>
          <w:lang w:val="zh-CN" w:eastAsia="zh-CN"/>
        </w:rPr>
        <w:t>，</w:t>
      </w:r>
      <w:r>
        <w:rPr>
          <w:rFonts w:hint="eastAsia" w:ascii="Times New Roman" w:hAnsi="Times New Roman" w:cs="Times New Roman"/>
          <w:szCs w:val="32"/>
          <w:lang w:val="zh-CN" w:eastAsia="zh-CN"/>
        </w:rPr>
        <w:t>以“我为群众办实事、解难事、做好事”“整治群众最不满意10件事”及“群众、企业最期盼解决的事”活动，收集解决好群众“急难愁盼”大小事，推进民生实事办理实施</w:t>
      </w:r>
      <w:r>
        <w:rPr>
          <w:rFonts w:hint="eastAsia" w:cs="Times New Roman"/>
          <w:szCs w:val="32"/>
          <w:lang w:val="zh-CN"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收集民生诉求</w:t>
      </w:r>
      <w:r>
        <w:rPr>
          <w:rFonts w:hint="eastAsia" w:cs="Times New Roman"/>
          <w:b w:val="0"/>
          <w:bCs w:val="0"/>
          <w:color w:val="000000" w:themeColor="text1"/>
          <w:sz w:val="32"/>
          <w:szCs w:val="32"/>
          <w:lang w:val="en-US" w:eastAsia="zh-CN"/>
          <w14:textFill>
            <w14:solidFill>
              <w14:schemeClr w14:val="tx1"/>
            </w14:solidFill>
          </w14:textFill>
        </w:rPr>
        <w:t>643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余条、解决</w:t>
      </w:r>
      <w:r>
        <w:rPr>
          <w:rFonts w:hint="eastAsia" w:cs="Times New Roman"/>
          <w:b w:val="0"/>
          <w:bCs w:val="0"/>
          <w:color w:val="000000" w:themeColor="text1"/>
          <w:sz w:val="32"/>
          <w:szCs w:val="32"/>
          <w:lang w:val="en-US" w:eastAsia="zh-CN"/>
          <w14:textFill>
            <w14:solidFill>
              <w14:schemeClr w14:val="tx1"/>
            </w14:solidFill>
          </w14:textFill>
        </w:rPr>
        <w:t>556</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条，惠及居民</w:t>
      </w:r>
      <w:r>
        <w:rPr>
          <w:rFonts w:hint="eastAsia" w:cs="Times New Roman"/>
          <w:b w:val="0"/>
          <w:bCs w:val="0"/>
          <w:color w:val="000000" w:themeColor="text1"/>
          <w:sz w:val="32"/>
          <w:szCs w:val="32"/>
          <w:lang w:val="en-US" w:eastAsia="zh-CN"/>
          <w14:textFill>
            <w14:solidFill>
              <w14:schemeClr w14:val="tx1"/>
            </w14:solidFill>
          </w14:textFill>
        </w:rPr>
        <w:t>2260余</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人次</w:t>
      </w:r>
      <w:r>
        <w:rPr>
          <w:rFonts w:hint="eastAsia" w:cs="Times New Roman"/>
          <w:b w:val="0"/>
          <w:bCs w:val="0"/>
          <w:color w:val="000000" w:themeColor="text1"/>
          <w:sz w:val="32"/>
          <w:szCs w:val="32"/>
          <w:lang w:val="en-US" w:eastAsia="zh-CN"/>
          <w14:textFill>
            <w14:solidFill>
              <w14:schemeClr w14:val="tx1"/>
            </w14:solidFill>
          </w14:textFill>
        </w:rPr>
        <w:t>，</w:t>
      </w:r>
      <w:r>
        <w:rPr>
          <w:rFonts w:hint="eastAsia" w:cs="Times New Roman"/>
          <w:szCs w:val="32"/>
          <w:lang w:val="en-US" w:eastAsia="zh-CN"/>
        </w:rPr>
        <w:t>对群众需求事项办理及时。</w:t>
      </w:r>
    </w:p>
    <w:p w14:paraId="1BB7015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2.</w:t>
      </w:r>
      <w:r>
        <w:rPr>
          <w:rFonts w:hint="default" w:ascii="楷体_GB2312" w:hAnsi="楷体_GB2312" w:eastAsia="楷体_GB2312" w:cs="楷体_GB2312"/>
          <w:color w:val="000000"/>
          <w:kern w:val="0"/>
          <w:szCs w:val="32"/>
          <w:highlight w:val="none"/>
          <w:shd w:val="clear" w:color="auto" w:fill="FFFFFF"/>
          <w:lang w:val="zh-CN"/>
        </w:rPr>
        <w:t>预算管理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17分）</w:t>
      </w:r>
    </w:p>
    <w:p w14:paraId="08199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1）</w:t>
      </w:r>
      <w:r>
        <w:rPr>
          <w:rFonts w:hint="eastAsia" w:ascii="Times New Roman" w:hAnsi="Times New Roman" w:cs="Times New Roman"/>
          <w:szCs w:val="32"/>
          <w:lang w:val="zh-CN" w:eastAsia="zh-CN"/>
        </w:rPr>
        <w:t>预算编制质量。</w:t>
      </w:r>
      <w:r>
        <w:rPr>
          <w:rFonts w:hint="eastAsia" w:cs="Times New Roman"/>
          <w:szCs w:val="32"/>
          <w:lang w:val="zh-CN" w:eastAsia="zh-CN"/>
        </w:rPr>
        <w:t>（</w:t>
      </w:r>
      <w:r>
        <w:rPr>
          <w:rFonts w:hint="eastAsia" w:cs="Times New Roman"/>
          <w:szCs w:val="32"/>
          <w:lang w:val="en-US" w:eastAsia="zh-CN"/>
        </w:rPr>
        <w:t>7.14分）</w:t>
      </w:r>
    </w:p>
    <w:p w14:paraId="250C9B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cs="Times New Roman"/>
          <w:szCs w:val="32"/>
          <w:lang w:val="zh-CN" w:eastAsia="zh-CN"/>
        </w:rPr>
        <w:t>按照《中华人民共和国预算法》和县财政局部门预算编制通知的有关要求，认真落实国家的方针、政策，严格依法行政，充分发挥经济管理职能。根据单位上报的项目预算，进行分析测算，找准政策支撑，充分论证评估项目必要性、可行性。以基础信息为基准，完善人员经费、公用经费定额标准，调整预算编制口径，确保基本支出足额预算编制。严格落实过紧日子要求，推进预算安排与绩效目标深度融合，综合衡量政策和项目预算资金使用结果，大力削减低效无效资金。</w:t>
      </w:r>
    </w:p>
    <w:p w14:paraId="6F4706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zh-CN" w:eastAsia="zh-CN"/>
        </w:rPr>
      </w:pPr>
      <w:r>
        <w:rPr>
          <w:rFonts w:hint="eastAsia" w:cs="Times New Roman"/>
          <w:szCs w:val="32"/>
          <w:lang w:val="zh-CN" w:eastAsia="zh-CN"/>
        </w:rPr>
        <w:t>2023年</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cs="Times New Roman"/>
          <w:szCs w:val="32"/>
          <w:lang w:val="zh-CN" w:eastAsia="zh-CN"/>
        </w:rPr>
        <w:t>年初预算</w:t>
      </w:r>
      <w:r>
        <w:rPr>
          <w:rFonts w:hint="eastAsia" w:cs="Times New Roman"/>
          <w:szCs w:val="32"/>
          <w:lang w:val="en-US" w:eastAsia="zh-CN"/>
        </w:rPr>
        <w:t>1288.21</w:t>
      </w:r>
      <w:r>
        <w:rPr>
          <w:rFonts w:hint="eastAsia" w:cs="Times New Roman"/>
          <w:szCs w:val="32"/>
          <w:lang w:val="zh-CN" w:eastAsia="zh-CN"/>
        </w:rPr>
        <w:t>万元，执行中追加预算（不含当年中央、省、市专款）</w:t>
      </w:r>
      <w:r>
        <w:rPr>
          <w:rFonts w:hint="eastAsia" w:cs="Times New Roman"/>
          <w:szCs w:val="32"/>
          <w:lang w:val="en-US" w:eastAsia="zh-CN"/>
        </w:rPr>
        <w:t>528.11</w:t>
      </w:r>
      <w:r>
        <w:rPr>
          <w:rFonts w:hint="eastAsia" w:cs="Times New Roman"/>
          <w:szCs w:val="32"/>
          <w:lang w:val="zh-CN" w:eastAsia="zh-CN"/>
        </w:rPr>
        <w:t>万元，调整取消资金</w:t>
      </w:r>
      <w:r>
        <w:rPr>
          <w:rFonts w:hint="eastAsia" w:cs="Times New Roman"/>
          <w:szCs w:val="32"/>
          <w:lang w:val="en-US" w:eastAsia="zh-CN"/>
        </w:rPr>
        <w:t>231.27</w:t>
      </w:r>
      <w:r>
        <w:rPr>
          <w:rFonts w:hint="eastAsia" w:cs="Times New Roman"/>
          <w:szCs w:val="32"/>
          <w:lang w:val="zh-CN" w:eastAsia="zh-CN"/>
        </w:rPr>
        <w:t>万元，预算结余注销资金</w:t>
      </w:r>
      <w:r>
        <w:rPr>
          <w:rFonts w:hint="eastAsia" w:cs="Times New Roman"/>
          <w:szCs w:val="32"/>
          <w:lang w:val="en-US" w:eastAsia="zh-CN"/>
        </w:rPr>
        <w:t>0</w:t>
      </w:r>
      <w:r>
        <w:rPr>
          <w:rFonts w:hint="eastAsia" w:cs="Times New Roman"/>
          <w:szCs w:val="32"/>
          <w:lang w:val="zh-CN" w:eastAsia="zh-CN"/>
        </w:rPr>
        <w:t>万元；预算资金总来源</w:t>
      </w:r>
      <w:r>
        <w:rPr>
          <w:rFonts w:hint="eastAsia" w:cs="Times New Roman"/>
          <w:szCs w:val="32"/>
          <w:lang w:val="en-US" w:eastAsia="zh-CN"/>
        </w:rPr>
        <w:t>1816.32</w:t>
      </w:r>
      <w:r>
        <w:rPr>
          <w:rFonts w:hint="eastAsia" w:cs="Times New Roman"/>
          <w:szCs w:val="32"/>
          <w:lang w:val="zh-CN" w:eastAsia="zh-CN"/>
        </w:rPr>
        <w:t>万元。预算安排准确率</w:t>
      </w:r>
      <w:r>
        <w:rPr>
          <w:rFonts w:hint="eastAsia" w:cs="Times New Roman"/>
          <w:szCs w:val="32"/>
          <w:lang w:val="en-US" w:eastAsia="zh-CN"/>
        </w:rPr>
        <w:t>70.92</w:t>
      </w:r>
      <w:r>
        <w:rPr>
          <w:rFonts w:hint="eastAsia" w:cs="Times New Roman"/>
          <w:szCs w:val="32"/>
          <w:lang w:val="zh-CN" w:eastAsia="zh-CN"/>
        </w:rPr>
        <w:t>%。</w:t>
      </w:r>
    </w:p>
    <w:p w14:paraId="7857D3DC">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单位收入统筹。</w:t>
      </w:r>
      <w:r>
        <w:rPr>
          <w:rFonts w:hint="eastAsia" w:cs="Times New Roman"/>
          <w:szCs w:val="32"/>
          <w:lang w:val="zh-CN" w:eastAsia="zh-CN"/>
        </w:rPr>
        <w:t>（</w:t>
      </w:r>
      <w:r>
        <w:rPr>
          <w:rFonts w:hint="eastAsia" w:cs="Times New Roman"/>
          <w:szCs w:val="32"/>
          <w:lang w:val="en-US" w:eastAsia="zh-CN"/>
        </w:rPr>
        <w:t>0分）</w:t>
      </w:r>
    </w:p>
    <w:p w14:paraId="647457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s="Times New Roman"/>
          <w:szCs w:val="32"/>
          <w:lang w:val="en-US" w:eastAsia="zh-CN"/>
        </w:rPr>
      </w:pPr>
      <w:r>
        <w:rPr>
          <w:rFonts w:hint="eastAsia" w:cs="Times New Roman"/>
          <w:szCs w:val="32"/>
          <w:lang w:val="en-US" w:eastAsia="zh-CN"/>
        </w:rPr>
        <w:t>2023年本单位无统筹自有资金收入。</w:t>
      </w:r>
    </w:p>
    <w:p w14:paraId="6850E1AC">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支出执行进度。（</w:t>
      </w:r>
      <w:r>
        <w:rPr>
          <w:rFonts w:hint="eastAsia" w:ascii="Times New Roman" w:hAnsi="Times New Roman" w:cs="Times New Roman"/>
          <w:szCs w:val="32"/>
          <w:lang w:val="en-US" w:eastAsia="zh-CN"/>
        </w:rPr>
        <w:t>5分）</w:t>
      </w:r>
    </w:p>
    <w:p w14:paraId="78D3A6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zh-CN" w:eastAsia="zh-CN"/>
        </w:rPr>
        <w:t>2023年调整后财政拨款预算收入</w:t>
      </w:r>
      <w:r>
        <w:rPr>
          <w:rFonts w:hint="eastAsia" w:cs="Times New Roman"/>
          <w:szCs w:val="32"/>
          <w:lang w:val="en-US" w:eastAsia="zh-CN"/>
        </w:rPr>
        <w:t>1816.32</w:t>
      </w:r>
      <w:r>
        <w:rPr>
          <w:rFonts w:hint="eastAsia" w:ascii="Times New Roman" w:hAnsi="Times New Roman" w:cs="Times New Roman"/>
          <w:szCs w:val="32"/>
          <w:lang w:val="zh-CN" w:eastAsia="zh-CN"/>
        </w:rPr>
        <w:t>万元，实际执行</w:t>
      </w:r>
      <w:r>
        <w:rPr>
          <w:rFonts w:hint="eastAsia" w:cs="Times New Roman"/>
          <w:szCs w:val="32"/>
          <w:lang w:val="en-US" w:eastAsia="zh-CN"/>
        </w:rPr>
        <w:t>1816.32</w:t>
      </w:r>
      <w:r>
        <w:rPr>
          <w:rFonts w:hint="eastAsia" w:ascii="Times New Roman" w:hAnsi="Times New Roman" w:cs="Times New Roman"/>
          <w:szCs w:val="32"/>
          <w:lang w:val="zh-CN" w:eastAsia="zh-CN"/>
        </w:rPr>
        <w:t>万元，总体执行进度为</w:t>
      </w:r>
      <w:r>
        <w:rPr>
          <w:rFonts w:hint="eastAsia" w:cs="Times New Roman"/>
          <w:szCs w:val="32"/>
          <w:lang w:val="en-US" w:eastAsia="zh-CN"/>
        </w:rPr>
        <w:t>100</w:t>
      </w:r>
      <w:r>
        <w:rPr>
          <w:rFonts w:hint="eastAsia" w:ascii="Times New Roman" w:hAnsi="Times New Roman" w:cs="Times New Roman"/>
          <w:szCs w:val="32"/>
          <w:lang w:val="zh-CN" w:eastAsia="zh-CN"/>
        </w:rPr>
        <w:t>%。</w:t>
      </w:r>
    </w:p>
    <w:p w14:paraId="32F17F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zh-CN" w:eastAsia="zh-CN"/>
        </w:rPr>
        <w:t>1-6月我单位执行数为</w:t>
      </w:r>
      <w:r>
        <w:rPr>
          <w:rFonts w:hint="eastAsia" w:cs="Times New Roman"/>
          <w:szCs w:val="32"/>
          <w:lang w:val="en-US" w:eastAsia="zh-CN"/>
        </w:rPr>
        <w:t>941.25</w:t>
      </w:r>
      <w:r>
        <w:rPr>
          <w:rFonts w:hint="eastAsia" w:ascii="Times New Roman" w:hAnsi="Times New Roman" w:cs="Times New Roman"/>
          <w:szCs w:val="32"/>
          <w:lang w:val="zh-CN" w:eastAsia="zh-CN"/>
        </w:rPr>
        <w:t>万元，部门预算数</w:t>
      </w:r>
      <w:r>
        <w:rPr>
          <w:rFonts w:hint="eastAsia" w:cs="Times New Roman"/>
          <w:szCs w:val="32"/>
          <w:lang w:val="en-US" w:eastAsia="zh-CN"/>
        </w:rPr>
        <w:t>1816.32万元</w:t>
      </w:r>
      <w:r>
        <w:rPr>
          <w:rFonts w:hint="eastAsia" w:ascii="Times New Roman" w:hAnsi="Times New Roman" w:cs="Times New Roman"/>
          <w:szCs w:val="32"/>
          <w:lang w:val="zh-CN" w:eastAsia="zh-CN"/>
        </w:rPr>
        <w:t>的50%为</w:t>
      </w:r>
      <w:r>
        <w:rPr>
          <w:rFonts w:hint="eastAsia" w:cs="Times New Roman"/>
          <w:szCs w:val="32"/>
          <w:lang w:val="en-US" w:eastAsia="zh-CN"/>
        </w:rPr>
        <w:t>908.16</w:t>
      </w:r>
      <w:r>
        <w:rPr>
          <w:rFonts w:hint="eastAsia" w:ascii="Times New Roman" w:hAnsi="Times New Roman" w:cs="Times New Roman"/>
          <w:szCs w:val="32"/>
          <w:lang w:val="zh-CN" w:eastAsia="zh-CN"/>
        </w:rPr>
        <w:t>万元，1-6月预警金额为</w:t>
      </w:r>
      <w:r>
        <w:rPr>
          <w:rFonts w:hint="eastAsia" w:cs="Times New Roman"/>
          <w:szCs w:val="32"/>
          <w:lang w:val="en-US" w:eastAsia="zh-CN"/>
        </w:rPr>
        <w:t>0</w:t>
      </w:r>
      <w:r>
        <w:rPr>
          <w:rFonts w:hint="eastAsia" w:ascii="Times New Roman" w:hAnsi="Times New Roman" w:cs="Times New Roman"/>
          <w:szCs w:val="32"/>
          <w:lang w:val="zh-CN" w:eastAsia="zh-CN"/>
        </w:rPr>
        <w:t>万元，1至6月支出预警金额占比</w:t>
      </w:r>
      <w:r>
        <w:rPr>
          <w:rFonts w:hint="eastAsia" w:cs="Times New Roman"/>
          <w:szCs w:val="32"/>
          <w:lang w:val="en-US" w:eastAsia="zh-CN"/>
        </w:rPr>
        <w:t>0%</w:t>
      </w:r>
      <w:r>
        <w:rPr>
          <w:rFonts w:hint="eastAsia" w:ascii="Times New Roman" w:hAnsi="Times New Roman" w:cs="Times New Roman"/>
          <w:szCs w:val="32"/>
          <w:lang w:val="zh-CN" w:eastAsia="zh-CN"/>
        </w:rPr>
        <w:t>；1-10月我单位执行数为</w:t>
      </w:r>
      <w:r>
        <w:rPr>
          <w:rFonts w:hint="eastAsia" w:cs="Times New Roman"/>
          <w:szCs w:val="32"/>
          <w:lang w:val="en-US" w:eastAsia="zh-CN"/>
        </w:rPr>
        <w:t>1249.18</w:t>
      </w:r>
      <w:r>
        <w:rPr>
          <w:rFonts w:hint="eastAsia" w:ascii="Times New Roman" w:hAnsi="Times New Roman" w:cs="Times New Roman"/>
          <w:szCs w:val="32"/>
          <w:lang w:val="zh-CN" w:eastAsia="zh-CN"/>
        </w:rPr>
        <w:t>万元，部门预算数</w:t>
      </w:r>
      <w:r>
        <w:rPr>
          <w:rFonts w:hint="eastAsia" w:cs="Times New Roman"/>
          <w:szCs w:val="32"/>
          <w:lang w:val="en-US" w:eastAsia="zh-CN"/>
        </w:rPr>
        <w:t>3877.03</w:t>
      </w:r>
      <w:r>
        <w:rPr>
          <w:rFonts w:hint="eastAsia" w:ascii="Times New Roman" w:hAnsi="Times New Roman" w:cs="Times New Roman"/>
          <w:szCs w:val="32"/>
          <w:lang w:val="zh-CN" w:eastAsia="zh-CN"/>
        </w:rPr>
        <w:t>的</w:t>
      </w:r>
      <w:r>
        <w:rPr>
          <w:rFonts w:hint="eastAsia" w:ascii="Times New Roman" w:hAnsi="Times New Roman" w:cs="Times New Roman"/>
          <w:szCs w:val="32"/>
          <w:lang w:val="en-US" w:eastAsia="zh-CN"/>
        </w:rPr>
        <w:t>83.33</w:t>
      </w:r>
      <w:r>
        <w:rPr>
          <w:rFonts w:hint="eastAsia" w:ascii="Times New Roman" w:hAnsi="Times New Roman" w:cs="Times New Roman"/>
          <w:szCs w:val="32"/>
          <w:lang w:val="zh-CN" w:eastAsia="zh-CN"/>
        </w:rPr>
        <w:t>%为</w:t>
      </w:r>
      <w:r>
        <w:rPr>
          <w:rFonts w:hint="eastAsia" w:cs="Times New Roman"/>
          <w:szCs w:val="32"/>
          <w:lang w:val="en-US" w:eastAsia="zh-CN"/>
        </w:rPr>
        <w:t>1513.59</w:t>
      </w:r>
      <w:r>
        <w:rPr>
          <w:rFonts w:hint="eastAsia" w:ascii="Times New Roman" w:hAnsi="Times New Roman" w:cs="Times New Roman"/>
          <w:szCs w:val="32"/>
          <w:lang w:val="zh-CN" w:eastAsia="zh-CN"/>
        </w:rPr>
        <w:t>万元，1-10月预警金额为</w:t>
      </w:r>
      <w:r>
        <w:rPr>
          <w:rFonts w:hint="eastAsia" w:cs="Times New Roman"/>
          <w:szCs w:val="32"/>
          <w:lang w:val="en-US" w:eastAsia="zh-CN"/>
        </w:rPr>
        <w:t>0</w:t>
      </w:r>
      <w:r>
        <w:rPr>
          <w:rFonts w:hint="eastAsia" w:ascii="Times New Roman" w:hAnsi="Times New Roman" w:cs="Times New Roman"/>
          <w:szCs w:val="32"/>
          <w:lang w:val="zh-CN" w:eastAsia="zh-CN"/>
        </w:rPr>
        <w:t>万元，1至10月支出预警金额占比</w:t>
      </w:r>
      <w:r>
        <w:rPr>
          <w:rFonts w:hint="eastAsia" w:cs="Times New Roman"/>
          <w:szCs w:val="32"/>
          <w:lang w:val="en-US" w:eastAsia="zh-CN"/>
        </w:rPr>
        <w:t>0%</w:t>
      </w:r>
      <w:r>
        <w:rPr>
          <w:rFonts w:hint="eastAsia" w:ascii="Times New Roman" w:hAnsi="Times New Roman" w:cs="Times New Roman"/>
          <w:szCs w:val="32"/>
          <w:lang w:val="zh-CN" w:eastAsia="zh-CN"/>
        </w:rPr>
        <w:t>；</w:t>
      </w:r>
    </w:p>
    <w:p w14:paraId="6C6E8A54">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预算年终结余。</w:t>
      </w:r>
      <w:r>
        <w:rPr>
          <w:rFonts w:hint="eastAsia" w:cs="Times New Roman"/>
          <w:szCs w:val="32"/>
          <w:lang w:val="en-US" w:eastAsia="zh-CN"/>
        </w:rPr>
        <w:t>（2分）</w:t>
      </w:r>
    </w:p>
    <w:p w14:paraId="66BFD2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en-US" w:eastAsia="zh-CN"/>
        </w:rPr>
      </w:pPr>
      <w:r>
        <w:rPr>
          <w:rFonts w:cs="Times New Roman"/>
        </w:rPr>
        <w:t>2023年度我单位无注销和结转金额</w:t>
      </w:r>
      <w:r>
        <w:rPr>
          <w:rFonts w:hint="eastAsia" w:ascii="Times New Roman" w:hAnsi="Times New Roman" w:cs="Times New Roman"/>
          <w:szCs w:val="32"/>
          <w:lang w:val="en-US" w:eastAsia="zh-CN"/>
        </w:rPr>
        <w:t>。</w:t>
      </w:r>
    </w:p>
    <w:p w14:paraId="51EF78E5">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cs="Times New Roman"/>
          <w:lang w:val="en-US" w:eastAsia="zh-CN"/>
        </w:rPr>
      </w:pPr>
      <w:r>
        <w:rPr>
          <w:rFonts w:hint="eastAsia" w:ascii="Times New Roman" w:hAnsi="Times New Roman" w:cs="Times New Roman"/>
          <w:szCs w:val="32"/>
          <w:lang w:val="en-US" w:eastAsia="zh-CN"/>
        </w:rPr>
        <w:t>严控一般性支出。</w:t>
      </w:r>
      <w:r>
        <w:rPr>
          <w:rFonts w:hint="eastAsia" w:cs="Times New Roman"/>
          <w:szCs w:val="32"/>
          <w:lang w:val="en-US" w:eastAsia="zh-CN"/>
        </w:rPr>
        <w:t>（3分）</w:t>
      </w:r>
    </w:p>
    <w:p w14:paraId="3047A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lang w:val="en-US" w:eastAsia="zh-CN"/>
        </w:rPr>
      </w:pPr>
      <w:r>
        <w:rPr>
          <w:rFonts w:hint="eastAsia" w:cs="Times New Roman"/>
          <w:lang w:val="en-US" w:eastAsia="zh-CN"/>
        </w:rPr>
        <w:t>2023年</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办事处</w:t>
      </w:r>
      <w:r>
        <w:rPr>
          <w:rFonts w:hint="eastAsia" w:cs="Times New Roman"/>
          <w:lang w:val="en-US" w:eastAsia="zh-CN"/>
        </w:rPr>
        <w:t>会议、培训、差旅、办节办展、办公设备购置、信息网络及软件购置更新、课题经费预算安排分别0万元、1.6万元、22.2万元、0万元、0万元、0万元、0万元，实际执行万元、0万元、1.6万元、22.2万元、0万元、0万元、0万元，比上年增减-79.63%、58.35%、16.8% 、0%、0%、0%、0%。</w:t>
      </w:r>
    </w:p>
    <w:p w14:paraId="2D0F5E5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3.</w:t>
      </w:r>
      <w:r>
        <w:rPr>
          <w:rFonts w:hint="default" w:ascii="楷体_GB2312" w:hAnsi="楷体_GB2312" w:eastAsia="楷体_GB2312" w:cs="楷体_GB2312"/>
          <w:color w:val="000000"/>
          <w:kern w:val="0"/>
          <w:szCs w:val="32"/>
          <w:highlight w:val="none"/>
          <w:shd w:val="clear" w:color="auto" w:fill="FFFFFF"/>
          <w:lang w:val="zh-CN"/>
        </w:rPr>
        <w:t>财务管理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10分）</w:t>
      </w:r>
    </w:p>
    <w:p w14:paraId="34C7B7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1）</w:t>
      </w:r>
      <w:r>
        <w:rPr>
          <w:rFonts w:hint="eastAsia" w:ascii="Times New Roman" w:hAnsi="Times New Roman" w:cs="Times New Roman"/>
          <w:szCs w:val="32"/>
          <w:lang w:val="zh-CN" w:eastAsia="zh-CN"/>
        </w:rPr>
        <w:t>财务管理制度。</w:t>
      </w:r>
      <w:r>
        <w:rPr>
          <w:rFonts w:hint="eastAsia" w:cs="Times New Roman"/>
          <w:szCs w:val="32"/>
          <w:lang w:val="zh-CN" w:eastAsia="zh-CN"/>
        </w:rPr>
        <w:t>（</w:t>
      </w:r>
      <w:r>
        <w:rPr>
          <w:rFonts w:hint="eastAsia" w:cs="Times New Roman"/>
          <w:szCs w:val="32"/>
          <w:lang w:val="en-US" w:eastAsia="zh-CN"/>
        </w:rPr>
        <w:t>4分）</w:t>
      </w:r>
    </w:p>
    <w:p w14:paraId="5BE2AE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建立了涵盖“预算业务”“收支业务”“政府采购业务”“资产管理”“建设项目”“合同”六大经济业务领域的内控制度，相继制定了《财务及内控管理制度》，其中内控制度包括《预算编报管理制度》《预算执行内部控制制度》《政府采购管理制度》《国有资产管理制度》《绩效评估内部控制制度》等规章制度。并结合实际或中央、省、市有关管理规定及时更新。</w:t>
      </w:r>
    </w:p>
    <w:p w14:paraId="0D472D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2）</w:t>
      </w:r>
      <w:r>
        <w:rPr>
          <w:rFonts w:hint="eastAsia" w:ascii="Times New Roman" w:hAnsi="Times New Roman" w:cs="Times New Roman"/>
          <w:szCs w:val="32"/>
          <w:lang w:val="zh-CN" w:eastAsia="zh-CN"/>
        </w:rPr>
        <w:t>财务岗位设置。</w:t>
      </w:r>
      <w:r>
        <w:rPr>
          <w:rFonts w:hint="eastAsia" w:cs="Times New Roman"/>
          <w:szCs w:val="32"/>
          <w:lang w:val="zh-CN" w:eastAsia="zh-CN"/>
        </w:rPr>
        <w:t>（</w:t>
      </w:r>
      <w:r>
        <w:rPr>
          <w:rFonts w:hint="eastAsia" w:cs="Times New Roman"/>
          <w:szCs w:val="32"/>
          <w:lang w:val="en-US" w:eastAsia="zh-CN"/>
        </w:rPr>
        <w:t>2分）</w:t>
      </w:r>
    </w:p>
    <w:p w14:paraId="146B26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default" w:ascii="Times New Roman" w:hAnsi="Times New Roman" w:cs="Times New Roman"/>
          <w:szCs w:val="32"/>
          <w:lang w:val="en-US" w:eastAsia="zh-CN"/>
        </w:rPr>
        <w:t>制定了《内部控制手册》，手册对承担职责任务发生的主要经济业务活动进行了业务流程梳理，有业务流程图、关键节点描述、风险识别和风险清单，对关键节点的主要风险制定了相关管理制度，关键岗位制定岗位职责，采取了不相容岗位相分离的措施，重大事项制定了授权审批制度。财务人员分工遵守内部牵制原则，没有兼任会计出纳的情况。按照“分事分权、分岗设权、分级授权”等要求落实不相容岗位分离和定期轮岗</w:t>
      </w:r>
      <w:r>
        <w:rPr>
          <w:rFonts w:hint="eastAsia" w:ascii="Times New Roman" w:hAnsi="Times New Roman" w:cs="Times New Roman"/>
          <w:szCs w:val="32"/>
          <w:lang w:val="en-US" w:eastAsia="zh-CN"/>
        </w:rPr>
        <w:t>等内部权利制衡基本举措</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建立了重大事项议事决策机制，且建立有决策权、管理权、执行权和监督权</w:t>
      </w:r>
      <w:r>
        <w:rPr>
          <w:rFonts w:hint="default" w:ascii="Times New Roman" w:hAnsi="Times New Roman" w:cs="Times New Roman"/>
          <w:szCs w:val="32"/>
          <w:lang w:val="en-US" w:eastAsia="zh-CN"/>
        </w:rPr>
        <w:t>“四权分离”的制度。</w:t>
      </w:r>
    </w:p>
    <w:p w14:paraId="2AEBFD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3）</w:t>
      </w:r>
      <w:r>
        <w:rPr>
          <w:rFonts w:hint="eastAsia" w:ascii="Times New Roman" w:hAnsi="Times New Roman" w:cs="Times New Roman"/>
          <w:szCs w:val="32"/>
          <w:lang w:val="zh-CN" w:eastAsia="zh-CN"/>
        </w:rPr>
        <w:t>资金使用规范。</w:t>
      </w:r>
      <w:r>
        <w:rPr>
          <w:rFonts w:hint="eastAsia" w:cs="Times New Roman"/>
          <w:szCs w:val="32"/>
          <w:lang w:val="zh-CN" w:eastAsia="zh-CN"/>
        </w:rPr>
        <w:t>（</w:t>
      </w:r>
      <w:r>
        <w:rPr>
          <w:rFonts w:hint="eastAsia" w:cs="Times New Roman"/>
          <w:szCs w:val="32"/>
          <w:lang w:val="en-US" w:eastAsia="zh-CN"/>
        </w:rPr>
        <w:t>4分）</w:t>
      </w:r>
    </w:p>
    <w:p w14:paraId="67FFE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Cs w:val="32"/>
          <w:highlight w:val="none"/>
          <w:shd w:val="clear" w:color="auto" w:fill="FFFFFF"/>
          <w:lang w:val="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zh-CN" w:eastAsia="zh-CN"/>
        </w:rPr>
        <w:t>严格按照</w:t>
      </w:r>
      <w:r>
        <w:rPr>
          <w:rFonts w:hint="eastAsia" w:cs="Times New Roman"/>
          <w:szCs w:val="32"/>
          <w:lang w:val="zh-CN" w:eastAsia="zh-CN"/>
        </w:rPr>
        <w:t>《中华人民共和国会计法》《</w:t>
      </w:r>
      <w:r>
        <w:rPr>
          <w:rFonts w:hint="eastAsia" w:ascii="Times New Roman" w:hAnsi="Times New Roman" w:cs="Times New Roman"/>
          <w:szCs w:val="32"/>
          <w:lang w:val="zh-CN" w:eastAsia="zh-CN"/>
        </w:rPr>
        <w:t>政府会计准则》和《政府会计制度》等相关法律法规准确核算各项经费和项目收支。按照财政部门的相关要求完成年度部门预算编制、执行和管理，没有截留、挤占、挪用、虚列支出等情况</w:t>
      </w:r>
      <w:r>
        <w:rPr>
          <w:rFonts w:hint="eastAsia" w:cs="Times New Roman"/>
          <w:szCs w:val="32"/>
          <w:lang w:val="zh-CN" w:eastAsia="zh-CN"/>
        </w:rPr>
        <w:t>，</w:t>
      </w:r>
      <w:r>
        <w:rPr>
          <w:rFonts w:hint="eastAsia" w:ascii="Times New Roman" w:hAnsi="Times New Roman" w:cs="Times New Roman"/>
          <w:szCs w:val="32"/>
          <w:lang w:val="zh-CN" w:eastAsia="zh-CN"/>
        </w:rPr>
        <w:t>做到“以收定支”，</w:t>
      </w:r>
      <w:r>
        <w:rPr>
          <w:rFonts w:hint="eastAsia" w:ascii="Times New Roman" w:hAnsi="Times New Roman" w:cs="Times New Roman"/>
          <w:szCs w:val="32"/>
          <w:lang w:val="en-US" w:eastAsia="zh-CN"/>
        </w:rPr>
        <w:t>按照会计法的规定，我单位会计核算及时、规范，科目使用准确、原始发票及附件充分，会计档案管理规范。</w:t>
      </w:r>
    </w:p>
    <w:p w14:paraId="46129E0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4.</w:t>
      </w:r>
      <w:r>
        <w:rPr>
          <w:rFonts w:hint="default" w:ascii="楷体_GB2312" w:hAnsi="楷体_GB2312" w:eastAsia="楷体_GB2312" w:cs="楷体_GB2312"/>
          <w:color w:val="000000"/>
          <w:kern w:val="0"/>
          <w:szCs w:val="32"/>
          <w:highlight w:val="none"/>
          <w:shd w:val="clear" w:color="auto" w:fill="FFFFFF"/>
          <w:lang w:val="zh-CN"/>
        </w:rPr>
        <w:t>资产管理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8分）</w:t>
      </w:r>
    </w:p>
    <w:p w14:paraId="41EC88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1</w:t>
      </w:r>
      <w:r>
        <w:rPr>
          <w:rFonts w:hint="eastAsia" w:ascii="Times New Roman" w:hAnsi="Times New Roman" w:cs="Times New Roman"/>
          <w:szCs w:val="32"/>
          <w:lang w:val="zh-CN" w:eastAsia="zh-CN"/>
        </w:rPr>
        <w:t>）人均资产变化率。（</w:t>
      </w:r>
      <w:r>
        <w:rPr>
          <w:rFonts w:hint="eastAsia" w:cs="Times New Roman"/>
          <w:szCs w:val="32"/>
          <w:lang w:val="en-US" w:eastAsia="zh-CN"/>
        </w:rPr>
        <w:t>2</w:t>
      </w:r>
      <w:r>
        <w:rPr>
          <w:rFonts w:hint="eastAsia" w:ascii="Times New Roman" w:hAnsi="Times New Roman" w:cs="Times New Roman"/>
          <w:szCs w:val="32"/>
          <w:lang w:val="zh-CN" w:eastAsia="zh-CN"/>
        </w:rPr>
        <w:t>分）</w:t>
      </w:r>
    </w:p>
    <w:p w14:paraId="05E33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2022年资产期末净值（固定资产净值+无形资产净值）</w:t>
      </w:r>
      <w:r>
        <w:rPr>
          <w:rFonts w:hint="eastAsia" w:cs="Times New Roman"/>
          <w:szCs w:val="32"/>
          <w:lang w:val="en-US" w:eastAsia="zh-CN"/>
        </w:rPr>
        <w:t>1791.09</w:t>
      </w:r>
      <w:r>
        <w:rPr>
          <w:rFonts w:hint="eastAsia" w:ascii="Times New Roman" w:hAnsi="Times New Roman" w:cs="Times New Roman"/>
          <w:szCs w:val="32"/>
          <w:lang w:val="en-US" w:eastAsia="zh-CN"/>
        </w:rPr>
        <w:t>万元，年末实有人</w:t>
      </w:r>
      <w:r>
        <w:rPr>
          <w:rFonts w:hint="eastAsia" w:cs="Times New Roman"/>
          <w:szCs w:val="32"/>
          <w:lang w:val="en-US" w:eastAsia="zh-CN"/>
        </w:rPr>
        <w:t>53</w:t>
      </w:r>
      <w:r>
        <w:rPr>
          <w:rFonts w:hint="eastAsia" w:ascii="Times New Roman" w:hAnsi="Times New Roman" w:cs="Times New Roman"/>
          <w:szCs w:val="32"/>
          <w:lang w:val="en-US" w:eastAsia="zh-CN"/>
        </w:rPr>
        <w:t>人，人均占有资产</w:t>
      </w:r>
      <w:r>
        <w:rPr>
          <w:rFonts w:hint="eastAsia" w:cs="Times New Roman"/>
          <w:szCs w:val="32"/>
          <w:lang w:val="en-US" w:eastAsia="zh-CN"/>
        </w:rPr>
        <w:t>3.23</w:t>
      </w:r>
      <w:r>
        <w:rPr>
          <w:rFonts w:hint="eastAsia" w:ascii="Times New Roman" w:hAnsi="Times New Roman" w:cs="Times New Roman"/>
          <w:szCs w:val="32"/>
          <w:lang w:val="en-US" w:eastAsia="zh-CN"/>
        </w:rPr>
        <w:t>万元；2023资产期末净值（固定资产净值+无形资产净值）</w:t>
      </w:r>
      <w:r>
        <w:rPr>
          <w:rFonts w:hint="eastAsia" w:cs="Times New Roman"/>
          <w:szCs w:val="32"/>
          <w:lang w:val="en-US" w:eastAsia="zh-CN"/>
        </w:rPr>
        <w:t>169.69</w:t>
      </w:r>
      <w:r>
        <w:rPr>
          <w:rFonts w:hint="eastAsia" w:ascii="Times New Roman" w:hAnsi="Times New Roman" w:cs="Times New Roman"/>
          <w:szCs w:val="32"/>
          <w:lang w:val="en-US" w:eastAsia="zh-CN"/>
        </w:rPr>
        <w:t>万元，年末实有人</w:t>
      </w:r>
      <w:r>
        <w:rPr>
          <w:rFonts w:hint="eastAsia" w:cs="Times New Roman"/>
          <w:szCs w:val="32"/>
          <w:lang w:val="en-US" w:eastAsia="zh-CN"/>
        </w:rPr>
        <w:t>53</w:t>
      </w:r>
      <w:r>
        <w:rPr>
          <w:rFonts w:hint="eastAsia" w:ascii="Times New Roman" w:hAnsi="Times New Roman" w:cs="Times New Roman"/>
          <w:szCs w:val="32"/>
          <w:lang w:val="en-US" w:eastAsia="zh-CN"/>
        </w:rPr>
        <w:t>人，人均占有资产</w:t>
      </w:r>
      <w:r>
        <w:rPr>
          <w:rFonts w:hint="eastAsia" w:cs="Times New Roman"/>
          <w:szCs w:val="32"/>
          <w:lang w:val="en-US" w:eastAsia="zh-CN"/>
        </w:rPr>
        <w:t xml:space="preserve">3.2           </w:t>
      </w:r>
      <w:r>
        <w:rPr>
          <w:rFonts w:hint="eastAsia" w:ascii="Times New Roman" w:hAnsi="Times New Roman" w:cs="Times New Roman"/>
          <w:szCs w:val="32"/>
          <w:lang w:val="en-US" w:eastAsia="zh-CN"/>
        </w:rPr>
        <w:t>万元。部门人均资产变化率为</w:t>
      </w:r>
      <w:r>
        <w:rPr>
          <w:rFonts w:hint="eastAsia" w:cs="Times New Roman"/>
          <w:szCs w:val="32"/>
          <w:lang w:val="en-US" w:eastAsia="zh-CN"/>
        </w:rPr>
        <w:t>-0.9%</w:t>
      </w:r>
      <w:r>
        <w:rPr>
          <w:rFonts w:hint="eastAsia" w:ascii="Times New Roman" w:hAnsi="Times New Roman" w:cs="Times New Roman"/>
          <w:szCs w:val="32"/>
          <w:lang w:val="en-US" w:eastAsia="zh-CN"/>
        </w:rPr>
        <w:t>。</w:t>
      </w:r>
    </w:p>
    <w:p w14:paraId="54ADD6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2</w:t>
      </w:r>
      <w:r>
        <w:rPr>
          <w:rFonts w:hint="eastAsia" w:ascii="Times New Roman" w:hAnsi="Times New Roman" w:cs="Times New Roman"/>
          <w:szCs w:val="32"/>
          <w:lang w:val="zh-CN" w:eastAsia="zh-CN"/>
        </w:rPr>
        <w:t>）资产利用率。（</w:t>
      </w:r>
      <w:r>
        <w:rPr>
          <w:rFonts w:hint="eastAsia" w:cs="Times New Roman"/>
          <w:szCs w:val="32"/>
          <w:lang w:val="en-US" w:eastAsia="zh-CN"/>
        </w:rPr>
        <w:t>3</w:t>
      </w:r>
      <w:r>
        <w:rPr>
          <w:rFonts w:hint="eastAsia" w:ascii="Times New Roman" w:hAnsi="Times New Roman" w:cs="Times New Roman"/>
          <w:szCs w:val="32"/>
          <w:lang w:val="zh-CN" w:eastAsia="zh-CN"/>
        </w:rPr>
        <w:t>分）</w:t>
      </w:r>
    </w:p>
    <w:p w14:paraId="36240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en-US" w:eastAsia="zh-CN"/>
        </w:rPr>
      </w:pPr>
      <w:r>
        <w:rPr>
          <w:rFonts w:hint="eastAsia" w:cs="Times New Roman"/>
          <w:szCs w:val="32"/>
          <w:lang w:val="en-US" w:eastAsia="zh-CN"/>
        </w:rPr>
        <w:t>截至</w:t>
      </w:r>
      <w:r>
        <w:rPr>
          <w:rFonts w:hint="eastAsia" w:ascii="Times New Roman" w:hAnsi="Times New Roman" w:cs="Times New Roman"/>
          <w:szCs w:val="32"/>
          <w:lang w:val="en-US" w:eastAsia="zh-CN"/>
        </w:rPr>
        <w:t>2023年12月底，渠县</w:t>
      </w:r>
      <w:r>
        <w:rPr>
          <w:rFonts w:hint="eastAsia" w:cs="Times New Roman"/>
          <w:szCs w:val="32"/>
          <w:lang w:val="en-US" w:eastAsia="zh-CN"/>
        </w:rPr>
        <w:t>李馥镇人民政府</w:t>
      </w:r>
      <w:r>
        <w:rPr>
          <w:rFonts w:hint="eastAsia" w:ascii="Times New Roman" w:hAnsi="Times New Roman" w:cs="Times New Roman"/>
          <w:szCs w:val="32"/>
          <w:lang w:val="en-US" w:eastAsia="zh-CN"/>
        </w:rPr>
        <w:t>办公家具账面价值</w:t>
      </w:r>
      <w:r>
        <w:rPr>
          <w:rFonts w:hint="eastAsia" w:cs="Times New Roman"/>
          <w:szCs w:val="32"/>
          <w:lang w:val="en-US" w:eastAsia="zh-CN"/>
        </w:rPr>
        <w:t>1.28</w:t>
      </w:r>
      <w:r>
        <w:rPr>
          <w:rFonts w:hint="eastAsia" w:ascii="Times New Roman" w:hAnsi="Times New Roman" w:cs="Times New Roman"/>
          <w:szCs w:val="32"/>
          <w:lang w:val="en-US" w:eastAsia="zh-CN"/>
        </w:rPr>
        <w:t>万元，超最低使用年限的办公家具账面价值</w:t>
      </w:r>
      <w:r>
        <w:rPr>
          <w:rFonts w:hint="eastAsia" w:cs="Times New Roman"/>
          <w:szCs w:val="32"/>
          <w:lang w:val="en-US" w:eastAsia="zh-CN"/>
        </w:rPr>
        <w:t>0</w:t>
      </w:r>
      <w:r>
        <w:rPr>
          <w:rFonts w:hint="eastAsia" w:ascii="Times New Roman" w:hAnsi="Times New Roman" w:cs="Times New Roman"/>
          <w:szCs w:val="32"/>
          <w:lang w:val="en-US" w:eastAsia="zh-CN"/>
        </w:rPr>
        <w:t>万元；办公设备账面价值</w:t>
      </w:r>
      <w:r>
        <w:rPr>
          <w:rFonts w:hint="eastAsia" w:cs="Times New Roman"/>
          <w:szCs w:val="32"/>
          <w:lang w:val="en-US" w:eastAsia="zh-CN"/>
        </w:rPr>
        <w:t>64.45</w:t>
      </w:r>
      <w:r>
        <w:rPr>
          <w:rFonts w:hint="eastAsia" w:ascii="Times New Roman" w:hAnsi="Times New Roman" w:cs="Times New Roman"/>
          <w:szCs w:val="32"/>
          <w:lang w:val="en-US" w:eastAsia="zh-CN"/>
        </w:rPr>
        <w:t>万元，超最低使用年限的办公设备账面价值</w:t>
      </w:r>
      <w:r>
        <w:rPr>
          <w:rFonts w:hint="eastAsia" w:cs="Times New Roman"/>
          <w:szCs w:val="32"/>
          <w:lang w:val="en-US" w:eastAsia="zh-CN"/>
        </w:rPr>
        <w:t>45.74</w:t>
      </w:r>
      <w:r>
        <w:rPr>
          <w:rFonts w:hint="eastAsia" w:ascii="Times New Roman" w:hAnsi="Times New Roman" w:cs="Times New Roman"/>
          <w:szCs w:val="32"/>
          <w:lang w:val="en-US" w:eastAsia="zh-CN"/>
        </w:rPr>
        <w:t>万元，办公设备超最低使用年限资产利用率</w:t>
      </w:r>
      <w:r>
        <w:rPr>
          <w:rFonts w:hint="eastAsia" w:cs="Times New Roman"/>
          <w:szCs w:val="32"/>
          <w:lang w:val="en-US" w:eastAsia="zh-CN"/>
        </w:rPr>
        <w:t>70.96</w:t>
      </w:r>
      <w:r>
        <w:rPr>
          <w:rFonts w:hint="eastAsia" w:ascii="Times New Roman" w:hAnsi="Times New Roman" w:cs="Times New Roman"/>
          <w:szCs w:val="32"/>
          <w:lang w:val="en-US" w:eastAsia="zh-CN"/>
        </w:rPr>
        <w:t>%</w:t>
      </w:r>
      <w:r>
        <w:rPr>
          <w:rFonts w:hint="eastAsia" w:cs="Times New Roman"/>
          <w:szCs w:val="32"/>
          <w:lang w:val="en-US" w:eastAsia="zh-CN"/>
        </w:rPr>
        <w:t>，</w:t>
      </w:r>
      <w:r>
        <w:rPr>
          <w:rFonts w:hint="eastAsia" w:ascii="Times New Roman" w:hAnsi="Times New Roman" w:cs="Times New Roman"/>
          <w:szCs w:val="32"/>
          <w:lang w:val="en-US" w:eastAsia="zh-CN"/>
        </w:rPr>
        <w:t xml:space="preserve">大于县属行政事业单位平均值40.45%。 </w:t>
      </w:r>
    </w:p>
    <w:p w14:paraId="4259E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3</w:t>
      </w:r>
      <w:r>
        <w:rPr>
          <w:rFonts w:hint="eastAsia" w:ascii="Times New Roman" w:hAnsi="Times New Roman" w:cs="Times New Roman"/>
          <w:szCs w:val="32"/>
          <w:lang w:val="zh-CN" w:eastAsia="zh-CN"/>
        </w:rPr>
        <w:t>）资产盘活率。（</w:t>
      </w:r>
      <w:r>
        <w:rPr>
          <w:rFonts w:hint="eastAsia" w:cs="Times New Roman"/>
          <w:szCs w:val="32"/>
          <w:lang w:val="en-US" w:eastAsia="zh-CN"/>
        </w:rPr>
        <w:t>3</w:t>
      </w:r>
      <w:r>
        <w:rPr>
          <w:rFonts w:hint="eastAsia" w:ascii="Times New Roman" w:hAnsi="Times New Roman" w:cs="Times New Roman"/>
          <w:szCs w:val="32"/>
          <w:lang w:val="zh-CN" w:eastAsia="zh-CN"/>
        </w:rPr>
        <w:t>分）</w:t>
      </w:r>
    </w:p>
    <w:p w14:paraId="7727F968">
      <w:pPr>
        <w:pStyle w:val="27"/>
        <w:ind w:firstLine="640"/>
        <w:rPr>
          <w:rFonts w:hint="eastAsia" w:ascii="Times New Roman" w:hAnsi="Times New Roman" w:cs="Times New Roman"/>
          <w:szCs w:val="32"/>
          <w:lang w:val="zh-CN" w:eastAsia="zh-CN"/>
        </w:rPr>
      </w:pPr>
      <w:r>
        <w:rPr>
          <w:rFonts w:hint="eastAsia" w:cs="Times New Roman"/>
          <w:lang w:eastAsia="zh-CN"/>
        </w:rPr>
        <w:t>截至</w:t>
      </w:r>
      <w:r>
        <w:rPr>
          <w:rFonts w:cs="Times New Roman"/>
        </w:rPr>
        <w:t>2023年12月底，</w:t>
      </w: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处</w:t>
      </w:r>
      <w:r>
        <w:rPr>
          <w:rFonts w:cs="Times New Roman"/>
        </w:rPr>
        <w:t>无</w:t>
      </w:r>
      <w:r>
        <w:rPr>
          <w:rFonts w:hint="eastAsia" w:cs="Times New Roman"/>
          <w:lang w:eastAsia="zh-CN"/>
        </w:rPr>
        <w:t>可盘活</w:t>
      </w:r>
      <w:r>
        <w:rPr>
          <w:rFonts w:cs="Times New Roman"/>
        </w:rPr>
        <w:t>闲置资产。</w:t>
      </w:r>
    </w:p>
    <w:p w14:paraId="0E9AC45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5.</w:t>
      </w:r>
      <w:r>
        <w:rPr>
          <w:rFonts w:hint="default" w:ascii="楷体_GB2312" w:hAnsi="楷体_GB2312" w:eastAsia="楷体_GB2312" w:cs="楷体_GB2312"/>
          <w:color w:val="000000"/>
          <w:kern w:val="0"/>
          <w:szCs w:val="32"/>
          <w:highlight w:val="none"/>
          <w:shd w:val="clear" w:color="auto" w:fill="FFFFFF"/>
          <w:lang w:val="zh-CN"/>
        </w:rPr>
        <w:t>采购管理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6分）</w:t>
      </w:r>
    </w:p>
    <w:p w14:paraId="367BC0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1）</w:t>
      </w:r>
      <w:r>
        <w:rPr>
          <w:rFonts w:hint="eastAsia" w:ascii="Times New Roman" w:hAnsi="Times New Roman" w:cs="Times New Roman"/>
          <w:szCs w:val="32"/>
          <w:lang w:val="zh-CN" w:eastAsia="zh-CN"/>
        </w:rPr>
        <w:t>支持中小企业发展。</w:t>
      </w:r>
      <w:r>
        <w:rPr>
          <w:rFonts w:hint="eastAsia" w:cs="Times New Roman"/>
          <w:szCs w:val="32"/>
          <w:lang w:val="zh-CN" w:eastAsia="zh-CN"/>
        </w:rPr>
        <w:t>（</w:t>
      </w:r>
      <w:r>
        <w:rPr>
          <w:rFonts w:hint="eastAsia" w:cs="Times New Roman"/>
          <w:szCs w:val="32"/>
          <w:lang w:val="en-US" w:eastAsia="zh-CN"/>
        </w:rPr>
        <w:t>3分）</w:t>
      </w:r>
    </w:p>
    <w:p w14:paraId="4B5649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2023年无采购项目。</w:t>
      </w:r>
    </w:p>
    <w:p w14:paraId="7A6831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w:t>
      </w:r>
      <w:r>
        <w:rPr>
          <w:rFonts w:hint="eastAsia" w:ascii="Times New Roman" w:hAnsi="Times New Roman" w:cs="Times New Roman"/>
          <w:szCs w:val="32"/>
          <w:lang w:val="en-US" w:eastAsia="zh-CN"/>
        </w:rPr>
        <w:t>2）</w:t>
      </w:r>
      <w:r>
        <w:rPr>
          <w:rFonts w:hint="eastAsia" w:ascii="Times New Roman" w:hAnsi="Times New Roman" w:cs="Times New Roman"/>
          <w:szCs w:val="32"/>
          <w:lang w:val="zh-CN" w:eastAsia="zh-CN"/>
        </w:rPr>
        <w:t>采购执行率。</w:t>
      </w:r>
      <w:r>
        <w:rPr>
          <w:rFonts w:hint="eastAsia" w:cs="Times New Roman"/>
          <w:szCs w:val="32"/>
          <w:lang w:val="zh-CN" w:eastAsia="zh-CN"/>
        </w:rPr>
        <w:t>（</w:t>
      </w:r>
      <w:r>
        <w:rPr>
          <w:rFonts w:hint="eastAsia" w:cs="Times New Roman"/>
          <w:szCs w:val="32"/>
          <w:lang w:val="en-US" w:eastAsia="zh-CN"/>
        </w:rPr>
        <w:t>3分）</w:t>
      </w:r>
    </w:p>
    <w:p w14:paraId="1B852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Cs w:val="32"/>
          <w:highlight w:val="none"/>
          <w:shd w:val="clear" w:color="auto" w:fill="FFFFFF"/>
          <w:lang w:val="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rFonts w:hint="eastAsia" w:ascii="Times New Roman" w:hAnsi="Times New Roman" w:cs="Times New Roman"/>
          <w:szCs w:val="32"/>
          <w:lang w:val="en-US" w:eastAsia="zh-CN"/>
        </w:rPr>
        <w:t>2023年无采购项目。</w:t>
      </w:r>
    </w:p>
    <w:p w14:paraId="1FB3011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14:paraId="73B334F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17</w:t>
      </w:r>
      <w:r>
        <w:rPr>
          <w:rFonts w:hint="default" w:cs="Times New Roman"/>
          <w:color w:val="000000"/>
          <w:kern w:val="0"/>
          <w:szCs w:val="32"/>
          <w:highlight w:val="none"/>
          <w:shd w:val="clear" w:color="auto" w:fill="FFFFFF"/>
          <w:lang w:val="zh-CN" w:eastAsia="zh-CN"/>
        </w:rPr>
        <w:t>个，涉及预算总金额</w:t>
      </w:r>
      <w:r>
        <w:rPr>
          <w:rFonts w:hint="eastAsia" w:cs="Times New Roman"/>
          <w:color w:val="000000"/>
          <w:kern w:val="0"/>
          <w:szCs w:val="32"/>
          <w:highlight w:val="none"/>
          <w:shd w:val="clear" w:color="auto" w:fill="FFFFFF"/>
          <w:lang w:val="en-US" w:eastAsia="zh-CN"/>
        </w:rPr>
        <w:t>273.85</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14:paraId="5AB98A8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阶段</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一次性</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15</w:t>
      </w:r>
      <w:r>
        <w:rPr>
          <w:rFonts w:hint="default" w:cs="Times New Roman"/>
          <w:color w:val="000000"/>
          <w:kern w:val="0"/>
          <w:szCs w:val="32"/>
          <w:highlight w:val="none"/>
          <w:shd w:val="clear" w:color="auto" w:fill="FFFFFF"/>
          <w:lang w:val="zh-CN" w:eastAsia="zh-CN"/>
        </w:rPr>
        <w:t>个，涉及预算总金额</w:t>
      </w:r>
      <w:r>
        <w:rPr>
          <w:rFonts w:hint="eastAsia" w:cs="Times New Roman"/>
          <w:color w:val="000000"/>
          <w:kern w:val="0"/>
          <w:szCs w:val="32"/>
          <w:highlight w:val="none"/>
          <w:shd w:val="clear" w:color="auto" w:fill="FFFFFF"/>
          <w:lang w:val="en-US" w:eastAsia="zh-CN"/>
        </w:rPr>
        <w:t>287.61</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14:paraId="42E83589">
      <w:pPr>
        <w:keepNext w:val="0"/>
        <w:keepLines w:val="0"/>
        <w:pageBreakBefore w:val="0"/>
        <w:widowControl w:val="0"/>
        <w:numPr>
          <w:ilvl w:val="0"/>
          <w:numId w:val="5"/>
        </w:numPr>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项目决策。（</w:t>
      </w:r>
      <w:r>
        <w:rPr>
          <w:rFonts w:hint="eastAsia" w:ascii="楷体_GB2312" w:hAnsi="楷体_GB2312" w:eastAsia="楷体_GB2312" w:cs="楷体_GB2312"/>
          <w:color w:val="000000"/>
          <w:kern w:val="0"/>
          <w:szCs w:val="32"/>
          <w:highlight w:val="none"/>
          <w:shd w:val="clear" w:color="auto" w:fill="FFFFFF"/>
          <w:lang w:val="en-US" w:eastAsia="zh-CN"/>
        </w:rPr>
        <w:t>12分）</w:t>
      </w:r>
    </w:p>
    <w:p w14:paraId="1D218E8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（1）决策程序</w:t>
      </w:r>
      <w:r>
        <w:rPr>
          <w:rFonts w:hint="eastAsia" w:cs="Times New Roman"/>
          <w:szCs w:val="32"/>
          <w:lang w:val="en-US" w:eastAsia="zh-CN"/>
        </w:rPr>
        <w:t>。（4分）</w:t>
      </w:r>
    </w:p>
    <w:p w14:paraId="0355BC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2023年度，</w:t>
      </w:r>
      <w:r>
        <w:rPr>
          <w:rFonts w:hint="eastAsia" w:cs="Times New Roman"/>
          <w:szCs w:val="32"/>
          <w:lang w:val="en-US" w:eastAsia="zh-CN"/>
        </w:rPr>
        <w:t>我单位</w:t>
      </w:r>
      <w:r>
        <w:rPr>
          <w:rFonts w:hint="eastAsia" w:ascii="Times New Roman" w:hAnsi="Times New Roman" w:cs="Times New Roman"/>
          <w:szCs w:val="32"/>
          <w:lang w:val="en-US" w:eastAsia="zh-CN"/>
        </w:rPr>
        <w:t>预算项目的设立基本履行了项目申报论证程序，与本单位部门职能职责相符，对符合事前评估条件的部门预算项目均实施了事前评估论证程序。</w:t>
      </w:r>
    </w:p>
    <w:p w14:paraId="2348571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（2）目标设置</w:t>
      </w:r>
      <w:r>
        <w:rPr>
          <w:rFonts w:hint="eastAsia" w:cs="Times New Roman"/>
          <w:szCs w:val="32"/>
          <w:lang w:val="en-US" w:eastAsia="zh-CN"/>
        </w:rPr>
        <w:t>。（4分）</w:t>
      </w:r>
    </w:p>
    <w:p w14:paraId="75B0CAD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2023年度，</w:t>
      </w:r>
      <w:r>
        <w:rPr>
          <w:rFonts w:hint="eastAsia" w:cs="Times New Roman"/>
          <w:szCs w:val="32"/>
          <w:lang w:val="en-US" w:eastAsia="zh-CN"/>
        </w:rPr>
        <w:t>我单位</w:t>
      </w:r>
      <w:r>
        <w:rPr>
          <w:rFonts w:hint="eastAsia" w:ascii="Times New Roman" w:hAnsi="Times New Roman" w:cs="Times New Roman"/>
          <w:szCs w:val="32"/>
          <w:lang w:val="en-US" w:eastAsia="zh-CN"/>
        </w:rPr>
        <w:t>按照《渠县财政局关于加强2023年预算编制阶段绩效目标管理工作的通知》要求，项目绩效目标制定符合部门“三定”方案确定职能职责、中长期工作规划，每个项目分别设置了整体目标和绩效目标，并对完成指标、效益指标、满意度指标进行细化量化。我</w:t>
      </w:r>
      <w:r>
        <w:rPr>
          <w:rFonts w:hint="eastAsia" w:cs="Times New Roman"/>
          <w:szCs w:val="32"/>
          <w:lang w:val="en-US" w:eastAsia="zh-CN"/>
        </w:rPr>
        <w:t>单位</w:t>
      </w:r>
      <w:r>
        <w:rPr>
          <w:rFonts w:hint="eastAsia" w:ascii="Times New Roman" w:hAnsi="Times New Roman" w:cs="Times New Roman"/>
          <w:szCs w:val="32"/>
          <w:lang w:val="en-US" w:eastAsia="zh-CN"/>
        </w:rPr>
        <w:t>项目绩效目标制定符合科学合理、规范完整、量化细化、预算匹配的要求。</w:t>
      </w:r>
    </w:p>
    <w:p w14:paraId="0BFF720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（3）项目入库</w:t>
      </w:r>
      <w:r>
        <w:rPr>
          <w:rFonts w:hint="eastAsia" w:cs="Times New Roman"/>
          <w:szCs w:val="32"/>
          <w:lang w:val="en-US" w:eastAsia="zh-CN"/>
        </w:rPr>
        <w:t>。（4分）</w:t>
      </w:r>
    </w:p>
    <w:p w14:paraId="4D7FC23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szCs w:val="32"/>
          <w:lang w:val="en-US" w:eastAsia="zh-CN"/>
        </w:rPr>
        <w:t>我</w:t>
      </w:r>
      <w:r>
        <w:rPr>
          <w:rFonts w:hint="eastAsia" w:cs="Times New Roman"/>
          <w:szCs w:val="32"/>
          <w:lang w:val="en-US" w:eastAsia="zh-CN"/>
        </w:rPr>
        <w:t>单位</w:t>
      </w:r>
      <w:r>
        <w:rPr>
          <w:rFonts w:hint="eastAsia" w:ascii="Times New Roman" w:hAnsi="Times New Roman" w:cs="Times New Roman"/>
          <w:szCs w:val="32"/>
          <w:lang w:val="en-US" w:eastAsia="zh-CN"/>
        </w:rPr>
        <w:t>尚未建立本部门项目库，所有项目均纳入财政项目库管理。</w:t>
      </w:r>
    </w:p>
    <w:p w14:paraId="4F6004D3">
      <w:pPr>
        <w:keepNext w:val="0"/>
        <w:keepLines w:val="0"/>
        <w:pageBreakBefore w:val="0"/>
        <w:widowControl w:val="0"/>
        <w:numPr>
          <w:ilvl w:val="0"/>
          <w:numId w:val="5"/>
        </w:numPr>
        <w:kinsoku/>
        <w:wordWrap/>
        <w:overflowPunct/>
        <w:topLinePunct w:val="0"/>
        <w:autoSpaceDE/>
        <w:autoSpaceDN/>
        <w:bidi w:val="0"/>
        <w:adjustRightInd w:val="0"/>
        <w:snapToGrid w:val="0"/>
        <w:spacing w:line="598" w:lineRule="exact"/>
        <w:ind w:left="0" w:leftChars="0"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项目执行</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12分）</w:t>
      </w:r>
    </w:p>
    <w:p w14:paraId="3651D7B6">
      <w:pPr>
        <w:adjustRightInd w:val="0"/>
        <w:snapToGrid w:val="0"/>
        <w:spacing w:line="598" w:lineRule="exact"/>
        <w:ind w:firstLine="640" w:firstLineChars="200"/>
        <w:contextualSpacing/>
        <w:jc w:val="left"/>
        <w:rPr>
          <w:rFonts w:hint="eastAsia" w:eastAsia="仿宋_GB2312"/>
          <w:color w:val="000000"/>
          <w:kern w:val="0"/>
          <w:szCs w:val="32"/>
          <w:shd w:val="clear" w:color="auto" w:fill="FFFFFF"/>
          <w:lang w:val="en-US" w:eastAsia="zh-CN"/>
        </w:rPr>
      </w:pPr>
      <w:r>
        <w:rPr>
          <w:color w:val="000000"/>
          <w:kern w:val="0"/>
          <w:szCs w:val="32"/>
          <w:shd w:val="clear" w:color="auto" w:fill="FFFFFF"/>
          <w:lang w:val="zh-CN"/>
        </w:rPr>
        <w:t>（1）执行同向</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4分）</w:t>
      </w:r>
    </w:p>
    <w:p w14:paraId="7361927F">
      <w:pPr>
        <w:adjustRightInd w:val="0"/>
        <w:snapToGrid w:val="0"/>
        <w:spacing w:line="598"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为了进一步提高预算执行效率和资金使用效益，我</w:t>
      </w:r>
      <w:r>
        <w:rPr>
          <w:rFonts w:hint="eastAsia"/>
          <w:color w:val="000000"/>
          <w:kern w:val="0"/>
          <w:szCs w:val="32"/>
          <w:shd w:val="clear" w:color="auto" w:fill="FFFFFF"/>
          <w:lang w:val="zh-CN"/>
        </w:rPr>
        <w:t>单位</w:t>
      </w:r>
      <w:r>
        <w:rPr>
          <w:color w:val="000000"/>
          <w:kern w:val="0"/>
          <w:szCs w:val="32"/>
          <w:shd w:val="clear" w:color="auto" w:fill="FFFFFF"/>
          <w:lang w:val="zh-CN"/>
        </w:rPr>
        <w:t>采取了一系列措施加强预算绩效管理，这些措施确保部门预算项目的实际列支内容与绩效目标设置方向相符。</w:t>
      </w:r>
    </w:p>
    <w:p w14:paraId="0A81BEF8">
      <w:pPr>
        <w:adjustRightInd w:val="0"/>
        <w:snapToGrid w:val="0"/>
        <w:spacing w:line="598" w:lineRule="exact"/>
        <w:ind w:firstLine="640" w:firstLineChars="200"/>
        <w:contextualSpacing/>
        <w:jc w:val="left"/>
        <w:rPr>
          <w:rFonts w:hint="eastAsia" w:eastAsia="仿宋_GB2312"/>
          <w:color w:val="000000"/>
          <w:kern w:val="0"/>
          <w:szCs w:val="32"/>
          <w:shd w:val="clear" w:color="auto" w:fill="FFFFFF"/>
          <w:lang w:val="en-US" w:eastAsia="zh-CN"/>
        </w:rPr>
      </w:pPr>
      <w:r>
        <w:rPr>
          <w:color w:val="000000"/>
          <w:kern w:val="0"/>
          <w:szCs w:val="32"/>
          <w:shd w:val="clear" w:color="auto" w:fill="FFFFFF"/>
          <w:lang w:val="zh-CN"/>
        </w:rPr>
        <w:t>（2）</w:t>
      </w:r>
      <w:bookmarkStart w:id="0" w:name="_Hlk174274550"/>
      <w:r>
        <w:rPr>
          <w:color w:val="000000"/>
          <w:kern w:val="0"/>
          <w:szCs w:val="32"/>
          <w:shd w:val="clear" w:color="auto" w:fill="FFFFFF"/>
          <w:lang w:val="zh-CN"/>
        </w:rPr>
        <w:t>项目调整</w:t>
      </w:r>
      <w:bookmarkEnd w:id="0"/>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4分）</w:t>
      </w:r>
    </w:p>
    <w:p w14:paraId="24F2786A">
      <w:pPr>
        <w:adjustRightInd w:val="0"/>
        <w:snapToGrid w:val="0"/>
        <w:spacing w:line="598"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我</w:t>
      </w:r>
      <w:r>
        <w:rPr>
          <w:rFonts w:hint="eastAsia"/>
          <w:color w:val="000000"/>
          <w:kern w:val="0"/>
          <w:szCs w:val="32"/>
          <w:shd w:val="clear" w:color="auto" w:fill="FFFFFF"/>
          <w:lang w:val="zh-CN"/>
        </w:rPr>
        <w:t>单位</w:t>
      </w:r>
      <w:r>
        <w:rPr>
          <w:color w:val="000000"/>
          <w:kern w:val="0"/>
          <w:szCs w:val="32"/>
          <w:shd w:val="clear" w:color="auto" w:fill="FFFFFF"/>
          <w:lang w:val="zh-CN"/>
        </w:rPr>
        <w:t>严格按照县财政局项目调整原则进行，对预算项目确需要调整要资金使用部门提出追加方案，详细列明预算追加的理由、项目、科目、金额等，并报财政和政府审批。我</w:t>
      </w:r>
      <w:r>
        <w:rPr>
          <w:rFonts w:hint="eastAsia"/>
          <w:color w:val="000000"/>
          <w:kern w:val="0"/>
          <w:szCs w:val="32"/>
          <w:shd w:val="clear" w:color="auto" w:fill="FFFFFF"/>
          <w:lang w:val="zh-CN"/>
        </w:rPr>
        <w:t>单位</w:t>
      </w:r>
      <w:r>
        <w:rPr>
          <w:color w:val="000000"/>
          <w:kern w:val="0"/>
          <w:szCs w:val="32"/>
          <w:shd w:val="clear" w:color="auto" w:fill="FFFFFF"/>
          <w:lang w:val="zh-CN"/>
        </w:rPr>
        <w:t>2023年度申请项目预算调整，调整程序规范，依据较充分。</w:t>
      </w:r>
    </w:p>
    <w:p w14:paraId="1B633E46">
      <w:pPr>
        <w:adjustRightInd w:val="0"/>
        <w:snapToGrid w:val="0"/>
        <w:spacing w:line="598"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（3）执行结果</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4分）</w:t>
      </w:r>
    </w:p>
    <w:p w14:paraId="6B1A4FDC">
      <w:pPr>
        <w:widowControl/>
        <w:adjustRightInd w:val="0"/>
        <w:snapToGrid w:val="0"/>
        <w:spacing w:line="600" w:lineRule="exact"/>
        <w:ind w:firstLine="640" w:firstLineChars="200"/>
        <w:contextualSpacing/>
        <w:jc w:val="left"/>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渠县</w:t>
      </w:r>
      <w:r>
        <w:rPr>
          <w:rFonts w:hint="eastAsia" w:cs="Times New Roman"/>
          <w:szCs w:val="32"/>
          <w:lang w:val="en-US" w:eastAsia="zh-CN"/>
        </w:rPr>
        <w:t>李馥镇人民政府</w:t>
      </w:r>
      <w:r>
        <w:rPr>
          <w:color w:val="000000"/>
          <w:kern w:val="0"/>
          <w:szCs w:val="32"/>
          <w:shd w:val="clear" w:color="auto" w:fill="FFFFFF"/>
          <w:lang w:val="zh-CN"/>
        </w:rPr>
        <w:t>2023年</w:t>
      </w:r>
      <w:r>
        <w:rPr>
          <w:rFonts w:hint="eastAsia"/>
          <w:color w:val="000000"/>
          <w:kern w:val="0"/>
          <w:szCs w:val="32"/>
          <w:shd w:val="clear" w:color="auto" w:fill="FFFFFF"/>
          <w:lang w:val="en-US" w:eastAsia="zh-CN"/>
        </w:rPr>
        <w:t>26</w:t>
      </w:r>
      <w:r>
        <w:rPr>
          <w:color w:val="000000"/>
          <w:kern w:val="0"/>
          <w:szCs w:val="32"/>
          <w:shd w:val="clear" w:color="auto" w:fill="FFFFFF"/>
          <w:lang w:val="zh-CN"/>
        </w:rPr>
        <w:t>个项目</w:t>
      </w:r>
      <w:r>
        <w:rPr>
          <w:szCs w:val="32"/>
        </w:rPr>
        <w:t>中</w:t>
      </w:r>
      <w:r>
        <w:rPr>
          <w:rFonts w:hint="eastAsia"/>
          <w:szCs w:val="32"/>
          <w:lang w:val="en-US" w:eastAsia="zh-CN"/>
        </w:rPr>
        <w:t>17</w:t>
      </w:r>
      <w:r>
        <w:rPr>
          <w:szCs w:val="32"/>
        </w:rPr>
        <w:t>个项目为年初申报项目</w:t>
      </w:r>
      <w:r>
        <w:rPr>
          <w:rFonts w:hint="eastAsia"/>
          <w:szCs w:val="32"/>
          <w:lang w:eastAsia="zh-CN"/>
        </w:rPr>
        <w:t>，</w:t>
      </w:r>
      <w:r>
        <w:rPr>
          <w:szCs w:val="32"/>
        </w:rPr>
        <w:t>12月实际支付进度未达到标准的项目</w:t>
      </w:r>
      <w:r>
        <w:rPr>
          <w:rFonts w:hint="eastAsia"/>
          <w:szCs w:val="32"/>
          <w:lang w:val="en-US" w:eastAsia="zh-CN"/>
        </w:rPr>
        <w:t>0</w:t>
      </w:r>
      <w:r>
        <w:rPr>
          <w:szCs w:val="32"/>
        </w:rPr>
        <w:t>个。还有</w:t>
      </w:r>
      <w:r>
        <w:rPr>
          <w:rFonts w:hint="eastAsia"/>
          <w:szCs w:val="32"/>
          <w:lang w:val="en-US" w:eastAsia="zh-CN"/>
        </w:rPr>
        <w:t>9</w:t>
      </w:r>
      <w:r>
        <w:rPr>
          <w:szCs w:val="32"/>
        </w:rPr>
        <w:t>个项目为年中追加项目，截至12月执行率为</w:t>
      </w:r>
      <w:r>
        <w:rPr>
          <w:rFonts w:hint="eastAsia"/>
          <w:szCs w:val="32"/>
          <w:lang w:val="en-US" w:eastAsia="zh-CN"/>
        </w:rPr>
        <w:t>100</w:t>
      </w:r>
      <w:r>
        <w:rPr>
          <w:szCs w:val="32"/>
        </w:rPr>
        <w:t>%</w:t>
      </w:r>
      <w:r>
        <w:rPr>
          <w:rFonts w:hint="eastAsia" w:ascii="Times New Roman" w:hAnsi="Times New Roman" w:cs="Times New Roman"/>
          <w:szCs w:val="32"/>
          <w:lang w:val="zh-CN" w:eastAsia="zh-CN"/>
        </w:rPr>
        <w:t>。</w:t>
      </w:r>
    </w:p>
    <w:p w14:paraId="50F13933">
      <w:pPr>
        <w:widowControl/>
        <w:adjustRightInd w:val="0"/>
        <w:snapToGrid w:val="0"/>
        <w:spacing w:line="600" w:lineRule="exact"/>
        <w:ind w:firstLine="562" w:firstLineChars="200"/>
        <w:contextualSpacing/>
        <w:jc w:val="left"/>
        <w:rPr>
          <w:b/>
          <w:kern w:val="0"/>
          <w:sz w:val="28"/>
          <w:szCs w:val="28"/>
        </w:rPr>
      </w:pPr>
      <w:r>
        <w:rPr>
          <w:b/>
          <w:kern w:val="0"/>
          <w:sz w:val="28"/>
          <w:szCs w:val="28"/>
        </w:rPr>
        <w:t>项目执行进度情况</w:t>
      </w:r>
    </w:p>
    <w:tbl>
      <w:tblPr>
        <w:tblStyle w:val="12"/>
        <w:tblW w:w="9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4"/>
        <w:gridCol w:w="990"/>
        <w:gridCol w:w="870"/>
        <w:gridCol w:w="1005"/>
        <w:gridCol w:w="840"/>
      </w:tblGrid>
      <w:tr w14:paraId="5E32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7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B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4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E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363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459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2023年城乡环境综合治理经费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8DF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FB0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E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2371">
            <w:pPr>
              <w:rPr>
                <w:rFonts w:hint="eastAsia" w:ascii="宋体" w:hAnsi="宋体" w:eastAsia="宋体" w:cs="宋体"/>
                <w:i w:val="0"/>
                <w:iCs w:val="0"/>
                <w:color w:val="000000"/>
                <w:sz w:val="22"/>
                <w:szCs w:val="22"/>
                <w:u w:val="none"/>
              </w:rPr>
            </w:pPr>
          </w:p>
        </w:tc>
      </w:tr>
      <w:tr w14:paraId="0C05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5A4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2023年住读工作经费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E91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3A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8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2BEC">
            <w:pPr>
              <w:rPr>
                <w:rFonts w:hint="eastAsia" w:ascii="宋体" w:hAnsi="宋体" w:eastAsia="宋体" w:cs="宋体"/>
                <w:i w:val="0"/>
                <w:iCs w:val="0"/>
                <w:color w:val="000000"/>
                <w:sz w:val="22"/>
                <w:szCs w:val="22"/>
                <w:u w:val="none"/>
              </w:rPr>
            </w:pPr>
          </w:p>
        </w:tc>
      </w:tr>
      <w:tr w14:paraId="022F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52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2023年乡镇(街道办)党建工作经费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C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7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9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E965">
            <w:pPr>
              <w:rPr>
                <w:rFonts w:hint="eastAsia" w:ascii="宋体" w:hAnsi="宋体" w:eastAsia="宋体" w:cs="宋体"/>
                <w:i w:val="0"/>
                <w:iCs w:val="0"/>
                <w:color w:val="000000"/>
                <w:sz w:val="22"/>
                <w:szCs w:val="22"/>
                <w:u w:val="none"/>
              </w:rPr>
            </w:pPr>
          </w:p>
        </w:tc>
      </w:tr>
      <w:tr w14:paraId="2F81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94E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2023年乡镇两代会经费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3EB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3E8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7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6CD3">
            <w:pPr>
              <w:rPr>
                <w:rFonts w:hint="eastAsia" w:ascii="宋体" w:hAnsi="宋体" w:eastAsia="宋体" w:cs="宋体"/>
                <w:i w:val="0"/>
                <w:iCs w:val="0"/>
                <w:color w:val="000000"/>
                <w:sz w:val="22"/>
                <w:szCs w:val="22"/>
                <w:u w:val="none"/>
              </w:rPr>
            </w:pPr>
          </w:p>
        </w:tc>
      </w:tr>
      <w:tr w14:paraId="5FAD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C8D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2023年纪检专项经费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F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0808">
            <w:pPr>
              <w:rPr>
                <w:rFonts w:hint="eastAsia" w:ascii="宋体" w:hAnsi="宋体" w:eastAsia="宋体" w:cs="宋体"/>
                <w:i w:val="0"/>
                <w:iCs w:val="0"/>
                <w:color w:val="000000"/>
                <w:sz w:val="22"/>
                <w:szCs w:val="22"/>
                <w:u w:val="none"/>
              </w:rPr>
            </w:pPr>
          </w:p>
        </w:tc>
      </w:tr>
      <w:tr w14:paraId="3847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9F8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2023年关工委工作经费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D17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53C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0325">
            <w:pPr>
              <w:rPr>
                <w:rFonts w:hint="eastAsia" w:ascii="宋体" w:hAnsi="宋体" w:eastAsia="宋体" w:cs="宋体"/>
                <w:i w:val="0"/>
                <w:iCs w:val="0"/>
                <w:color w:val="000000"/>
                <w:sz w:val="22"/>
                <w:szCs w:val="22"/>
                <w:u w:val="none"/>
              </w:rPr>
            </w:pPr>
          </w:p>
        </w:tc>
      </w:tr>
      <w:tr w14:paraId="698F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775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2023年维稳专项经费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DBE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418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1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4572">
            <w:pPr>
              <w:rPr>
                <w:rFonts w:hint="eastAsia" w:ascii="宋体" w:hAnsi="宋体" w:eastAsia="宋体" w:cs="宋体"/>
                <w:i w:val="0"/>
                <w:iCs w:val="0"/>
                <w:color w:val="000000"/>
                <w:sz w:val="22"/>
                <w:szCs w:val="22"/>
                <w:u w:val="none"/>
              </w:rPr>
            </w:pPr>
          </w:p>
        </w:tc>
      </w:tr>
      <w:tr w14:paraId="0EEC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36E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2023年乡镇道路交通安全管理经费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7A3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C09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F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F7E">
            <w:pPr>
              <w:rPr>
                <w:rFonts w:hint="eastAsia" w:ascii="宋体" w:hAnsi="宋体" w:eastAsia="宋体" w:cs="宋体"/>
                <w:i w:val="0"/>
                <w:iCs w:val="0"/>
                <w:color w:val="000000"/>
                <w:sz w:val="22"/>
                <w:szCs w:val="22"/>
                <w:u w:val="none"/>
              </w:rPr>
            </w:pPr>
          </w:p>
        </w:tc>
      </w:tr>
      <w:tr w14:paraId="69C1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50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2023年农村道路交通安全管理员和劝导员经费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CC4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E7B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9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C53C">
            <w:pPr>
              <w:rPr>
                <w:rFonts w:hint="eastAsia" w:ascii="宋体" w:hAnsi="宋体" w:eastAsia="宋体" w:cs="宋体"/>
                <w:i w:val="0"/>
                <w:iCs w:val="0"/>
                <w:color w:val="000000"/>
                <w:sz w:val="22"/>
                <w:szCs w:val="22"/>
                <w:u w:val="none"/>
              </w:rPr>
            </w:pPr>
          </w:p>
        </w:tc>
      </w:tr>
      <w:tr w14:paraId="26A5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68E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2023年便民服务中心运行经费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1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2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B2F2">
            <w:pPr>
              <w:rPr>
                <w:rFonts w:hint="eastAsia" w:ascii="宋体" w:hAnsi="宋体" w:eastAsia="宋体" w:cs="宋体"/>
                <w:i w:val="0"/>
                <w:iCs w:val="0"/>
                <w:color w:val="000000"/>
                <w:sz w:val="22"/>
                <w:szCs w:val="22"/>
                <w:u w:val="none"/>
              </w:rPr>
            </w:pPr>
          </w:p>
        </w:tc>
      </w:tr>
      <w:tr w14:paraId="4995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89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2023年基层人防工作经费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5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5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8050">
            <w:pPr>
              <w:rPr>
                <w:rFonts w:hint="eastAsia" w:ascii="宋体" w:hAnsi="宋体" w:eastAsia="宋体" w:cs="宋体"/>
                <w:i w:val="0"/>
                <w:iCs w:val="0"/>
                <w:color w:val="000000"/>
                <w:sz w:val="22"/>
                <w:szCs w:val="22"/>
                <w:u w:val="none"/>
              </w:rPr>
            </w:pPr>
          </w:p>
        </w:tc>
      </w:tr>
      <w:tr w14:paraId="4E38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139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2023年法律顾问经费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E5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BC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2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74CE">
            <w:pPr>
              <w:rPr>
                <w:rFonts w:hint="eastAsia" w:ascii="宋体" w:hAnsi="宋体" w:eastAsia="宋体" w:cs="宋体"/>
                <w:i w:val="0"/>
                <w:iCs w:val="0"/>
                <w:color w:val="000000"/>
                <w:sz w:val="22"/>
                <w:szCs w:val="22"/>
                <w:u w:val="none"/>
              </w:rPr>
            </w:pPr>
          </w:p>
        </w:tc>
      </w:tr>
      <w:tr w14:paraId="00A4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EEF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2023年乡村振兴村工作经费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C3B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A4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D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43F2">
            <w:pPr>
              <w:rPr>
                <w:rFonts w:hint="eastAsia" w:ascii="宋体" w:hAnsi="宋体" w:eastAsia="宋体" w:cs="宋体"/>
                <w:i w:val="0"/>
                <w:iCs w:val="0"/>
                <w:color w:val="000000"/>
                <w:sz w:val="22"/>
                <w:szCs w:val="22"/>
                <w:u w:val="none"/>
              </w:rPr>
            </w:pPr>
          </w:p>
        </w:tc>
      </w:tr>
      <w:tr w14:paraId="05AC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94D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2023年村(社区)党建工作经费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CE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7DA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733E">
            <w:pPr>
              <w:rPr>
                <w:rFonts w:hint="eastAsia" w:ascii="宋体" w:hAnsi="宋体" w:eastAsia="宋体" w:cs="宋体"/>
                <w:i w:val="0"/>
                <w:iCs w:val="0"/>
                <w:color w:val="000000"/>
                <w:sz w:val="22"/>
                <w:szCs w:val="22"/>
                <w:u w:val="none"/>
              </w:rPr>
            </w:pPr>
          </w:p>
        </w:tc>
      </w:tr>
      <w:tr w14:paraId="5B8F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8F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2023年服务群众专项工作经费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A6F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906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6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4DF0">
            <w:pPr>
              <w:rPr>
                <w:rFonts w:hint="eastAsia" w:ascii="宋体" w:hAnsi="宋体" w:eastAsia="宋体" w:cs="宋体"/>
                <w:i w:val="0"/>
                <w:iCs w:val="0"/>
                <w:color w:val="000000"/>
                <w:sz w:val="22"/>
                <w:szCs w:val="22"/>
                <w:u w:val="none"/>
              </w:rPr>
            </w:pPr>
          </w:p>
        </w:tc>
      </w:tr>
      <w:tr w14:paraId="56B9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EA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2023年农村公路日常养护经费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9BE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7FD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4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A9DA">
            <w:pPr>
              <w:rPr>
                <w:rFonts w:hint="eastAsia" w:ascii="宋体" w:hAnsi="宋体" w:eastAsia="宋体" w:cs="宋体"/>
                <w:i w:val="0"/>
                <w:iCs w:val="0"/>
                <w:color w:val="000000"/>
                <w:sz w:val="22"/>
                <w:szCs w:val="22"/>
                <w:u w:val="none"/>
              </w:rPr>
            </w:pPr>
          </w:p>
        </w:tc>
      </w:tr>
      <w:tr w14:paraId="267A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43F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三馆免费开放专项资金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9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E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602E">
            <w:pPr>
              <w:rPr>
                <w:rFonts w:hint="eastAsia" w:ascii="宋体" w:hAnsi="宋体" w:eastAsia="宋体" w:cs="宋体"/>
                <w:i w:val="0"/>
                <w:iCs w:val="0"/>
                <w:color w:val="000000"/>
                <w:sz w:val="22"/>
                <w:szCs w:val="22"/>
                <w:u w:val="none"/>
              </w:rPr>
            </w:pPr>
          </w:p>
        </w:tc>
      </w:tr>
      <w:tr w14:paraId="55BD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B89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失能特困人员照料护理费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F84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73B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8.93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9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24C">
            <w:pPr>
              <w:rPr>
                <w:rFonts w:hint="eastAsia" w:ascii="宋体" w:hAnsi="宋体" w:eastAsia="宋体" w:cs="宋体"/>
                <w:i w:val="0"/>
                <w:iCs w:val="0"/>
                <w:color w:val="000000"/>
                <w:sz w:val="22"/>
                <w:szCs w:val="22"/>
                <w:u w:val="none"/>
              </w:rPr>
            </w:pPr>
          </w:p>
        </w:tc>
      </w:tr>
      <w:tr w14:paraId="37CA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803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2023年困难群众特困人员丧葬补助金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835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054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E812">
            <w:pPr>
              <w:rPr>
                <w:rFonts w:hint="eastAsia" w:ascii="宋体" w:hAnsi="宋体" w:eastAsia="宋体" w:cs="宋体"/>
                <w:i w:val="0"/>
                <w:iCs w:val="0"/>
                <w:color w:val="000000"/>
                <w:sz w:val="22"/>
                <w:szCs w:val="22"/>
                <w:u w:val="none"/>
              </w:rPr>
            </w:pPr>
          </w:p>
        </w:tc>
      </w:tr>
      <w:tr w14:paraId="3549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25CC4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项目资金（渠财预2023-16）危房改造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387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EBE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1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57E7">
            <w:pPr>
              <w:rPr>
                <w:rFonts w:hint="eastAsia" w:ascii="宋体" w:hAnsi="宋体" w:eastAsia="宋体" w:cs="宋体"/>
                <w:i w:val="0"/>
                <w:iCs w:val="0"/>
                <w:color w:val="000000"/>
                <w:sz w:val="22"/>
                <w:szCs w:val="22"/>
                <w:u w:val="none"/>
              </w:rPr>
            </w:pPr>
          </w:p>
        </w:tc>
      </w:tr>
      <w:tr w14:paraId="0CFC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616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2023年村（社区）综合服务设施补短板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093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AA3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5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8481">
            <w:pPr>
              <w:rPr>
                <w:rFonts w:hint="eastAsia" w:ascii="宋体" w:hAnsi="宋体" w:eastAsia="宋体" w:cs="宋体"/>
                <w:i w:val="0"/>
                <w:iCs w:val="0"/>
                <w:color w:val="000000"/>
                <w:sz w:val="22"/>
                <w:szCs w:val="22"/>
                <w:u w:val="none"/>
              </w:rPr>
            </w:pPr>
          </w:p>
        </w:tc>
      </w:tr>
      <w:tr w14:paraId="50F4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A48F2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李馥镇政府污水处理厂建设项目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35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35F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282F">
            <w:pPr>
              <w:rPr>
                <w:rFonts w:hint="eastAsia" w:ascii="宋体" w:hAnsi="宋体" w:eastAsia="宋体" w:cs="宋体"/>
                <w:i w:val="0"/>
                <w:iCs w:val="0"/>
                <w:color w:val="000000"/>
                <w:sz w:val="22"/>
                <w:szCs w:val="22"/>
                <w:u w:val="none"/>
              </w:rPr>
            </w:pPr>
          </w:p>
        </w:tc>
      </w:tr>
      <w:tr w14:paraId="4DDC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186CA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铁牛村6组堰塘维修清淤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6A5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476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6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1022">
            <w:pPr>
              <w:rPr>
                <w:rFonts w:hint="eastAsia" w:ascii="宋体" w:hAnsi="宋体" w:eastAsia="宋体" w:cs="宋体"/>
                <w:i w:val="0"/>
                <w:iCs w:val="0"/>
                <w:color w:val="000000"/>
                <w:sz w:val="22"/>
                <w:szCs w:val="22"/>
                <w:u w:val="none"/>
              </w:rPr>
            </w:pPr>
          </w:p>
        </w:tc>
      </w:tr>
      <w:tr w14:paraId="4B02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E637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2021及2022年天鹅村粮食折现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4DB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19.39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17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A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4E8A">
            <w:pPr>
              <w:rPr>
                <w:rFonts w:hint="eastAsia" w:ascii="宋体" w:hAnsi="宋体" w:eastAsia="宋体" w:cs="宋体"/>
                <w:i w:val="0"/>
                <w:iCs w:val="0"/>
                <w:color w:val="000000"/>
                <w:sz w:val="22"/>
                <w:szCs w:val="22"/>
                <w:u w:val="none"/>
              </w:rPr>
            </w:pPr>
          </w:p>
        </w:tc>
      </w:tr>
      <w:tr w14:paraId="199B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B00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1F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D3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7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F944">
            <w:pPr>
              <w:rPr>
                <w:rFonts w:hint="eastAsia" w:ascii="宋体" w:hAnsi="宋体" w:eastAsia="宋体" w:cs="宋体"/>
                <w:i w:val="0"/>
                <w:iCs w:val="0"/>
                <w:color w:val="000000"/>
                <w:sz w:val="22"/>
                <w:szCs w:val="22"/>
                <w:u w:val="none"/>
              </w:rPr>
            </w:pPr>
          </w:p>
        </w:tc>
      </w:tr>
      <w:tr w14:paraId="3432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E90B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2023年天鹅村粮食折现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B78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C7B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E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B3FE">
            <w:pPr>
              <w:rPr>
                <w:rFonts w:hint="eastAsia" w:ascii="宋体" w:hAnsi="宋体" w:eastAsia="宋体" w:cs="宋体"/>
                <w:i w:val="0"/>
                <w:iCs w:val="0"/>
                <w:color w:val="000000"/>
                <w:sz w:val="22"/>
                <w:szCs w:val="22"/>
                <w:u w:val="none"/>
              </w:rPr>
            </w:pPr>
          </w:p>
        </w:tc>
      </w:tr>
    </w:tbl>
    <w:p w14:paraId="15CD6D8D">
      <w:pPr>
        <w:keepNext w:val="0"/>
        <w:keepLines w:val="0"/>
        <w:pageBreakBefore w:val="0"/>
        <w:widowControl w:val="0"/>
        <w:numPr>
          <w:ilvl w:val="0"/>
          <w:numId w:val="5"/>
        </w:numPr>
        <w:kinsoku/>
        <w:wordWrap/>
        <w:overflowPunct/>
        <w:topLinePunct w:val="0"/>
        <w:autoSpaceDE/>
        <w:autoSpaceDN/>
        <w:bidi w:val="0"/>
        <w:adjustRightInd w:val="0"/>
        <w:snapToGrid w:val="0"/>
        <w:spacing w:line="598" w:lineRule="exact"/>
        <w:ind w:left="0" w:leftChars="0"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目标实现。（</w:t>
      </w:r>
      <w:r>
        <w:rPr>
          <w:rFonts w:hint="eastAsia" w:ascii="楷体_GB2312" w:hAnsi="楷体_GB2312" w:eastAsia="楷体_GB2312" w:cs="楷体_GB2312"/>
          <w:color w:val="000000"/>
          <w:kern w:val="0"/>
          <w:szCs w:val="32"/>
          <w:highlight w:val="none"/>
          <w:shd w:val="clear" w:color="auto" w:fill="FFFFFF"/>
          <w:lang w:val="en-US" w:eastAsia="zh-CN"/>
        </w:rPr>
        <w:t>10分）</w:t>
      </w:r>
    </w:p>
    <w:p w14:paraId="36C80EA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（1）目标完成</w:t>
      </w:r>
      <w:r>
        <w:rPr>
          <w:rFonts w:hint="eastAsia" w:cs="Times New Roman"/>
          <w:szCs w:val="32"/>
          <w:lang w:val="zh-CN" w:eastAsia="zh-CN"/>
        </w:rPr>
        <w:t>。</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4分）</w:t>
      </w:r>
    </w:p>
    <w:p w14:paraId="4EC1763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2023年我</w:t>
      </w:r>
      <w:r>
        <w:rPr>
          <w:rFonts w:hint="eastAsia" w:cs="Times New Roman"/>
          <w:szCs w:val="32"/>
          <w:lang w:val="zh-CN" w:eastAsia="zh-CN"/>
        </w:rPr>
        <w:t>单位</w:t>
      </w:r>
      <w:r>
        <w:rPr>
          <w:rFonts w:hint="eastAsia" w:cs="Times New Roman"/>
          <w:szCs w:val="32"/>
          <w:lang w:val="en-US" w:eastAsia="zh-CN"/>
        </w:rPr>
        <w:t>26</w:t>
      </w:r>
      <w:r>
        <w:rPr>
          <w:rFonts w:hint="eastAsia" w:ascii="Times New Roman" w:hAnsi="Times New Roman" w:cs="Times New Roman"/>
          <w:szCs w:val="32"/>
          <w:lang w:val="zh-CN" w:eastAsia="zh-CN"/>
        </w:rPr>
        <w:t>个项目共涉及数量指标</w:t>
      </w:r>
      <w:r>
        <w:rPr>
          <w:rFonts w:hint="eastAsia" w:cs="Times New Roman"/>
          <w:szCs w:val="32"/>
          <w:lang w:val="en-US" w:eastAsia="zh-CN"/>
        </w:rPr>
        <w:t>35</w:t>
      </w:r>
      <w:r>
        <w:rPr>
          <w:rFonts w:hint="eastAsia" w:ascii="Times New Roman" w:hAnsi="Times New Roman" w:cs="Times New Roman"/>
          <w:szCs w:val="32"/>
          <w:lang w:val="zh-CN" w:eastAsia="zh-CN"/>
        </w:rPr>
        <w:t>个，实际完成</w:t>
      </w:r>
      <w:r>
        <w:rPr>
          <w:rFonts w:hint="eastAsia" w:cs="Times New Roman"/>
          <w:szCs w:val="32"/>
          <w:lang w:val="en-US" w:eastAsia="zh-CN"/>
        </w:rPr>
        <w:t>45</w:t>
      </w:r>
      <w:r>
        <w:rPr>
          <w:rFonts w:hint="eastAsia" w:ascii="Times New Roman" w:hAnsi="Times New Roman" w:cs="Times New Roman"/>
          <w:szCs w:val="32"/>
          <w:lang w:val="zh-CN" w:eastAsia="zh-CN"/>
        </w:rPr>
        <w:t>个，完成率</w:t>
      </w:r>
      <w:r>
        <w:rPr>
          <w:rFonts w:hint="eastAsia" w:cs="Times New Roman"/>
          <w:szCs w:val="32"/>
          <w:lang w:val="en-US" w:eastAsia="zh-CN"/>
        </w:rPr>
        <w:t>100</w:t>
      </w:r>
      <w:r>
        <w:rPr>
          <w:rFonts w:hint="eastAsia" w:ascii="Times New Roman" w:hAnsi="Times New Roman" w:cs="Times New Roman"/>
          <w:szCs w:val="32"/>
          <w:lang w:val="zh-CN" w:eastAsia="zh-CN"/>
        </w:rPr>
        <w:t>%。</w:t>
      </w:r>
    </w:p>
    <w:p w14:paraId="40BED68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（2）目标偏离</w:t>
      </w:r>
      <w:r>
        <w:rPr>
          <w:rFonts w:hint="eastAsia" w:cs="Times New Roman"/>
          <w:szCs w:val="32"/>
          <w:lang w:val="zh-CN" w:eastAsia="zh-CN"/>
        </w:rPr>
        <w:t>。</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3分）</w:t>
      </w:r>
    </w:p>
    <w:p w14:paraId="33BCDE9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Cs w:val="32"/>
          <w:lang w:val="zh-CN" w:eastAsia="zh-CN"/>
        </w:rPr>
      </w:pPr>
      <w:r>
        <w:rPr>
          <w:rFonts w:hint="eastAsia" w:ascii="Times New Roman" w:hAnsi="Times New Roman" w:cs="Times New Roman"/>
          <w:szCs w:val="32"/>
          <w:lang w:val="zh-CN" w:eastAsia="zh-CN"/>
        </w:rPr>
        <w:t>2023年我</w:t>
      </w:r>
      <w:r>
        <w:rPr>
          <w:rFonts w:hint="eastAsia" w:cs="Times New Roman"/>
          <w:szCs w:val="32"/>
          <w:lang w:val="zh-CN" w:eastAsia="zh-CN"/>
        </w:rPr>
        <w:t>单位</w:t>
      </w:r>
      <w:r>
        <w:rPr>
          <w:rFonts w:hint="eastAsia" w:cs="Times New Roman"/>
          <w:szCs w:val="32"/>
          <w:lang w:val="en-US" w:eastAsia="zh-CN"/>
        </w:rPr>
        <w:t>26</w:t>
      </w:r>
      <w:r>
        <w:rPr>
          <w:rFonts w:hint="eastAsia" w:ascii="Times New Roman" w:hAnsi="Times New Roman" w:cs="Times New Roman"/>
          <w:szCs w:val="32"/>
          <w:lang w:val="zh-CN" w:eastAsia="zh-CN"/>
        </w:rPr>
        <w:t>个项目共涉及完成数量指标</w:t>
      </w:r>
      <w:r>
        <w:rPr>
          <w:rFonts w:hint="eastAsia" w:cs="Times New Roman"/>
          <w:szCs w:val="32"/>
          <w:lang w:val="en-US" w:eastAsia="zh-CN"/>
        </w:rPr>
        <w:t>35</w:t>
      </w:r>
      <w:r>
        <w:rPr>
          <w:rFonts w:hint="eastAsia" w:ascii="Times New Roman" w:hAnsi="Times New Roman" w:cs="Times New Roman"/>
          <w:szCs w:val="32"/>
          <w:lang w:val="zh-CN" w:eastAsia="zh-CN"/>
        </w:rPr>
        <w:t>个，</w:t>
      </w:r>
      <w:r>
        <w:rPr>
          <w:rFonts w:hint="eastAsia" w:cs="Times New Roman"/>
          <w:szCs w:val="32"/>
          <w:lang w:val="en-US" w:eastAsia="zh-CN"/>
        </w:rPr>
        <w:t>35个数量指标均没有</w:t>
      </w:r>
      <w:r>
        <w:rPr>
          <w:rFonts w:hint="eastAsia" w:cs="Times New Roman"/>
          <w:szCs w:val="32"/>
          <w:lang w:val="zh-CN" w:eastAsia="zh-CN"/>
        </w:rPr>
        <w:t>出现目标偏离现象，</w:t>
      </w:r>
      <w:r>
        <w:rPr>
          <w:szCs w:val="32"/>
        </w:rPr>
        <w:t>抽查项目数量指标完成情况</w:t>
      </w:r>
      <w:r>
        <w:rPr>
          <w:rFonts w:hint="eastAsia"/>
          <w:szCs w:val="32"/>
          <w:lang w:eastAsia="zh-CN"/>
        </w:rPr>
        <w:t>如下：</w:t>
      </w:r>
    </w:p>
    <w:p w14:paraId="03B96253">
      <w:pPr>
        <w:pStyle w:val="10"/>
        <w:spacing w:line="600" w:lineRule="exact"/>
        <w:jc w:val="center"/>
        <w:rPr>
          <w:rFonts w:ascii="Times New Roman" w:hAnsi="Times New Roman"/>
        </w:rPr>
      </w:pPr>
      <w:r>
        <w:rPr>
          <w:rFonts w:ascii="Times New Roman" w:hAnsi="Times New Roman" w:eastAsia="仿宋_GB2312"/>
          <w:b/>
          <w:kern w:val="0"/>
          <w:sz w:val="28"/>
          <w:szCs w:val="28"/>
        </w:rPr>
        <w:t>抽查项目数量指标完成情况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968"/>
        <w:gridCol w:w="850"/>
        <w:gridCol w:w="1075"/>
        <w:gridCol w:w="1634"/>
        <w:gridCol w:w="1010"/>
      </w:tblGrid>
      <w:tr w14:paraId="4CBC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44" w:type="pct"/>
            <w:vAlign w:val="center"/>
          </w:tcPr>
          <w:p w14:paraId="79FDB6F5">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项目名称</w:t>
            </w:r>
          </w:p>
        </w:tc>
        <w:tc>
          <w:tcPr>
            <w:tcW w:w="534" w:type="pct"/>
            <w:vAlign w:val="center"/>
          </w:tcPr>
          <w:p w14:paraId="1560C6AC">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数量指标个数</w:t>
            </w:r>
          </w:p>
        </w:tc>
        <w:tc>
          <w:tcPr>
            <w:tcW w:w="469" w:type="pct"/>
            <w:vAlign w:val="center"/>
          </w:tcPr>
          <w:p w14:paraId="3CB27D17">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完成个数</w:t>
            </w:r>
          </w:p>
        </w:tc>
        <w:tc>
          <w:tcPr>
            <w:tcW w:w="593" w:type="pct"/>
            <w:vAlign w:val="center"/>
          </w:tcPr>
          <w:p w14:paraId="2675B592">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完成率</w:t>
            </w:r>
          </w:p>
        </w:tc>
        <w:tc>
          <w:tcPr>
            <w:tcW w:w="901" w:type="pct"/>
            <w:vAlign w:val="center"/>
          </w:tcPr>
          <w:p w14:paraId="0CC37031">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完成数量指标中，偏离度在30%以内的个数</w:t>
            </w:r>
          </w:p>
        </w:tc>
        <w:tc>
          <w:tcPr>
            <w:tcW w:w="557" w:type="pct"/>
            <w:vAlign w:val="center"/>
          </w:tcPr>
          <w:p w14:paraId="40B3CC96">
            <w:pPr>
              <w:widowControl/>
              <w:spacing w:line="280" w:lineRule="exact"/>
              <w:jc w:val="center"/>
              <w:rPr>
                <w:rFonts w:eastAsia="宋体"/>
                <w:b w:val="0"/>
                <w:bCs w:val="0"/>
                <w:color w:val="000000"/>
                <w:kern w:val="0"/>
                <w:sz w:val="21"/>
                <w:szCs w:val="21"/>
              </w:rPr>
            </w:pPr>
            <w:r>
              <w:rPr>
                <w:rFonts w:eastAsia="宋体"/>
                <w:b w:val="0"/>
                <w:bCs w:val="0"/>
                <w:color w:val="000000"/>
                <w:kern w:val="0"/>
                <w:sz w:val="21"/>
                <w:szCs w:val="21"/>
              </w:rPr>
              <w:t>占比</w:t>
            </w:r>
          </w:p>
        </w:tc>
      </w:tr>
      <w:tr w14:paraId="58C7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2B88F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eastAsia="宋体"/>
                <w:b w:val="0"/>
                <w:bCs w:val="0"/>
                <w:sz w:val="21"/>
                <w:szCs w:val="21"/>
                <w:lang w:val="en-US" w:eastAsia="zh-CN"/>
              </w:rPr>
              <w:t>2023年城乡环境综合治理经费</w:t>
            </w:r>
          </w:p>
        </w:tc>
        <w:tc>
          <w:tcPr>
            <w:tcW w:w="534" w:type="pct"/>
            <w:vAlign w:val="center"/>
          </w:tcPr>
          <w:p w14:paraId="2D60BAD4">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1</w:t>
            </w:r>
          </w:p>
        </w:tc>
        <w:tc>
          <w:tcPr>
            <w:tcW w:w="469" w:type="pct"/>
            <w:vAlign w:val="center"/>
          </w:tcPr>
          <w:p w14:paraId="72EC1AF9">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1</w:t>
            </w:r>
          </w:p>
        </w:tc>
        <w:tc>
          <w:tcPr>
            <w:tcW w:w="593" w:type="pct"/>
            <w:vAlign w:val="center"/>
          </w:tcPr>
          <w:p w14:paraId="66D3B8FE">
            <w:pPr>
              <w:widowControl/>
              <w:spacing w:line="280" w:lineRule="exact"/>
              <w:jc w:val="center"/>
              <w:rPr>
                <w:b w:val="0"/>
                <w:bCs w:val="0"/>
                <w:sz w:val="21"/>
                <w:szCs w:val="21"/>
              </w:rPr>
            </w:pPr>
            <w:r>
              <w:rPr>
                <w:b w:val="0"/>
                <w:bCs w:val="0"/>
                <w:sz w:val="21"/>
                <w:szCs w:val="21"/>
              </w:rPr>
              <w:t>100%</w:t>
            </w:r>
          </w:p>
        </w:tc>
        <w:tc>
          <w:tcPr>
            <w:tcW w:w="901" w:type="pct"/>
            <w:vAlign w:val="center"/>
          </w:tcPr>
          <w:p w14:paraId="636CCFE6">
            <w:pPr>
              <w:widowControl/>
              <w:spacing w:line="280" w:lineRule="exact"/>
              <w:jc w:val="center"/>
              <w:rPr>
                <w:rFonts w:hint="eastAsia" w:eastAsia="仿宋_GB2312"/>
                <w:b w:val="0"/>
                <w:bCs w:val="0"/>
                <w:sz w:val="21"/>
                <w:szCs w:val="21"/>
                <w:lang w:val="en-US" w:eastAsia="zh-CN"/>
              </w:rPr>
            </w:pPr>
            <w:r>
              <w:rPr>
                <w:rFonts w:hint="eastAsia"/>
                <w:b w:val="0"/>
                <w:bCs w:val="0"/>
                <w:sz w:val="21"/>
                <w:szCs w:val="21"/>
                <w:lang w:val="en-US" w:eastAsia="zh-CN"/>
              </w:rPr>
              <w:t>0</w:t>
            </w:r>
          </w:p>
        </w:tc>
        <w:tc>
          <w:tcPr>
            <w:tcW w:w="557" w:type="pct"/>
            <w:vAlign w:val="center"/>
          </w:tcPr>
          <w:p w14:paraId="60708C69">
            <w:pPr>
              <w:widowControl/>
              <w:spacing w:line="280" w:lineRule="exact"/>
              <w:jc w:val="center"/>
              <w:rPr>
                <w:b w:val="0"/>
                <w:bCs w:val="0"/>
                <w:sz w:val="21"/>
                <w:szCs w:val="21"/>
              </w:rPr>
            </w:pPr>
            <w:r>
              <w:rPr>
                <w:b w:val="0"/>
                <w:bCs w:val="0"/>
                <w:sz w:val="21"/>
                <w:szCs w:val="21"/>
              </w:rPr>
              <w:t>0%</w:t>
            </w:r>
          </w:p>
        </w:tc>
      </w:tr>
      <w:tr w14:paraId="7C15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7B453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eastAsia="宋体"/>
                <w:b w:val="0"/>
                <w:bCs w:val="0"/>
                <w:sz w:val="21"/>
                <w:szCs w:val="21"/>
                <w:lang w:val="en-US" w:eastAsia="zh-CN"/>
              </w:rPr>
            </w:pPr>
            <w:r>
              <w:rPr>
                <w:rFonts w:hint="eastAsia" w:eastAsia="宋体"/>
                <w:b w:val="0"/>
                <w:bCs w:val="0"/>
                <w:sz w:val="21"/>
                <w:szCs w:val="21"/>
                <w:lang w:val="en-US" w:eastAsia="zh-CN"/>
              </w:rPr>
              <w:t>2023年乡镇（街道）党建工作经费</w:t>
            </w:r>
          </w:p>
        </w:tc>
        <w:tc>
          <w:tcPr>
            <w:tcW w:w="534" w:type="pct"/>
            <w:vAlign w:val="center"/>
          </w:tcPr>
          <w:p w14:paraId="5BF33F44">
            <w:pPr>
              <w:widowControl/>
              <w:spacing w:line="280" w:lineRule="exact"/>
              <w:jc w:val="center"/>
              <w:rPr>
                <w:rFonts w:hint="eastAsia" w:eastAsia="仿宋_GB2312"/>
                <w:b w:val="0"/>
                <w:bCs w:val="0"/>
                <w:color w:val="auto"/>
                <w:sz w:val="21"/>
                <w:szCs w:val="21"/>
                <w:lang w:val="en-US" w:eastAsia="zh-CN"/>
              </w:rPr>
            </w:pPr>
            <w:r>
              <w:rPr>
                <w:rFonts w:hint="eastAsia"/>
                <w:b w:val="0"/>
                <w:bCs w:val="0"/>
                <w:color w:val="auto"/>
                <w:sz w:val="21"/>
                <w:szCs w:val="21"/>
                <w:lang w:val="en-US" w:eastAsia="zh-CN"/>
              </w:rPr>
              <w:t>1</w:t>
            </w:r>
          </w:p>
        </w:tc>
        <w:tc>
          <w:tcPr>
            <w:tcW w:w="469" w:type="pct"/>
            <w:vAlign w:val="center"/>
          </w:tcPr>
          <w:p w14:paraId="1DCF0CB7">
            <w:pPr>
              <w:widowControl/>
              <w:spacing w:line="280" w:lineRule="exact"/>
              <w:jc w:val="center"/>
              <w:rPr>
                <w:b w:val="0"/>
                <w:bCs w:val="0"/>
                <w:sz w:val="21"/>
                <w:szCs w:val="21"/>
              </w:rPr>
            </w:pPr>
            <w:r>
              <w:rPr>
                <w:b w:val="0"/>
                <w:bCs w:val="0"/>
                <w:sz w:val="21"/>
                <w:szCs w:val="21"/>
              </w:rPr>
              <w:t>2</w:t>
            </w:r>
          </w:p>
        </w:tc>
        <w:tc>
          <w:tcPr>
            <w:tcW w:w="593" w:type="pct"/>
            <w:vAlign w:val="center"/>
          </w:tcPr>
          <w:p w14:paraId="2B27895F">
            <w:pPr>
              <w:widowControl/>
              <w:spacing w:line="280" w:lineRule="exact"/>
              <w:jc w:val="center"/>
              <w:rPr>
                <w:b w:val="0"/>
                <w:bCs w:val="0"/>
                <w:sz w:val="21"/>
                <w:szCs w:val="21"/>
              </w:rPr>
            </w:pPr>
            <w:r>
              <w:rPr>
                <w:b w:val="0"/>
                <w:bCs w:val="0"/>
                <w:sz w:val="21"/>
                <w:szCs w:val="21"/>
              </w:rPr>
              <w:t>100%</w:t>
            </w:r>
          </w:p>
        </w:tc>
        <w:tc>
          <w:tcPr>
            <w:tcW w:w="901" w:type="pct"/>
            <w:vAlign w:val="center"/>
          </w:tcPr>
          <w:p w14:paraId="26CDC087">
            <w:pPr>
              <w:widowControl/>
              <w:spacing w:line="280" w:lineRule="exact"/>
              <w:jc w:val="center"/>
              <w:rPr>
                <w:b w:val="0"/>
                <w:bCs w:val="0"/>
                <w:sz w:val="21"/>
                <w:szCs w:val="21"/>
              </w:rPr>
            </w:pPr>
            <w:r>
              <w:rPr>
                <w:rFonts w:hint="eastAsia"/>
                <w:b w:val="0"/>
                <w:bCs w:val="0"/>
                <w:sz w:val="21"/>
                <w:szCs w:val="21"/>
                <w:lang w:val="en-US" w:eastAsia="zh-CN"/>
              </w:rPr>
              <w:t>0</w:t>
            </w:r>
          </w:p>
        </w:tc>
        <w:tc>
          <w:tcPr>
            <w:tcW w:w="557" w:type="pct"/>
            <w:vAlign w:val="center"/>
          </w:tcPr>
          <w:p w14:paraId="3E5FCBAB">
            <w:pPr>
              <w:widowControl/>
              <w:spacing w:line="280" w:lineRule="exact"/>
              <w:jc w:val="center"/>
              <w:rPr>
                <w:b w:val="0"/>
                <w:bCs w:val="0"/>
                <w:sz w:val="21"/>
                <w:szCs w:val="21"/>
              </w:rPr>
            </w:pPr>
            <w:r>
              <w:rPr>
                <w:b w:val="0"/>
                <w:bCs w:val="0"/>
                <w:sz w:val="21"/>
                <w:szCs w:val="21"/>
              </w:rPr>
              <w:t>0%</w:t>
            </w:r>
          </w:p>
        </w:tc>
      </w:tr>
      <w:tr w14:paraId="40AA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5206AB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eastAsia="宋体"/>
                <w:b w:val="0"/>
                <w:bCs w:val="0"/>
                <w:sz w:val="21"/>
                <w:szCs w:val="21"/>
              </w:rPr>
              <w:t>2023年天鹅村粮食折现</w:t>
            </w:r>
          </w:p>
        </w:tc>
        <w:tc>
          <w:tcPr>
            <w:tcW w:w="534" w:type="pct"/>
            <w:vAlign w:val="center"/>
          </w:tcPr>
          <w:p w14:paraId="64F86B39">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1</w:t>
            </w:r>
          </w:p>
        </w:tc>
        <w:tc>
          <w:tcPr>
            <w:tcW w:w="469" w:type="pct"/>
            <w:vAlign w:val="center"/>
          </w:tcPr>
          <w:p w14:paraId="29364E90">
            <w:pPr>
              <w:widowControl/>
              <w:spacing w:line="280" w:lineRule="exact"/>
              <w:jc w:val="center"/>
              <w:rPr>
                <w:b w:val="0"/>
                <w:bCs w:val="0"/>
                <w:sz w:val="21"/>
                <w:szCs w:val="21"/>
              </w:rPr>
            </w:pPr>
            <w:r>
              <w:rPr>
                <w:b w:val="0"/>
                <w:bCs w:val="0"/>
                <w:sz w:val="21"/>
                <w:szCs w:val="21"/>
              </w:rPr>
              <w:t>1</w:t>
            </w:r>
          </w:p>
        </w:tc>
        <w:tc>
          <w:tcPr>
            <w:tcW w:w="593" w:type="pct"/>
            <w:vAlign w:val="center"/>
          </w:tcPr>
          <w:p w14:paraId="2370B086">
            <w:pPr>
              <w:widowControl/>
              <w:spacing w:line="280" w:lineRule="exact"/>
              <w:jc w:val="center"/>
              <w:rPr>
                <w:b w:val="0"/>
                <w:bCs w:val="0"/>
                <w:sz w:val="21"/>
                <w:szCs w:val="21"/>
              </w:rPr>
            </w:pPr>
            <w:r>
              <w:rPr>
                <w:b w:val="0"/>
                <w:bCs w:val="0"/>
                <w:sz w:val="21"/>
                <w:szCs w:val="21"/>
              </w:rPr>
              <w:t>100%</w:t>
            </w:r>
          </w:p>
        </w:tc>
        <w:tc>
          <w:tcPr>
            <w:tcW w:w="901" w:type="pct"/>
            <w:vAlign w:val="center"/>
          </w:tcPr>
          <w:p w14:paraId="3530BFB9">
            <w:pPr>
              <w:widowControl/>
              <w:spacing w:line="280" w:lineRule="exact"/>
              <w:jc w:val="center"/>
              <w:rPr>
                <w:rFonts w:hint="eastAsia" w:eastAsia="仿宋_GB2312"/>
                <w:b w:val="0"/>
                <w:bCs w:val="0"/>
                <w:sz w:val="21"/>
                <w:szCs w:val="21"/>
                <w:lang w:val="en-US" w:eastAsia="zh-CN"/>
              </w:rPr>
            </w:pPr>
            <w:r>
              <w:rPr>
                <w:rFonts w:hint="eastAsia"/>
                <w:b w:val="0"/>
                <w:bCs w:val="0"/>
                <w:sz w:val="21"/>
                <w:szCs w:val="21"/>
                <w:lang w:val="en-US" w:eastAsia="zh-CN"/>
              </w:rPr>
              <w:t>0</w:t>
            </w:r>
          </w:p>
        </w:tc>
        <w:tc>
          <w:tcPr>
            <w:tcW w:w="557" w:type="pct"/>
            <w:vAlign w:val="center"/>
          </w:tcPr>
          <w:p w14:paraId="2A37FB25">
            <w:pPr>
              <w:widowControl/>
              <w:spacing w:line="280" w:lineRule="exact"/>
              <w:jc w:val="center"/>
              <w:rPr>
                <w:b w:val="0"/>
                <w:bCs w:val="0"/>
                <w:sz w:val="21"/>
                <w:szCs w:val="21"/>
              </w:rPr>
            </w:pPr>
            <w:r>
              <w:rPr>
                <w:b w:val="0"/>
                <w:bCs w:val="0"/>
                <w:sz w:val="21"/>
                <w:szCs w:val="21"/>
              </w:rPr>
              <w:t>0%</w:t>
            </w:r>
          </w:p>
        </w:tc>
      </w:tr>
      <w:tr w14:paraId="29A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6613B8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ascii="宋体" w:hAnsi="宋体" w:eastAsia="宋体" w:cs="宋体"/>
                <w:i w:val="0"/>
                <w:iCs w:val="0"/>
                <w:color w:val="000000"/>
                <w:kern w:val="0"/>
                <w:sz w:val="21"/>
                <w:szCs w:val="21"/>
                <w:u w:val="none"/>
                <w:lang w:val="en-US" w:eastAsia="zh-CN" w:bidi="ar"/>
              </w:rPr>
              <w:t>国有企业退休人员社会化管理补助</w:t>
            </w:r>
          </w:p>
        </w:tc>
        <w:tc>
          <w:tcPr>
            <w:tcW w:w="534" w:type="pct"/>
            <w:shd w:val="clear" w:color="auto" w:fill="FFFFFF"/>
            <w:vAlign w:val="center"/>
          </w:tcPr>
          <w:p w14:paraId="1DA7B7A0">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2</w:t>
            </w:r>
          </w:p>
        </w:tc>
        <w:tc>
          <w:tcPr>
            <w:tcW w:w="469" w:type="pct"/>
            <w:shd w:val="clear" w:color="auto" w:fill="FFFFFF"/>
            <w:vAlign w:val="center"/>
          </w:tcPr>
          <w:p w14:paraId="463C3796">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2</w:t>
            </w:r>
          </w:p>
        </w:tc>
        <w:tc>
          <w:tcPr>
            <w:tcW w:w="593" w:type="pct"/>
            <w:shd w:val="clear" w:color="auto" w:fill="FFFFFF"/>
            <w:vAlign w:val="center"/>
          </w:tcPr>
          <w:p w14:paraId="0F2D53C1">
            <w:pPr>
              <w:widowControl/>
              <w:spacing w:line="280" w:lineRule="exact"/>
              <w:jc w:val="center"/>
              <w:rPr>
                <w:b w:val="0"/>
                <w:bCs w:val="0"/>
                <w:sz w:val="21"/>
                <w:szCs w:val="21"/>
              </w:rPr>
            </w:pPr>
            <w:r>
              <w:rPr>
                <w:b w:val="0"/>
                <w:bCs w:val="0"/>
                <w:sz w:val="21"/>
                <w:szCs w:val="21"/>
              </w:rPr>
              <w:t>100%</w:t>
            </w:r>
          </w:p>
        </w:tc>
        <w:tc>
          <w:tcPr>
            <w:tcW w:w="901" w:type="pct"/>
            <w:shd w:val="clear" w:color="auto" w:fill="FFFFFF"/>
            <w:vAlign w:val="center"/>
          </w:tcPr>
          <w:p w14:paraId="58F2D9EB">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shd w:val="clear" w:color="auto" w:fill="FFFFFF"/>
            <w:vAlign w:val="center"/>
          </w:tcPr>
          <w:p w14:paraId="779EFF28">
            <w:pPr>
              <w:widowControl/>
              <w:spacing w:line="280" w:lineRule="exact"/>
              <w:jc w:val="center"/>
              <w:rPr>
                <w:b w:val="0"/>
                <w:bCs w:val="0"/>
                <w:sz w:val="21"/>
                <w:szCs w:val="21"/>
              </w:rPr>
            </w:pPr>
            <w:r>
              <w:rPr>
                <w:b w:val="0"/>
                <w:bCs w:val="0"/>
                <w:sz w:val="21"/>
                <w:szCs w:val="21"/>
              </w:rPr>
              <w:t>0%</w:t>
            </w:r>
          </w:p>
        </w:tc>
      </w:tr>
      <w:tr w14:paraId="79E8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536EE8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eastAsia="宋体"/>
                <w:b w:val="0"/>
                <w:bCs w:val="0"/>
                <w:sz w:val="21"/>
                <w:szCs w:val="21"/>
                <w:lang w:val="en-US"/>
              </w:rPr>
            </w:pPr>
            <w:r>
              <w:rPr>
                <w:rFonts w:hint="eastAsia" w:ascii="宋体" w:hAnsi="宋体" w:eastAsia="宋体" w:cs="宋体"/>
                <w:i w:val="0"/>
                <w:iCs w:val="0"/>
                <w:color w:val="000000"/>
                <w:kern w:val="0"/>
                <w:sz w:val="21"/>
                <w:szCs w:val="21"/>
                <w:u w:val="none"/>
                <w:lang w:val="en-US" w:eastAsia="zh-CN" w:bidi="ar"/>
              </w:rPr>
              <w:t>2023年维稳专项经费</w:t>
            </w:r>
          </w:p>
        </w:tc>
        <w:tc>
          <w:tcPr>
            <w:tcW w:w="534" w:type="pct"/>
            <w:vAlign w:val="center"/>
          </w:tcPr>
          <w:p w14:paraId="60EB1E0C">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2</w:t>
            </w:r>
          </w:p>
        </w:tc>
        <w:tc>
          <w:tcPr>
            <w:tcW w:w="469" w:type="pct"/>
            <w:vAlign w:val="center"/>
          </w:tcPr>
          <w:p w14:paraId="36EC8A8D">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2</w:t>
            </w:r>
          </w:p>
        </w:tc>
        <w:tc>
          <w:tcPr>
            <w:tcW w:w="593" w:type="pct"/>
            <w:vAlign w:val="center"/>
          </w:tcPr>
          <w:p w14:paraId="2B8C150C">
            <w:pPr>
              <w:widowControl/>
              <w:spacing w:line="280" w:lineRule="exact"/>
              <w:jc w:val="center"/>
              <w:rPr>
                <w:b w:val="0"/>
                <w:bCs w:val="0"/>
                <w:sz w:val="21"/>
                <w:szCs w:val="21"/>
              </w:rPr>
            </w:pPr>
            <w:r>
              <w:rPr>
                <w:b w:val="0"/>
                <w:bCs w:val="0"/>
                <w:sz w:val="21"/>
                <w:szCs w:val="21"/>
              </w:rPr>
              <w:t>100%</w:t>
            </w:r>
          </w:p>
        </w:tc>
        <w:tc>
          <w:tcPr>
            <w:tcW w:w="901" w:type="pct"/>
            <w:vAlign w:val="center"/>
          </w:tcPr>
          <w:p w14:paraId="38102E53">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5FCDEC22">
            <w:pPr>
              <w:widowControl/>
              <w:spacing w:line="280" w:lineRule="exact"/>
              <w:jc w:val="center"/>
              <w:rPr>
                <w:b w:val="0"/>
                <w:bCs w:val="0"/>
                <w:sz w:val="21"/>
                <w:szCs w:val="21"/>
              </w:rPr>
            </w:pPr>
            <w:r>
              <w:rPr>
                <w:b w:val="0"/>
                <w:bCs w:val="0"/>
                <w:sz w:val="21"/>
                <w:szCs w:val="21"/>
              </w:rPr>
              <w:t>0%</w:t>
            </w:r>
          </w:p>
        </w:tc>
      </w:tr>
      <w:tr w14:paraId="0E5C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22F74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eastAsia="宋体"/>
                <w:b w:val="0"/>
                <w:bCs w:val="0"/>
                <w:sz w:val="21"/>
                <w:szCs w:val="21"/>
                <w:lang w:val="en-US" w:eastAsia="zh-CN"/>
              </w:rPr>
            </w:pPr>
            <w:r>
              <w:rPr>
                <w:rFonts w:hint="eastAsia" w:eastAsia="宋体"/>
                <w:b w:val="0"/>
                <w:bCs w:val="0"/>
                <w:sz w:val="21"/>
                <w:szCs w:val="21"/>
                <w:lang w:val="en-US" w:eastAsia="zh-CN"/>
              </w:rPr>
              <w:t>危房改造资金</w:t>
            </w:r>
          </w:p>
        </w:tc>
        <w:tc>
          <w:tcPr>
            <w:tcW w:w="534" w:type="pct"/>
            <w:vAlign w:val="center"/>
          </w:tcPr>
          <w:p w14:paraId="218CA5D5">
            <w:pPr>
              <w:widowControl/>
              <w:spacing w:line="280" w:lineRule="exact"/>
              <w:jc w:val="center"/>
              <w:rPr>
                <w:b w:val="0"/>
                <w:bCs w:val="0"/>
                <w:color w:val="auto"/>
                <w:sz w:val="21"/>
                <w:szCs w:val="21"/>
              </w:rPr>
            </w:pPr>
            <w:r>
              <w:rPr>
                <w:b w:val="0"/>
                <w:bCs w:val="0"/>
                <w:color w:val="auto"/>
                <w:sz w:val="21"/>
                <w:szCs w:val="21"/>
              </w:rPr>
              <w:t>1</w:t>
            </w:r>
          </w:p>
        </w:tc>
        <w:tc>
          <w:tcPr>
            <w:tcW w:w="469" w:type="pct"/>
            <w:vAlign w:val="center"/>
          </w:tcPr>
          <w:p w14:paraId="2BC28E5C">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1</w:t>
            </w:r>
          </w:p>
        </w:tc>
        <w:tc>
          <w:tcPr>
            <w:tcW w:w="593" w:type="pct"/>
            <w:vAlign w:val="center"/>
          </w:tcPr>
          <w:p w14:paraId="61DC18D1">
            <w:pPr>
              <w:widowControl/>
              <w:spacing w:line="280" w:lineRule="exact"/>
              <w:jc w:val="center"/>
              <w:rPr>
                <w:b w:val="0"/>
                <w:bCs w:val="0"/>
                <w:sz w:val="21"/>
                <w:szCs w:val="21"/>
              </w:rPr>
            </w:pPr>
            <w:r>
              <w:rPr>
                <w:b w:val="0"/>
                <w:bCs w:val="0"/>
                <w:sz w:val="21"/>
                <w:szCs w:val="21"/>
              </w:rPr>
              <w:t>100%</w:t>
            </w:r>
          </w:p>
        </w:tc>
        <w:tc>
          <w:tcPr>
            <w:tcW w:w="901" w:type="pct"/>
            <w:vAlign w:val="center"/>
          </w:tcPr>
          <w:p w14:paraId="53B0E902">
            <w:pPr>
              <w:widowControl/>
              <w:spacing w:line="280" w:lineRule="exact"/>
              <w:jc w:val="center"/>
              <w:rPr>
                <w:b w:val="0"/>
                <w:bCs w:val="0"/>
                <w:sz w:val="21"/>
                <w:szCs w:val="21"/>
              </w:rPr>
            </w:pPr>
            <w:r>
              <w:rPr>
                <w:b w:val="0"/>
                <w:bCs w:val="0"/>
                <w:sz w:val="21"/>
                <w:szCs w:val="21"/>
              </w:rPr>
              <w:t>0</w:t>
            </w:r>
          </w:p>
        </w:tc>
        <w:tc>
          <w:tcPr>
            <w:tcW w:w="557" w:type="pct"/>
            <w:vAlign w:val="center"/>
          </w:tcPr>
          <w:p w14:paraId="44E7DED2">
            <w:pPr>
              <w:widowControl/>
              <w:spacing w:line="280" w:lineRule="exact"/>
              <w:jc w:val="center"/>
              <w:rPr>
                <w:b w:val="0"/>
                <w:bCs w:val="0"/>
                <w:sz w:val="21"/>
                <w:szCs w:val="21"/>
              </w:rPr>
            </w:pPr>
            <w:r>
              <w:rPr>
                <w:b w:val="0"/>
                <w:bCs w:val="0"/>
                <w:sz w:val="21"/>
                <w:szCs w:val="21"/>
              </w:rPr>
              <w:t>0%</w:t>
            </w:r>
          </w:p>
        </w:tc>
      </w:tr>
      <w:tr w14:paraId="27E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BFCBC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eastAsia="宋体"/>
                <w:b w:val="0"/>
                <w:bCs w:val="0"/>
                <w:sz w:val="21"/>
                <w:szCs w:val="21"/>
                <w:lang w:val="en-US" w:eastAsia="zh-CN"/>
              </w:rPr>
            </w:pPr>
            <w:r>
              <w:rPr>
                <w:rFonts w:hint="eastAsia" w:eastAsia="宋体"/>
                <w:b w:val="0"/>
                <w:bCs w:val="0"/>
                <w:sz w:val="21"/>
                <w:szCs w:val="21"/>
                <w:lang w:val="en-US" w:eastAsia="zh-CN"/>
              </w:rPr>
              <w:t>2023年乡镇关工委经费</w:t>
            </w:r>
          </w:p>
        </w:tc>
        <w:tc>
          <w:tcPr>
            <w:tcW w:w="534" w:type="pct"/>
            <w:vAlign w:val="center"/>
          </w:tcPr>
          <w:p w14:paraId="29DD018B">
            <w:pPr>
              <w:widowControl/>
              <w:spacing w:line="280" w:lineRule="exact"/>
              <w:jc w:val="center"/>
              <w:rPr>
                <w:rFonts w:hint="default" w:eastAsia="仿宋_GB2312"/>
                <w:b w:val="0"/>
                <w:bCs w:val="0"/>
                <w:color w:val="auto"/>
                <w:sz w:val="21"/>
                <w:szCs w:val="21"/>
                <w:lang w:val="en-US" w:eastAsia="zh-CN"/>
              </w:rPr>
            </w:pPr>
            <w:r>
              <w:rPr>
                <w:rFonts w:hint="eastAsia"/>
                <w:b w:val="0"/>
                <w:bCs w:val="0"/>
                <w:color w:val="auto"/>
                <w:sz w:val="21"/>
                <w:szCs w:val="21"/>
                <w:lang w:val="en-US" w:eastAsia="zh-CN"/>
              </w:rPr>
              <w:t>1</w:t>
            </w:r>
          </w:p>
        </w:tc>
        <w:tc>
          <w:tcPr>
            <w:tcW w:w="469" w:type="pct"/>
            <w:vAlign w:val="center"/>
          </w:tcPr>
          <w:p w14:paraId="1E910CFC">
            <w:pPr>
              <w:widowControl/>
              <w:spacing w:line="280" w:lineRule="exact"/>
              <w:jc w:val="center"/>
              <w:rPr>
                <w:rFonts w:hint="default" w:eastAsia="仿宋_GB2312"/>
                <w:b w:val="0"/>
                <w:bCs w:val="0"/>
                <w:sz w:val="21"/>
                <w:szCs w:val="21"/>
                <w:lang w:val="en-US" w:eastAsia="zh-CN"/>
              </w:rPr>
            </w:pPr>
            <w:r>
              <w:rPr>
                <w:rFonts w:hint="eastAsia"/>
                <w:b w:val="0"/>
                <w:bCs w:val="0"/>
                <w:sz w:val="21"/>
                <w:szCs w:val="21"/>
                <w:lang w:val="en-US" w:eastAsia="zh-CN"/>
              </w:rPr>
              <w:t>1</w:t>
            </w:r>
          </w:p>
        </w:tc>
        <w:tc>
          <w:tcPr>
            <w:tcW w:w="593" w:type="pct"/>
            <w:vAlign w:val="center"/>
          </w:tcPr>
          <w:p w14:paraId="3DABF112">
            <w:pPr>
              <w:widowControl/>
              <w:spacing w:line="280" w:lineRule="exact"/>
              <w:jc w:val="center"/>
              <w:rPr>
                <w:b w:val="0"/>
                <w:bCs w:val="0"/>
                <w:sz w:val="21"/>
                <w:szCs w:val="21"/>
              </w:rPr>
            </w:pPr>
            <w:r>
              <w:rPr>
                <w:b w:val="0"/>
                <w:bCs w:val="0"/>
                <w:sz w:val="21"/>
                <w:szCs w:val="21"/>
              </w:rPr>
              <w:t>100%</w:t>
            </w:r>
          </w:p>
        </w:tc>
        <w:tc>
          <w:tcPr>
            <w:tcW w:w="901" w:type="pct"/>
            <w:vAlign w:val="center"/>
          </w:tcPr>
          <w:p w14:paraId="084C0AFF">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684E88BD">
            <w:pPr>
              <w:widowControl/>
              <w:spacing w:line="280" w:lineRule="exact"/>
              <w:jc w:val="center"/>
              <w:rPr>
                <w:b w:val="0"/>
                <w:bCs w:val="0"/>
                <w:sz w:val="21"/>
                <w:szCs w:val="21"/>
              </w:rPr>
            </w:pPr>
            <w:r>
              <w:rPr>
                <w:b w:val="0"/>
                <w:bCs w:val="0"/>
                <w:sz w:val="21"/>
                <w:szCs w:val="21"/>
              </w:rPr>
              <w:t>0%</w:t>
            </w:r>
          </w:p>
        </w:tc>
      </w:tr>
      <w:tr w14:paraId="60D2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1345B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eastAsia="宋体"/>
                <w:b w:val="0"/>
                <w:bCs w:val="0"/>
                <w:sz w:val="21"/>
                <w:szCs w:val="21"/>
              </w:rPr>
              <w:t>2023年服务群众专项工作经费</w:t>
            </w:r>
          </w:p>
        </w:tc>
        <w:tc>
          <w:tcPr>
            <w:tcW w:w="534" w:type="pct"/>
            <w:vAlign w:val="center"/>
          </w:tcPr>
          <w:p w14:paraId="00A9870C">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1</w:t>
            </w:r>
          </w:p>
        </w:tc>
        <w:tc>
          <w:tcPr>
            <w:tcW w:w="469" w:type="pct"/>
            <w:vAlign w:val="center"/>
          </w:tcPr>
          <w:p w14:paraId="02AE81D9">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1</w:t>
            </w:r>
          </w:p>
        </w:tc>
        <w:tc>
          <w:tcPr>
            <w:tcW w:w="593" w:type="pct"/>
            <w:vAlign w:val="center"/>
          </w:tcPr>
          <w:p w14:paraId="7BB814EE">
            <w:pPr>
              <w:widowControl/>
              <w:spacing w:line="280" w:lineRule="exact"/>
              <w:jc w:val="center"/>
              <w:rPr>
                <w:b w:val="0"/>
                <w:bCs w:val="0"/>
                <w:sz w:val="21"/>
                <w:szCs w:val="21"/>
              </w:rPr>
            </w:pPr>
            <w:r>
              <w:rPr>
                <w:b w:val="0"/>
                <w:bCs w:val="0"/>
                <w:sz w:val="21"/>
                <w:szCs w:val="21"/>
              </w:rPr>
              <w:t>100%</w:t>
            </w:r>
          </w:p>
        </w:tc>
        <w:tc>
          <w:tcPr>
            <w:tcW w:w="901" w:type="pct"/>
            <w:vAlign w:val="center"/>
          </w:tcPr>
          <w:p w14:paraId="6007F584">
            <w:pPr>
              <w:widowControl/>
              <w:spacing w:line="280" w:lineRule="exact"/>
              <w:jc w:val="center"/>
              <w:rPr>
                <w:b w:val="0"/>
                <w:bCs w:val="0"/>
                <w:sz w:val="21"/>
                <w:szCs w:val="21"/>
              </w:rPr>
            </w:pPr>
            <w:r>
              <w:rPr>
                <w:b w:val="0"/>
                <w:bCs w:val="0"/>
                <w:sz w:val="21"/>
                <w:szCs w:val="21"/>
              </w:rPr>
              <w:t>0</w:t>
            </w:r>
          </w:p>
        </w:tc>
        <w:tc>
          <w:tcPr>
            <w:tcW w:w="557" w:type="pct"/>
            <w:vAlign w:val="center"/>
          </w:tcPr>
          <w:p w14:paraId="2C62AEA2">
            <w:pPr>
              <w:widowControl/>
              <w:spacing w:line="280" w:lineRule="exact"/>
              <w:jc w:val="center"/>
              <w:rPr>
                <w:b w:val="0"/>
                <w:bCs w:val="0"/>
                <w:sz w:val="21"/>
                <w:szCs w:val="21"/>
              </w:rPr>
            </w:pPr>
            <w:r>
              <w:rPr>
                <w:b w:val="0"/>
                <w:bCs w:val="0"/>
                <w:sz w:val="21"/>
                <w:szCs w:val="21"/>
              </w:rPr>
              <w:t>0%</w:t>
            </w:r>
          </w:p>
        </w:tc>
      </w:tr>
      <w:tr w14:paraId="58E5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7D6097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eastAsia="宋体"/>
                <w:b w:val="0"/>
                <w:bCs w:val="0"/>
                <w:sz w:val="21"/>
                <w:szCs w:val="21"/>
                <w:lang w:val="en-US"/>
              </w:rPr>
            </w:pPr>
            <w:r>
              <w:rPr>
                <w:rFonts w:hint="eastAsia" w:ascii="宋体" w:hAnsi="宋体" w:eastAsia="宋体" w:cs="宋体"/>
                <w:i w:val="0"/>
                <w:iCs w:val="0"/>
                <w:color w:val="000000"/>
                <w:kern w:val="0"/>
                <w:sz w:val="21"/>
                <w:szCs w:val="21"/>
                <w:u w:val="none"/>
                <w:lang w:val="en-US" w:eastAsia="zh-CN" w:bidi="ar"/>
              </w:rPr>
              <w:t>2023年纪检专项经费</w:t>
            </w:r>
          </w:p>
        </w:tc>
        <w:tc>
          <w:tcPr>
            <w:tcW w:w="534" w:type="pct"/>
            <w:vAlign w:val="center"/>
          </w:tcPr>
          <w:p w14:paraId="7DB38199">
            <w:pPr>
              <w:widowControl/>
              <w:spacing w:line="280" w:lineRule="exact"/>
              <w:jc w:val="center"/>
              <w:rPr>
                <w:rFonts w:hint="default" w:eastAsia="仿宋_GB2312"/>
                <w:b w:val="0"/>
                <w:bCs w:val="0"/>
                <w:color w:val="auto"/>
                <w:sz w:val="21"/>
                <w:szCs w:val="21"/>
                <w:lang w:val="en-US" w:eastAsia="zh-CN"/>
              </w:rPr>
            </w:pPr>
            <w:r>
              <w:rPr>
                <w:rFonts w:hint="eastAsia"/>
                <w:b w:val="0"/>
                <w:bCs w:val="0"/>
                <w:color w:val="auto"/>
                <w:sz w:val="21"/>
                <w:szCs w:val="21"/>
                <w:lang w:val="en-US" w:eastAsia="zh-CN"/>
              </w:rPr>
              <w:t>3</w:t>
            </w:r>
          </w:p>
        </w:tc>
        <w:tc>
          <w:tcPr>
            <w:tcW w:w="469" w:type="pct"/>
            <w:vAlign w:val="center"/>
          </w:tcPr>
          <w:p w14:paraId="6A7FCFE1">
            <w:pPr>
              <w:widowControl/>
              <w:spacing w:line="280" w:lineRule="exact"/>
              <w:jc w:val="center"/>
              <w:rPr>
                <w:rFonts w:hint="default" w:eastAsia="仿宋_GB2312"/>
                <w:b w:val="0"/>
                <w:bCs w:val="0"/>
                <w:sz w:val="21"/>
                <w:szCs w:val="21"/>
                <w:lang w:val="en-US" w:eastAsia="zh-CN"/>
              </w:rPr>
            </w:pPr>
            <w:r>
              <w:rPr>
                <w:rFonts w:hint="eastAsia"/>
                <w:b w:val="0"/>
                <w:bCs w:val="0"/>
                <w:sz w:val="21"/>
                <w:szCs w:val="21"/>
                <w:lang w:val="en-US" w:eastAsia="zh-CN"/>
              </w:rPr>
              <w:t>3</w:t>
            </w:r>
          </w:p>
        </w:tc>
        <w:tc>
          <w:tcPr>
            <w:tcW w:w="593" w:type="pct"/>
            <w:vAlign w:val="center"/>
          </w:tcPr>
          <w:p w14:paraId="4456C9F9">
            <w:pPr>
              <w:widowControl/>
              <w:spacing w:line="280" w:lineRule="exact"/>
              <w:jc w:val="center"/>
              <w:rPr>
                <w:b w:val="0"/>
                <w:bCs w:val="0"/>
                <w:sz w:val="21"/>
                <w:szCs w:val="21"/>
              </w:rPr>
            </w:pPr>
            <w:r>
              <w:rPr>
                <w:b w:val="0"/>
                <w:bCs w:val="0"/>
                <w:sz w:val="21"/>
                <w:szCs w:val="21"/>
              </w:rPr>
              <w:t>100%</w:t>
            </w:r>
          </w:p>
        </w:tc>
        <w:tc>
          <w:tcPr>
            <w:tcW w:w="901" w:type="pct"/>
            <w:vAlign w:val="center"/>
          </w:tcPr>
          <w:p w14:paraId="508F2A20">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1F4FF135">
            <w:pPr>
              <w:widowControl/>
              <w:spacing w:line="280" w:lineRule="exact"/>
              <w:jc w:val="center"/>
              <w:rPr>
                <w:b w:val="0"/>
                <w:bCs w:val="0"/>
                <w:sz w:val="21"/>
                <w:szCs w:val="21"/>
              </w:rPr>
            </w:pPr>
            <w:r>
              <w:rPr>
                <w:b w:val="0"/>
                <w:bCs w:val="0"/>
                <w:sz w:val="21"/>
                <w:szCs w:val="21"/>
              </w:rPr>
              <w:t>0%</w:t>
            </w:r>
          </w:p>
        </w:tc>
      </w:tr>
      <w:tr w14:paraId="5865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6DFEEA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eastAsia="宋体"/>
                <w:b w:val="0"/>
                <w:bCs w:val="0"/>
                <w:sz w:val="21"/>
                <w:szCs w:val="21"/>
              </w:rPr>
              <w:t>铁牛村6组堰塘维修清淤</w:t>
            </w:r>
          </w:p>
        </w:tc>
        <w:tc>
          <w:tcPr>
            <w:tcW w:w="534" w:type="pct"/>
            <w:vAlign w:val="center"/>
          </w:tcPr>
          <w:p w14:paraId="67677348">
            <w:pPr>
              <w:widowControl/>
              <w:spacing w:line="280" w:lineRule="exact"/>
              <w:jc w:val="center"/>
              <w:rPr>
                <w:rFonts w:hint="eastAsia" w:eastAsia="仿宋_GB2312"/>
                <w:b w:val="0"/>
                <w:bCs w:val="0"/>
                <w:color w:val="auto"/>
                <w:sz w:val="21"/>
                <w:szCs w:val="21"/>
                <w:lang w:eastAsia="zh-CN"/>
              </w:rPr>
            </w:pPr>
            <w:r>
              <w:rPr>
                <w:rFonts w:hint="eastAsia"/>
                <w:b w:val="0"/>
                <w:bCs w:val="0"/>
                <w:color w:val="auto"/>
                <w:sz w:val="21"/>
                <w:szCs w:val="21"/>
                <w:lang w:val="en-US" w:eastAsia="zh-CN"/>
              </w:rPr>
              <w:t>1</w:t>
            </w:r>
          </w:p>
        </w:tc>
        <w:tc>
          <w:tcPr>
            <w:tcW w:w="469" w:type="pct"/>
            <w:vAlign w:val="center"/>
          </w:tcPr>
          <w:p w14:paraId="06BE85F9">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1</w:t>
            </w:r>
          </w:p>
        </w:tc>
        <w:tc>
          <w:tcPr>
            <w:tcW w:w="593" w:type="pct"/>
            <w:vAlign w:val="center"/>
          </w:tcPr>
          <w:p w14:paraId="56265BC0">
            <w:pPr>
              <w:widowControl/>
              <w:spacing w:line="280" w:lineRule="exact"/>
              <w:jc w:val="center"/>
              <w:rPr>
                <w:b w:val="0"/>
                <w:bCs w:val="0"/>
                <w:sz w:val="21"/>
                <w:szCs w:val="21"/>
              </w:rPr>
            </w:pPr>
            <w:r>
              <w:rPr>
                <w:b w:val="0"/>
                <w:bCs w:val="0"/>
                <w:sz w:val="21"/>
                <w:szCs w:val="21"/>
              </w:rPr>
              <w:t>100%</w:t>
            </w:r>
          </w:p>
        </w:tc>
        <w:tc>
          <w:tcPr>
            <w:tcW w:w="901" w:type="pct"/>
            <w:vAlign w:val="center"/>
          </w:tcPr>
          <w:p w14:paraId="189ABABB">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02FA5395">
            <w:pPr>
              <w:widowControl/>
              <w:spacing w:line="280" w:lineRule="exact"/>
              <w:jc w:val="center"/>
              <w:rPr>
                <w:b w:val="0"/>
                <w:bCs w:val="0"/>
                <w:sz w:val="21"/>
                <w:szCs w:val="21"/>
              </w:rPr>
            </w:pPr>
            <w:r>
              <w:rPr>
                <w:b w:val="0"/>
                <w:bCs w:val="0"/>
                <w:sz w:val="21"/>
                <w:szCs w:val="21"/>
              </w:rPr>
              <w:t>0%</w:t>
            </w:r>
          </w:p>
        </w:tc>
      </w:tr>
      <w:tr w14:paraId="211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3A585D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eastAsia="宋体"/>
                <w:b w:val="0"/>
                <w:bCs w:val="0"/>
                <w:sz w:val="21"/>
                <w:szCs w:val="21"/>
              </w:rPr>
              <w:t>2023年便民服务中心运行经费</w:t>
            </w:r>
          </w:p>
        </w:tc>
        <w:tc>
          <w:tcPr>
            <w:tcW w:w="534" w:type="pct"/>
            <w:vAlign w:val="center"/>
          </w:tcPr>
          <w:p w14:paraId="6B03F9C1">
            <w:pPr>
              <w:widowControl/>
              <w:spacing w:line="280" w:lineRule="exact"/>
              <w:jc w:val="center"/>
              <w:rPr>
                <w:b w:val="0"/>
                <w:bCs w:val="0"/>
                <w:color w:val="auto"/>
                <w:sz w:val="21"/>
                <w:szCs w:val="21"/>
              </w:rPr>
            </w:pPr>
            <w:r>
              <w:rPr>
                <w:b w:val="0"/>
                <w:bCs w:val="0"/>
                <w:color w:val="auto"/>
                <w:sz w:val="21"/>
                <w:szCs w:val="21"/>
              </w:rPr>
              <w:t>1</w:t>
            </w:r>
          </w:p>
        </w:tc>
        <w:tc>
          <w:tcPr>
            <w:tcW w:w="469" w:type="pct"/>
            <w:vAlign w:val="center"/>
          </w:tcPr>
          <w:p w14:paraId="129149F1">
            <w:pPr>
              <w:widowControl/>
              <w:spacing w:line="280" w:lineRule="exact"/>
              <w:jc w:val="center"/>
              <w:rPr>
                <w:b w:val="0"/>
                <w:bCs w:val="0"/>
                <w:sz w:val="21"/>
                <w:szCs w:val="21"/>
              </w:rPr>
            </w:pPr>
            <w:r>
              <w:rPr>
                <w:b w:val="0"/>
                <w:bCs w:val="0"/>
                <w:sz w:val="21"/>
                <w:szCs w:val="21"/>
              </w:rPr>
              <w:t>1</w:t>
            </w:r>
          </w:p>
        </w:tc>
        <w:tc>
          <w:tcPr>
            <w:tcW w:w="593" w:type="pct"/>
            <w:vAlign w:val="center"/>
          </w:tcPr>
          <w:p w14:paraId="6ACE5A85">
            <w:pPr>
              <w:widowControl/>
              <w:spacing w:line="280" w:lineRule="exact"/>
              <w:jc w:val="center"/>
              <w:rPr>
                <w:b w:val="0"/>
                <w:bCs w:val="0"/>
                <w:sz w:val="21"/>
                <w:szCs w:val="21"/>
              </w:rPr>
            </w:pPr>
            <w:r>
              <w:rPr>
                <w:b w:val="0"/>
                <w:bCs w:val="0"/>
                <w:sz w:val="21"/>
                <w:szCs w:val="21"/>
              </w:rPr>
              <w:t>100%</w:t>
            </w:r>
          </w:p>
        </w:tc>
        <w:tc>
          <w:tcPr>
            <w:tcW w:w="901" w:type="pct"/>
            <w:vAlign w:val="center"/>
          </w:tcPr>
          <w:p w14:paraId="09739475">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321314F6">
            <w:pPr>
              <w:widowControl/>
              <w:spacing w:line="280" w:lineRule="exact"/>
              <w:jc w:val="center"/>
              <w:rPr>
                <w:b w:val="0"/>
                <w:bCs w:val="0"/>
                <w:sz w:val="21"/>
                <w:szCs w:val="21"/>
              </w:rPr>
            </w:pPr>
            <w:r>
              <w:rPr>
                <w:b w:val="0"/>
                <w:bCs w:val="0"/>
                <w:sz w:val="21"/>
                <w:szCs w:val="21"/>
              </w:rPr>
              <w:t>0%</w:t>
            </w:r>
          </w:p>
        </w:tc>
      </w:tr>
      <w:tr w14:paraId="5964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pct"/>
            <w:vAlign w:val="center"/>
          </w:tcPr>
          <w:p w14:paraId="2E04A9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eastAsia="宋体"/>
                <w:b w:val="0"/>
                <w:bCs w:val="0"/>
                <w:sz w:val="21"/>
                <w:szCs w:val="21"/>
              </w:rPr>
            </w:pPr>
            <w:r>
              <w:rPr>
                <w:rFonts w:hint="eastAsia" w:ascii="宋体" w:hAnsi="宋体" w:eastAsia="宋体" w:cs="宋体"/>
                <w:i w:val="0"/>
                <w:iCs w:val="0"/>
                <w:color w:val="000000"/>
                <w:kern w:val="0"/>
                <w:sz w:val="21"/>
                <w:szCs w:val="21"/>
                <w:u w:val="none"/>
                <w:lang w:val="en-US" w:eastAsia="zh-CN" w:bidi="ar"/>
              </w:rPr>
              <w:t>分散供养失能特困人员照料护理费</w:t>
            </w:r>
          </w:p>
        </w:tc>
        <w:tc>
          <w:tcPr>
            <w:tcW w:w="534" w:type="pct"/>
            <w:vAlign w:val="center"/>
          </w:tcPr>
          <w:p w14:paraId="03E10C48">
            <w:pPr>
              <w:widowControl/>
              <w:spacing w:line="280" w:lineRule="exact"/>
              <w:jc w:val="center"/>
              <w:rPr>
                <w:rFonts w:hint="eastAsia" w:eastAsia="仿宋_GB2312"/>
                <w:b w:val="0"/>
                <w:bCs w:val="0"/>
                <w:color w:val="auto"/>
                <w:sz w:val="21"/>
                <w:szCs w:val="21"/>
                <w:lang w:val="en-US" w:eastAsia="zh-CN"/>
              </w:rPr>
            </w:pPr>
            <w:r>
              <w:rPr>
                <w:rFonts w:hint="eastAsia"/>
                <w:b w:val="0"/>
                <w:bCs w:val="0"/>
                <w:color w:val="auto"/>
                <w:sz w:val="21"/>
                <w:szCs w:val="21"/>
                <w:lang w:val="en-US" w:eastAsia="zh-CN"/>
              </w:rPr>
              <w:t>2</w:t>
            </w:r>
          </w:p>
        </w:tc>
        <w:tc>
          <w:tcPr>
            <w:tcW w:w="469" w:type="pct"/>
            <w:vAlign w:val="center"/>
          </w:tcPr>
          <w:p w14:paraId="6BA0D6EF">
            <w:pPr>
              <w:widowControl/>
              <w:spacing w:line="280" w:lineRule="exact"/>
              <w:jc w:val="center"/>
              <w:rPr>
                <w:rFonts w:hint="eastAsia" w:eastAsia="仿宋_GB2312"/>
                <w:b w:val="0"/>
                <w:bCs w:val="0"/>
                <w:sz w:val="21"/>
                <w:szCs w:val="21"/>
                <w:lang w:val="en-US" w:eastAsia="zh-CN"/>
              </w:rPr>
            </w:pPr>
            <w:r>
              <w:rPr>
                <w:rFonts w:hint="eastAsia"/>
                <w:b w:val="0"/>
                <w:bCs w:val="0"/>
                <w:sz w:val="21"/>
                <w:szCs w:val="21"/>
                <w:lang w:val="en-US" w:eastAsia="zh-CN"/>
              </w:rPr>
              <w:t>2</w:t>
            </w:r>
          </w:p>
        </w:tc>
        <w:tc>
          <w:tcPr>
            <w:tcW w:w="593" w:type="pct"/>
            <w:vAlign w:val="center"/>
          </w:tcPr>
          <w:p w14:paraId="1462722F">
            <w:pPr>
              <w:widowControl/>
              <w:spacing w:line="280" w:lineRule="exact"/>
              <w:jc w:val="center"/>
              <w:rPr>
                <w:b w:val="0"/>
                <w:bCs w:val="0"/>
                <w:sz w:val="21"/>
                <w:szCs w:val="21"/>
              </w:rPr>
            </w:pPr>
            <w:r>
              <w:rPr>
                <w:b w:val="0"/>
                <w:bCs w:val="0"/>
                <w:sz w:val="21"/>
                <w:szCs w:val="21"/>
              </w:rPr>
              <w:t>100%</w:t>
            </w:r>
          </w:p>
        </w:tc>
        <w:tc>
          <w:tcPr>
            <w:tcW w:w="901" w:type="pct"/>
            <w:vAlign w:val="center"/>
          </w:tcPr>
          <w:p w14:paraId="1FC32328">
            <w:pPr>
              <w:widowControl/>
              <w:spacing w:line="280" w:lineRule="exact"/>
              <w:jc w:val="center"/>
              <w:rPr>
                <w:rFonts w:hint="eastAsia" w:eastAsia="仿宋_GB2312"/>
                <w:b w:val="0"/>
                <w:bCs w:val="0"/>
                <w:sz w:val="21"/>
                <w:szCs w:val="21"/>
                <w:lang w:eastAsia="zh-CN"/>
              </w:rPr>
            </w:pPr>
            <w:r>
              <w:rPr>
                <w:rFonts w:hint="eastAsia"/>
                <w:b w:val="0"/>
                <w:bCs w:val="0"/>
                <w:sz w:val="21"/>
                <w:szCs w:val="21"/>
                <w:lang w:val="en-US" w:eastAsia="zh-CN"/>
              </w:rPr>
              <w:t>0</w:t>
            </w:r>
          </w:p>
        </w:tc>
        <w:tc>
          <w:tcPr>
            <w:tcW w:w="557" w:type="pct"/>
            <w:vAlign w:val="center"/>
          </w:tcPr>
          <w:p w14:paraId="1C288435">
            <w:pPr>
              <w:widowControl/>
              <w:spacing w:line="280" w:lineRule="exact"/>
              <w:jc w:val="center"/>
              <w:rPr>
                <w:b w:val="0"/>
                <w:bCs w:val="0"/>
                <w:sz w:val="21"/>
                <w:szCs w:val="21"/>
              </w:rPr>
            </w:pPr>
            <w:r>
              <w:rPr>
                <w:b w:val="0"/>
                <w:bCs w:val="0"/>
                <w:sz w:val="21"/>
                <w:szCs w:val="21"/>
              </w:rPr>
              <w:t>0%</w:t>
            </w:r>
          </w:p>
        </w:tc>
      </w:tr>
    </w:tbl>
    <w:p w14:paraId="3DF57960">
      <w:pPr>
        <w:adjustRightInd w:val="0"/>
        <w:snapToGrid w:val="0"/>
        <w:spacing w:line="598"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（3）实现效果</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3分）</w:t>
      </w:r>
    </w:p>
    <w:p w14:paraId="1994295D">
      <w:pPr>
        <w:adjustRightInd w:val="0"/>
        <w:snapToGrid w:val="0"/>
        <w:spacing w:line="598"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2023年我</w:t>
      </w:r>
      <w:r>
        <w:rPr>
          <w:rFonts w:hint="eastAsia"/>
          <w:color w:val="000000"/>
          <w:kern w:val="0"/>
          <w:szCs w:val="32"/>
          <w:shd w:val="clear" w:color="auto" w:fill="FFFFFF"/>
          <w:lang w:val="zh-CN"/>
        </w:rPr>
        <w:t>单位</w:t>
      </w:r>
      <w:r>
        <w:rPr>
          <w:rFonts w:hint="eastAsia"/>
          <w:color w:val="000000"/>
          <w:kern w:val="0"/>
          <w:szCs w:val="32"/>
          <w:shd w:val="clear" w:color="auto" w:fill="FFFFFF"/>
          <w:lang w:val="en-US" w:eastAsia="zh-CN"/>
        </w:rPr>
        <w:t>26</w:t>
      </w:r>
      <w:r>
        <w:rPr>
          <w:color w:val="000000"/>
          <w:kern w:val="0"/>
          <w:szCs w:val="32"/>
          <w:shd w:val="clear" w:color="auto" w:fill="FFFFFF"/>
          <w:lang w:val="zh-CN"/>
        </w:rPr>
        <w:t>个项目效益指标、成本指标、满意度指标的总体完成情况较好，但仍有个别项目效果未达预期，个别项目未设置效益指标或效益指标不够量化难以评判。</w:t>
      </w:r>
    </w:p>
    <w:p w14:paraId="340891A7">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cs="Times New Roman"/>
          <w:sz w:val="32"/>
          <w:szCs w:val="32"/>
          <w:highlight w:val="none"/>
          <w:u w:val="none"/>
          <w:lang w:val="en-US" w:eastAsia="zh-CN"/>
        </w:rPr>
      </w:pPr>
      <w:r>
        <w:rPr>
          <w:rFonts w:hint="eastAsia" w:ascii="Times New Roman" w:hAnsi="Times New Roman" w:cs="Times New Roman"/>
          <w:szCs w:val="32"/>
          <w:lang w:val="zh-CN" w:eastAsia="zh-CN"/>
        </w:rPr>
        <w:t>渠县</w:t>
      </w:r>
      <w:r>
        <w:rPr>
          <w:rFonts w:hint="eastAsia" w:cs="Times New Roman"/>
          <w:szCs w:val="32"/>
          <w:lang w:val="zh-CN" w:eastAsia="zh-CN"/>
        </w:rPr>
        <w:t>李馥镇人民政府</w:t>
      </w:r>
      <w:r>
        <w:rPr>
          <w:rFonts w:hint="eastAsia" w:ascii="Times New Roman" w:hAnsi="Times New Roman" w:cs="Times New Roman"/>
          <w:szCs w:val="32"/>
          <w:lang w:val="zh-CN" w:eastAsia="zh-CN"/>
        </w:rPr>
        <w:t>办事处</w:t>
      </w:r>
      <w:r>
        <w:rPr>
          <w:rFonts w:hint="eastAsia" w:ascii="Times New Roman" w:hAnsi="Times New Roman" w:eastAsia="仿宋_GB2312" w:cs="Times New Roman"/>
          <w:sz w:val="32"/>
          <w:szCs w:val="32"/>
          <w:u w:val="none"/>
          <w:lang w:val="en-US" w:eastAsia="zh-CN"/>
        </w:rPr>
        <w:t>2023年度</w:t>
      </w:r>
      <w:r>
        <w:rPr>
          <w:rFonts w:hint="default" w:ascii="Times New Roman" w:hAnsi="Times New Roman" w:eastAsia="仿宋_GB2312" w:cs="Times New Roman"/>
          <w:sz w:val="32"/>
          <w:szCs w:val="32"/>
          <w:u w:val="none"/>
        </w:rPr>
        <w:t>涉及国有资</w:t>
      </w:r>
      <w:r>
        <w:rPr>
          <w:rFonts w:hint="default" w:ascii="Times New Roman" w:hAnsi="Times New Roman" w:eastAsia="仿宋_GB2312" w:cs="Times New Roman"/>
          <w:sz w:val="32"/>
          <w:szCs w:val="32"/>
          <w:highlight w:val="none"/>
          <w:u w:val="none"/>
        </w:rPr>
        <w:t>本经营预算</w:t>
      </w:r>
      <w:r>
        <w:rPr>
          <w:rFonts w:hint="eastAsia" w:cs="Times New Roman"/>
          <w:sz w:val="32"/>
          <w:szCs w:val="32"/>
          <w:highlight w:val="none"/>
          <w:u w:val="none"/>
          <w:lang w:eastAsia="zh-CN"/>
        </w:rPr>
        <w:t>收入</w:t>
      </w:r>
      <w:r>
        <w:rPr>
          <w:rFonts w:hint="eastAsia" w:cs="Times New Roman"/>
          <w:sz w:val="32"/>
          <w:szCs w:val="32"/>
          <w:highlight w:val="none"/>
          <w:u w:val="none"/>
          <w:lang w:val="en-US" w:eastAsia="zh-CN"/>
        </w:rPr>
        <w:t>0.1万元，实际完成预算支出0.1万元，完成支出执行率100%，年度目标完成，国有企业退休人员实现社会化管理。</w:t>
      </w:r>
    </w:p>
    <w:p w14:paraId="02EB9EB6">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楷体_GB2312" w:cs="Times New Roman"/>
          <w:color w:val="333333"/>
          <w:sz w:val="32"/>
          <w:szCs w:val="32"/>
          <w:highlight w:val="none"/>
          <w:u w:val="none"/>
          <w:shd w:val="clear" w:color="auto" w:fill="auto"/>
          <w:lang w:bidi="ar"/>
        </w:rPr>
      </w:pPr>
      <w:r>
        <w:rPr>
          <w:rFonts w:hint="eastAsia" w:ascii="Times New Roman" w:hAnsi="Times New Roman" w:cs="Times New Roman"/>
          <w:szCs w:val="32"/>
          <w:lang w:val="zh-CN" w:eastAsia="zh-CN"/>
        </w:rPr>
        <w:t>渠县</w:t>
      </w:r>
      <w:r>
        <w:rPr>
          <w:rFonts w:hint="eastAsia" w:cs="Times New Roman"/>
          <w:szCs w:val="32"/>
          <w:lang w:val="zh-CN" w:eastAsia="zh-CN"/>
        </w:rPr>
        <w:t>李馥镇人民政府</w:t>
      </w:r>
      <w:r>
        <w:rPr>
          <w:rFonts w:hint="default" w:ascii="Times New Roman" w:hAnsi="Times New Roman" w:eastAsia="仿宋_GB2312" w:cs="Times New Roman"/>
          <w:sz w:val="32"/>
          <w:szCs w:val="32"/>
          <w:highlight w:val="none"/>
          <w:u w:val="none"/>
        </w:rPr>
        <w:t>2023年度未涉及社会保险基金预算项目。</w:t>
      </w:r>
    </w:p>
    <w:p w14:paraId="459DF89C">
      <w:pPr>
        <w:keepNext w:val="0"/>
        <w:keepLines w:val="0"/>
        <w:pageBreakBefore w:val="0"/>
        <w:widowControl/>
        <w:numPr>
          <w:ilvl w:val="0"/>
          <w:numId w:val="6"/>
        </w:numPr>
        <w:kinsoku/>
        <w:wordWrap/>
        <w:overflowPunct/>
        <w:topLinePunct w:val="0"/>
        <w:autoSpaceDE/>
        <w:autoSpaceDN/>
        <w:bidi w:val="0"/>
        <w:adjustRightInd w:val="0"/>
        <w:snapToGrid w:val="0"/>
        <w:spacing w:line="598" w:lineRule="exact"/>
        <w:ind w:firstLine="643" w:firstLineChars="200"/>
        <w:contextualSpacing/>
        <w:jc w:val="left"/>
        <w:textAlignment w:val="auto"/>
        <w:outlineLvl w:val="9"/>
        <w:rPr>
          <w:rFonts w:hint="eastAsia" w:ascii="Times New Roman" w:hAnsi="Times New Roman" w:cs="Times New Roman"/>
          <w:sz w:val="32"/>
          <w:szCs w:val="32"/>
          <w:highlight w:val="none"/>
          <w:u w:val="none"/>
          <w:lang w:eastAsia="zh-CN" w:bidi="ar"/>
        </w:rPr>
      </w:pP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default" w:ascii="Times New Roman" w:hAnsi="Times New Roman" w:eastAsia="楷体_GB2312" w:cs="Times New Roman"/>
          <w:b/>
          <w:bCs/>
          <w:color w:val="000000"/>
          <w:kern w:val="0"/>
          <w:szCs w:val="32"/>
          <w:highlight w:val="none"/>
          <w:shd w:val="clear" w:color="auto" w:fill="FFFFFF"/>
          <w:lang w:val="zh-CN" w:eastAsia="zh-CN"/>
        </w:rPr>
        <w:t>。</w:t>
      </w:r>
    </w:p>
    <w:p w14:paraId="2C426C09">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cs="Times New Roman"/>
          <w:sz w:val="32"/>
          <w:szCs w:val="32"/>
          <w:highlight w:val="none"/>
          <w:u w:val="none"/>
          <w:lang w:val="en-US" w:eastAsia="zh-CN"/>
        </w:rPr>
      </w:pPr>
      <w:r>
        <w:rPr>
          <w:rFonts w:hint="eastAsia" w:ascii="Times New Roman" w:hAnsi="Times New Roman" w:cs="Times New Roman"/>
          <w:szCs w:val="32"/>
          <w:lang w:val="zh-CN" w:eastAsia="zh-CN"/>
        </w:rPr>
        <w:t>渠县</w:t>
      </w:r>
      <w:r>
        <w:rPr>
          <w:rFonts w:hint="eastAsia" w:cs="Times New Roman"/>
          <w:szCs w:val="32"/>
          <w:lang w:val="zh-CN" w:eastAsia="zh-CN"/>
        </w:rPr>
        <w:t>李馥镇人民政府</w:t>
      </w:r>
      <w:r>
        <w:rPr>
          <w:rFonts w:hint="eastAsia" w:ascii="Times New Roman" w:hAnsi="Times New Roman" w:eastAsia="仿宋_GB2312" w:cs="Times New Roman"/>
          <w:sz w:val="32"/>
          <w:szCs w:val="32"/>
          <w:u w:val="none"/>
          <w:lang w:val="en-US" w:eastAsia="zh-CN"/>
        </w:rPr>
        <w:t>2023年度</w:t>
      </w:r>
      <w:r>
        <w:rPr>
          <w:rFonts w:hint="default" w:ascii="Times New Roman" w:hAnsi="Times New Roman" w:eastAsia="仿宋_GB2312" w:cs="Times New Roman"/>
          <w:sz w:val="32"/>
          <w:szCs w:val="32"/>
          <w:u w:val="none"/>
        </w:rPr>
        <w:t>涉及国有资</w:t>
      </w:r>
      <w:r>
        <w:rPr>
          <w:rFonts w:hint="default" w:ascii="Times New Roman" w:hAnsi="Times New Roman" w:eastAsia="仿宋_GB2312" w:cs="Times New Roman"/>
          <w:sz w:val="32"/>
          <w:szCs w:val="32"/>
          <w:highlight w:val="none"/>
          <w:u w:val="none"/>
        </w:rPr>
        <w:t>本经营预算</w:t>
      </w:r>
      <w:r>
        <w:rPr>
          <w:rFonts w:hint="eastAsia" w:cs="Times New Roman"/>
          <w:sz w:val="32"/>
          <w:szCs w:val="32"/>
          <w:highlight w:val="none"/>
          <w:u w:val="none"/>
          <w:lang w:eastAsia="zh-CN"/>
        </w:rPr>
        <w:t>收入</w:t>
      </w:r>
      <w:r>
        <w:rPr>
          <w:rFonts w:hint="eastAsia" w:cs="Times New Roman"/>
          <w:sz w:val="32"/>
          <w:szCs w:val="32"/>
          <w:highlight w:val="none"/>
          <w:u w:val="none"/>
          <w:lang w:val="en-US" w:eastAsia="zh-CN"/>
        </w:rPr>
        <w:t>0.1万元，实际完成预算支出0.1万元，完成支出执行率100%。</w:t>
      </w:r>
    </w:p>
    <w:p w14:paraId="33A4165C">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为认真贯彻落实渠县财政局《关于下达国有企业退休人员社会化管理补助中央资金的通知》（渠财资产〔2023〕</w:t>
      </w:r>
      <w:r>
        <w:rPr>
          <w:rFonts w:hint="eastAsia" w:ascii="Times New Roman" w:hAnsi="Times New Roman" w:cs="Times New Roman"/>
          <w:szCs w:val="32"/>
          <w:lang w:val="en-US" w:eastAsia="zh-CN"/>
        </w:rPr>
        <w:t>17</w:t>
      </w:r>
      <w:r>
        <w:rPr>
          <w:rFonts w:hint="eastAsia" w:ascii="Times New Roman" w:hAnsi="Times New Roman" w:cs="Times New Roman"/>
          <w:szCs w:val="32"/>
          <w:lang w:val="zh-CN" w:eastAsia="zh-CN"/>
        </w:rPr>
        <w:t>号）文件精神，立足本地区经济社会发展实际，满足国有企业离退休人员社会化管理服务需求为落脚点，建立健全离退休人员社会化管理服务体系。</w:t>
      </w:r>
    </w:p>
    <w:p w14:paraId="219CE33E">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该项目在实施过程中严格按照渠财资产〔2023〕</w:t>
      </w:r>
      <w:r>
        <w:rPr>
          <w:rFonts w:hint="eastAsia" w:ascii="Times New Roman" w:hAnsi="Times New Roman" w:cs="Times New Roman"/>
          <w:szCs w:val="32"/>
          <w:lang w:val="en-US" w:eastAsia="zh-CN"/>
        </w:rPr>
        <w:t>17</w:t>
      </w:r>
      <w:r>
        <w:rPr>
          <w:rFonts w:hint="eastAsia" w:ascii="Times New Roman" w:hAnsi="Times New Roman" w:cs="Times New Roman"/>
          <w:szCs w:val="32"/>
          <w:lang w:val="zh-CN" w:eastAsia="zh-CN"/>
        </w:rPr>
        <w:t>号文件的规定进行管理。过程规范，财务管理以报账制为主，</w:t>
      </w:r>
      <w:r>
        <w:rPr>
          <w:rFonts w:hint="eastAsia" w:cs="Times New Roman"/>
          <w:sz w:val="32"/>
          <w:szCs w:val="32"/>
          <w:highlight w:val="none"/>
          <w:u w:val="none"/>
          <w:lang w:val="en-US" w:eastAsia="zh-CN"/>
        </w:rPr>
        <w:t>重点用于国有企业退休人员管理服务工作与原企业分离，国有企业不承担移交后的退休人员社会化管理服务费用，国有企业新办理退休人员管理服务工作与原企业分离，</w:t>
      </w:r>
      <w:r>
        <w:rPr>
          <w:rFonts w:hint="eastAsia" w:ascii="Times New Roman" w:hAnsi="Times New Roman" w:cs="Times New Roman"/>
          <w:szCs w:val="32"/>
          <w:lang w:val="zh-CN" w:eastAsia="zh-CN"/>
        </w:rPr>
        <w:t>促进了资金使用管理的规范性、安全性和有效性。</w:t>
      </w:r>
      <w:r>
        <w:rPr>
          <w:rFonts w:hint="eastAsia" w:cs="Times New Roman"/>
          <w:sz w:val="32"/>
          <w:szCs w:val="32"/>
          <w:highlight w:val="none"/>
          <w:u w:val="none"/>
          <w:lang w:val="en-US" w:eastAsia="zh-CN"/>
        </w:rPr>
        <w:t>年度目标完成较好：</w:t>
      </w:r>
      <w:r>
        <w:rPr>
          <w:rFonts w:hint="default"/>
          <w:lang w:val="en-US" w:eastAsia="zh-CN"/>
        </w:rPr>
        <w:t>国有企业退休人员管理服务工作与原企业分离率100%</w:t>
      </w:r>
      <w:r>
        <w:rPr>
          <w:rFonts w:hint="eastAsia"/>
          <w:lang w:val="en-US" w:eastAsia="zh-CN"/>
        </w:rPr>
        <w:t>，</w:t>
      </w:r>
      <w:r>
        <w:rPr>
          <w:rFonts w:hint="default"/>
          <w:lang w:val="en-US" w:eastAsia="zh-CN"/>
        </w:rPr>
        <w:t>国有企业退休人员管理服务工作开展保障有效率9</w:t>
      </w:r>
      <w:r>
        <w:rPr>
          <w:rFonts w:hint="eastAsia"/>
          <w:lang w:val="en-US" w:eastAsia="zh-CN"/>
        </w:rPr>
        <w:t>8</w:t>
      </w:r>
      <w:r>
        <w:rPr>
          <w:rFonts w:hint="default"/>
          <w:lang w:val="en-US" w:eastAsia="zh-CN"/>
        </w:rPr>
        <w:t>%</w:t>
      </w:r>
      <w:r>
        <w:rPr>
          <w:rFonts w:hint="eastAsia"/>
          <w:lang w:val="en-US" w:eastAsia="zh-CN"/>
        </w:rPr>
        <w:t>，</w:t>
      </w:r>
      <w:r>
        <w:rPr>
          <w:rFonts w:hint="default"/>
          <w:lang w:val="en-US" w:eastAsia="zh-CN"/>
        </w:rPr>
        <w:t>国有企业退休人员管理服务工作开展时限</w:t>
      </w:r>
      <w:r>
        <w:rPr>
          <w:rFonts w:hint="eastAsia"/>
          <w:lang w:val="en-US" w:eastAsia="zh-CN"/>
        </w:rPr>
        <w:t>为1年，</w:t>
      </w:r>
      <w:r>
        <w:rPr>
          <w:rFonts w:hint="default"/>
          <w:lang w:val="en-US" w:eastAsia="zh-CN"/>
        </w:rPr>
        <w:t>国有企业退休人员的稳定性</w:t>
      </w:r>
      <w:r>
        <w:rPr>
          <w:rFonts w:hint="eastAsia"/>
          <w:lang w:val="en-US" w:eastAsia="zh-CN"/>
        </w:rPr>
        <w:t>较好，</w:t>
      </w:r>
      <w:r>
        <w:rPr>
          <w:rFonts w:hint="default"/>
          <w:lang w:val="en-US" w:eastAsia="zh-CN"/>
        </w:rPr>
        <w:t>国有企业退休人员</w:t>
      </w:r>
      <w:r>
        <w:rPr>
          <w:rFonts w:hint="eastAsia"/>
          <w:lang w:val="en-US" w:eastAsia="zh-CN"/>
        </w:rPr>
        <w:t>原企业</w:t>
      </w:r>
      <w:r>
        <w:rPr>
          <w:rFonts w:hint="default"/>
          <w:lang w:val="en-US" w:eastAsia="zh-CN"/>
        </w:rPr>
        <w:t>满意度</w:t>
      </w:r>
      <w:r>
        <w:rPr>
          <w:rFonts w:hint="eastAsia"/>
          <w:lang w:val="en-US" w:eastAsia="zh-CN"/>
        </w:rPr>
        <w:t>93</w:t>
      </w:r>
      <w:r>
        <w:rPr>
          <w:rFonts w:hint="default"/>
          <w:lang w:val="en-US" w:eastAsia="zh-CN"/>
        </w:rPr>
        <w:t>%</w:t>
      </w:r>
      <w:r>
        <w:rPr>
          <w:rFonts w:hint="eastAsia"/>
          <w:lang w:val="en-US" w:eastAsia="zh-CN"/>
        </w:rPr>
        <w:t>。</w:t>
      </w:r>
      <w:r>
        <w:rPr>
          <w:rFonts w:hint="eastAsia" w:ascii="Times New Roman" w:hAnsi="Times New Roman" w:cs="Times New Roman"/>
          <w:szCs w:val="32"/>
          <w:lang w:val="zh-CN" w:eastAsia="zh-CN"/>
        </w:rPr>
        <w:t>财政资金使用效率高，资金发挥效果良好，实现预期绩效目标任务，取得较好成效。</w:t>
      </w:r>
    </w:p>
    <w:p w14:paraId="73EF3749">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渠县</w:t>
      </w:r>
      <w:r>
        <w:rPr>
          <w:rFonts w:hint="eastAsia" w:cs="Times New Roman"/>
          <w:szCs w:val="32"/>
          <w:lang w:val="zh-CN" w:eastAsia="zh-CN"/>
        </w:rPr>
        <w:t>李馥镇人民政府</w:t>
      </w:r>
      <w:r>
        <w:rPr>
          <w:rFonts w:hint="eastAsia" w:ascii="Times New Roman" w:hAnsi="Times New Roman" w:cs="Times New Roman"/>
          <w:szCs w:val="32"/>
          <w:lang w:val="en-US" w:eastAsia="zh-CN"/>
        </w:rPr>
        <w:t>2023年度</w:t>
      </w:r>
      <w:r>
        <w:rPr>
          <w:rFonts w:hint="eastAsia" w:ascii="Times New Roman" w:hAnsi="Times New Roman" w:cs="Times New Roman"/>
          <w:szCs w:val="32"/>
          <w:lang w:val="zh-CN" w:eastAsia="zh-CN"/>
        </w:rPr>
        <w:t>未</w:t>
      </w:r>
      <w:r>
        <w:rPr>
          <w:rFonts w:hint="default" w:ascii="Times New Roman" w:hAnsi="Times New Roman" w:cs="Times New Roman"/>
          <w:szCs w:val="32"/>
          <w:lang w:val="zh-CN" w:eastAsia="zh-CN"/>
        </w:rPr>
        <w:t>涉及行政事业性国有资产、债券资金、政府采购和政府购买服务等重点领域</w:t>
      </w:r>
      <w:r>
        <w:rPr>
          <w:rFonts w:hint="eastAsia" w:ascii="Times New Roman" w:hAnsi="Times New Roman" w:cs="Times New Roman"/>
          <w:szCs w:val="32"/>
          <w:lang w:val="zh-CN" w:eastAsia="zh-CN"/>
        </w:rPr>
        <w:t>的项目。</w:t>
      </w:r>
    </w:p>
    <w:p w14:paraId="7C5711D4">
      <w:pPr>
        <w:keepNext w:val="0"/>
        <w:keepLines w:val="0"/>
        <w:pageBreakBefore w:val="0"/>
        <w:widowControl w:val="0"/>
        <w:numPr>
          <w:ilvl w:val="0"/>
          <w:numId w:val="6"/>
        </w:numPr>
        <w:kinsoku/>
        <w:wordWrap/>
        <w:overflowPunct/>
        <w:topLinePunct w:val="0"/>
        <w:autoSpaceDE/>
        <w:autoSpaceDN/>
        <w:bidi w:val="0"/>
        <w:snapToGrid w:val="0"/>
        <w:spacing w:line="598" w:lineRule="exact"/>
        <w:ind w:left="0" w:leftChars="0" w:firstLine="643" w:firstLineChars="200"/>
        <w:textAlignment w:val="auto"/>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14:paraId="41578860">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1.内部应用情况</w:t>
      </w:r>
      <w:r>
        <w:rPr>
          <w:rFonts w:hint="eastAsia" w:cs="Times New Roman"/>
          <w:szCs w:val="32"/>
          <w:lang w:val="en-US" w:eastAsia="zh-CN"/>
        </w:rPr>
        <w:t>。</w:t>
      </w:r>
    </w:p>
    <w:p w14:paraId="5BA375BE">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我</w:t>
      </w:r>
      <w:r>
        <w:rPr>
          <w:rFonts w:hint="eastAsia" w:cs="Times New Roman"/>
          <w:szCs w:val="32"/>
          <w:lang w:val="en-US" w:eastAsia="zh-CN"/>
        </w:rPr>
        <w:t>单位</w:t>
      </w:r>
      <w:r>
        <w:rPr>
          <w:rFonts w:hint="eastAsia" w:ascii="Times New Roman" w:hAnsi="Times New Roman" w:cs="Times New Roman"/>
          <w:szCs w:val="32"/>
          <w:lang w:val="en-US" w:eastAsia="zh-CN"/>
        </w:rPr>
        <w:t>制定了《</w:t>
      </w:r>
      <w:r>
        <w:rPr>
          <w:rFonts w:hint="eastAsia" w:ascii="Times New Roman" w:hAnsi="Times New Roman" w:cs="Times New Roman"/>
          <w:szCs w:val="32"/>
          <w:lang w:val="zh-CN" w:eastAsia="zh-CN"/>
        </w:rPr>
        <w:t>渠县</w:t>
      </w:r>
      <w:r>
        <w:rPr>
          <w:rFonts w:hint="eastAsia" w:cs="Times New Roman"/>
          <w:szCs w:val="32"/>
          <w:lang w:val="zh-CN" w:eastAsia="zh-CN"/>
        </w:rPr>
        <w:t>李馥镇人民政府</w:t>
      </w:r>
      <w:r>
        <w:rPr>
          <w:rFonts w:hint="eastAsia" w:ascii="Times New Roman" w:hAnsi="Times New Roman" w:cs="Times New Roman"/>
          <w:szCs w:val="32"/>
          <w:lang w:val="en-US" w:eastAsia="zh-CN"/>
        </w:rPr>
        <w:t>预算绩效管理工作制度》，将内设</w:t>
      </w:r>
      <w:r>
        <w:rPr>
          <w:rFonts w:hint="eastAsia" w:cs="Times New Roman"/>
          <w:szCs w:val="32"/>
          <w:lang w:val="en-US" w:eastAsia="zh-CN"/>
        </w:rPr>
        <w:t>办公室</w:t>
      </w:r>
      <w:r>
        <w:rPr>
          <w:rFonts w:hint="eastAsia" w:ascii="Times New Roman" w:hAnsi="Times New Roman" w:cs="Times New Roman"/>
          <w:szCs w:val="32"/>
          <w:lang w:val="en-US" w:eastAsia="zh-CN"/>
        </w:rPr>
        <w:t>绩效自评纳入考核体系</w:t>
      </w:r>
      <w:r>
        <w:rPr>
          <w:rFonts w:hint="eastAsia" w:cs="Times New Roman"/>
          <w:szCs w:val="32"/>
          <w:lang w:val="en-US" w:eastAsia="zh-CN"/>
        </w:rPr>
        <w:t>，加强预算项目支出绩效评价应用，促进项目资金更好发挥作用</w:t>
      </w:r>
      <w:r>
        <w:rPr>
          <w:rFonts w:hint="eastAsia" w:ascii="Times New Roman" w:hAnsi="Times New Roman" w:cs="Times New Roman"/>
          <w:szCs w:val="32"/>
          <w:lang w:val="en-US" w:eastAsia="zh-CN"/>
        </w:rPr>
        <w:t>。</w:t>
      </w:r>
    </w:p>
    <w:p w14:paraId="72CAEFB1">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2.信息公开情况</w:t>
      </w:r>
      <w:r>
        <w:rPr>
          <w:rFonts w:hint="eastAsia" w:cs="Times New Roman"/>
          <w:szCs w:val="32"/>
          <w:lang w:val="en-US" w:eastAsia="zh-CN"/>
        </w:rPr>
        <w:t>。</w:t>
      </w:r>
    </w:p>
    <w:p w14:paraId="12D868DE">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（1）预算公开。按照预算公开的相关要求，我单位于2023年1月30日公开了2023年预算，并将部门项目支出绩效目标、部门整体绩效目标和预算绩效管理情况随同预算公开。</w:t>
      </w:r>
    </w:p>
    <w:p w14:paraId="4B83175B">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（2）决算公开。按照决算公开的相关要求，我单位于2023年9月28日公开了2022年决算，并将部门整体绩效目标自评、项目支出绩效目标自评、部门整体绩效自评报告和项目绩效自评报告情况随同决算公开。</w:t>
      </w:r>
    </w:p>
    <w:p w14:paraId="22E989D9">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3.整改反馈情况</w:t>
      </w:r>
      <w:r>
        <w:rPr>
          <w:rFonts w:hint="eastAsia" w:cs="Times New Roman"/>
          <w:szCs w:val="32"/>
          <w:lang w:val="en-US" w:eastAsia="zh-CN"/>
        </w:rPr>
        <w:t>。</w:t>
      </w:r>
    </w:p>
    <w:p w14:paraId="697B8F67">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cs="Times New Roman"/>
          <w:szCs w:val="32"/>
          <w:lang w:val="zh-CN" w:eastAsia="zh-CN"/>
        </w:rPr>
      </w:pPr>
      <w:r>
        <w:rPr>
          <w:rFonts w:hint="eastAsia" w:ascii="Times New Roman" w:hAnsi="Times New Roman" w:cs="Times New Roman"/>
          <w:szCs w:val="32"/>
          <w:lang w:val="en-US" w:eastAsia="zh-CN"/>
        </w:rPr>
        <w:t>2023年渠县财政局委托</w:t>
      </w:r>
      <w:r>
        <w:rPr>
          <w:rFonts w:hint="eastAsia" w:ascii="Times New Roman" w:hAnsi="Times New Roman" w:cs="Times New Roman"/>
          <w:szCs w:val="32"/>
          <w:lang w:val="zh-CN" w:eastAsia="zh-CN"/>
        </w:rPr>
        <w:t>四川天勤会计师事务所对渠县</w:t>
      </w:r>
      <w:r>
        <w:rPr>
          <w:rFonts w:hint="eastAsia" w:cs="Times New Roman"/>
          <w:szCs w:val="32"/>
          <w:lang w:val="zh-CN" w:eastAsia="zh-CN"/>
        </w:rPr>
        <w:t>李馥镇人民政府</w:t>
      </w:r>
      <w:r>
        <w:rPr>
          <w:rFonts w:hint="eastAsia" w:ascii="Times New Roman" w:hAnsi="Times New Roman" w:cs="Times New Roman"/>
          <w:szCs w:val="32"/>
          <w:lang w:val="en-US" w:eastAsia="zh-CN"/>
        </w:rPr>
        <w:t>2022年整体绩效及项目绩效情况进行了检查，检查结果进行了反馈，我单位高度重视，及时进行了全面整改，并向渠县财政局上报了整改报告</w:t>
      </w:r>
      <w:r>
        <w:rPr>
          <w:rFonts w:hint="eastAsia" w:ascii="Times New Roman" w:hAnsi="Times New Roman" w:cs="Times New Roman"/>
          <w:szCs w:val="32"/>
          <w:lang w:val="zh-CN" w:eastAsia="zh-CN"/>
        </w:rPr>
        <w:t>。</w:t>
      </w:r>
    </w:p>
    <w:p w14:paraId="694EA989">
      <w:pPr>
        <w:keepNext w:val="0"/>
        <w:keepLines w:val="0"/>
        <w:pageBreakBefore w:val="0"/>
        <w:widowControl/>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14:paraId="7028ECF6">
      <w:pPr>
        <w:keepNext w:val="0"/>
        <w:keepLines w:val="0"/>
        <w:pageBreakBefore w:val="0"/>
        <w:widowControl/>
        <w:kinsoku/>
        <w:wordWrap/>
        <w:overflowPunct/>
        <w:topLinePunct w:val="0"/>
        <w:autoSpaceDE/>
        <w:autoSpaceDN/>
        <w:bidi w:val="0"/>
        <w:adjustRightInd w:val="0"/>
        <w:snapToGrid w:val="0"/>
        <w:spacing w:line="59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14:paraId="60C6CF16">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zh-CN" w:eastAsia="zh-CN"/>
        </w:rPr>
        <w:t>总体上看，渠县</w:t>
      </w:r>
      <w:r>
        <w:rPr>
          <w:rFonts w:hint="eastAsia" w:cs="Times New Roman"/>
          <w:szCs w:val="32"/>
          <w:lang w:val="zh-CN" w:eastAsia="zh-CN"/>
        </w:rPr>
        <w:t>李馥镇人民政府</w:t>
      </w:r>
      <w:r>
        <w:rPr>
          <w:rFonts w:hint="eastAsia" w:ascii="Times New Roman" w:hAnsi="Times New Roman" w:cs="Times New Roman"/>
          <w:szCs w:val="32"/>
          <w:lang w:val="zh-CN" w:eastAsia="zh-CN"/>
        </w:rPr>
        <w:t>2023年部门整体支出绩效情况较好，预算编制较为科学和准确，预算执行进度有待提高；财务管理制度健全，财务工作岗位设置合理，资金使用规范；预算项目的设立基本履行了项目申报论证程序，项目绩效目标制定较为科学合理、规范完整、量化细化；重点履职绩效方面，较好的完成了部门的重点履职任务，积极发挥了部门的职能。我</w:t>
      </w:r>
      <w:r>
        <w:rPr>
          <w:rFonts w:hint="eastAsia" w:cs="Times New Roman"/>
          <w:szCs w:val="32"/>
          <w:lang w:val="zh-CN" w:eastAsia="zh-CN"/>
        </w:rPr>
        <w:t>单位</w:t>
      </w:r>
      <w:r>
        <w:rPr>
          <w:rFonts w:hint="eastAsia" w:ascii="Times New Roman" w:hAnsi="Times New Roman" w:cs="Times New Roman"/>
          <w:szCs w:val="32"/>
          <w:lang w:val="zh-CN" w:eastAsia="zh-CN"/>
        </w:rPr>
        <w:t>部门整体支出绩效自评得分</w:t>
      </w:r>
      <w:r>
        <w:rPr>
          <w:rFonts w:hint="eastAsia" w:cs="Times New Roman"/>
          <w:szCs w:val="32"/>
          <w:lang w:val="en-US" w:eastAsia="zh-CN"/>
        </w:rPr>
        <w:t>90.14</w:t>
      </w:r>
      <w:r>
        <w:rPr>
          <w:rFonts w:hint="eastAsia" w:ascii="Times New Roman" w:hAnsi="Times New Roman" w:cs="Times New Roman"/>
          <w:szCs w:val="32"/>
          <w:lang w:val="en-US" w:eastAsia="zh-CN"/>
        </w:rPr>
        <w:t>分</w:t>
      </w:r>
      <w:r>
        <w:rPr>
          <w:rFonts w:hint="eastAsia" w:cs="Times New Roman"/>
          <w:szCs w:val="32"/>
          <w:lang w:val="en-US" w:eastAsia="zh-CN"/>
        </w:rPr>
        <w:t>。</w:t>
      </w:r>
    </w:p>
    <w:p w14:paraId="518C1FBB">
      <w:pPr>
        <w:keepNext w:val="0"/>
        <w:keepLines w:val="0"/>
        <w:pageBreakBefore w:val="0"/>
        <w:widowControl/>
        <w:kinsoku/>
        <w:wordWrap/>
        <w:overflowPunct/>
        <w:topLinePunct w:val="0"/>
        <w:autoSpaceDE/>
        <w:autoSpaceDN/>
        <w:bidi w:val="0"/>
        <w:adjustRightInd w:val="0"/>
        <w:snapToGrid w:val="0"/>
        <w:spacing w:line="59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Times New Roman" w:hAnsi="Times New Roman" w:eastAsia="楷体_GB2312" w:cs="Times New Roman"/>
          <w:b/>
          <w:bCs/>
          <w:color w:val="000000"/>
          <w:kern w:val="0"/>
          <w:szCs w:val="32"/>
          <w:highlight w:val="none"/>
          <w:shd w:val="clear" w:color="auto" w:fill="FFFFFF"/>
          <w:lang w:val="zh-CN"/>
        </w:rPr>
        <w:t>（二）</w:t>
      </w:r>
      <w:r>
        <w:rPr>
          <w:rFonts w:hint="default" w:ascii="Times New Roman" w:hAnsi="Times New Roman" w:eastAsia="楷体_GB2312" w:cs="Times New Roman"/>
          <w:b/>
          <w:bCs/>
          <w:color w:val="000000"/>
          <w:kern w:val="0"/>
          <w:szCs w:val="32"/>
          <w:highlight w:val="none"/>
          <w:shd w:val="clear" w:color="auto" w:fill="FFFFFF"/>
          <w:lang w:val="zh-CN"/>
        </w:rPr>
        <w:t>存在问题。</w:t>
      </w:r>
    </w:p>
    <w:p w14:paraId="14043B69">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zh-CN" w:eastAsia="zh-CN"/>
        </w:rPr>
      </w:pPr>
      <w:r>
        <w:rPr>
          <w:rFonts w:hint="eastAsia" w:ascii="Times New Roman" w:hAnsi="Times New Roman" w:cs="Times New Roman"/>
          <w:szCs w:val="32"/>
          <w:lang w:val="zh-CN" w:eastAsia="zh-CN"/>
        </w:rPr>
        <w:t>一是</w:t>
      </w:r>
      <w:r>
        <w:rPr>
          <w:rFonts w:hint="eastAsia" w:ascii="Times New Roman" w:hAnsi="Times New Roman" w:cs="Times New Roman"/>
          <w:szCs w:val="32"/>
          <w:lang w:val="en-US" w:eastAsia="zh-CN"/>
        </w:rPr>
        <w:t>预算控制率有待提高，追加预算较多由于人员经费的政策性调整及年中落实省厅、</w:t>
      </w:r>
      <w:r>
        <w:rPr>
          <w:rFonts w:hint="eastAsia" w:cs="Times New Roman"/>
          <w:szCs w:val="32"/>
          <w:lang w:val="en-US" w:eastAsia="zh-CN"/>
        </w:rPr>
        <w:t>市委、市政府</w:t>
      </w:r>
      <w:r>
        <w:rPr>
          <w:rFonts w:hint="eastAsia" w:ascii="Times New Roman" w:hAnsi="Times New Roman" w:cs="Times New Roman"/>
          <w:szCs w:val="32"/>
          <w:lang w:val="en-US" w:eastAsia="zh-CN"/>
        </w:rPr>
        <w:t>重大决策和重大活动等原因，年中追加较多经费，预算控制率有待进一步提高。二是预算绩效意识有待进一步提升，单位绩效理念逐步提高，绩效管理基础不断夯实，但“重分配，轻管理；重使用，轻绩效”的思想尚未发生根本性改变。</w:t>
      </w:r>
    </w:p>
    <w:p w14:paraId="308B4ED6">
      <w:pPr>
        <w:keepNext w:val="0"/>
        <w:keepLines w:val="0"/>
        <w:pageBreakBefore w:val="0"/>
        <w:widowControl w:val="0"/>
        <w:numPr>
          <w:ilvl w:val="0"/>
          <w:numId w:val="7"/>
        </w:numPr>
        <w:kinsoku/>
        <w:wordWrap/>
        <w:overflowPunct/>
        <w:topLinePunct w:val="0"/>
        <w:autoSpaceDE/>
        <w:autoSpaceDN/>
        <w:bidi w:val="0"/>
        <w:adjustRightInd/>
        <w:snapToGrid/>
        <w:spacing w:line="598" w:lineRule="exact"/>
        <w:ind w:left="0" w:leftChars="0" w:firstLine="643" w:firstLineChars="200"/>
        <w:textAlignment w:val="auto"/>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改进建议。</w:t>
      </w:r>
      <w:bookmarkStart w:id="1" w:name="_Hlk110546638"/>
    </w:p>
    <w:p w14:paraId="6B018AE8">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一是加强政策、制度学习，提高思想认识，认真学习新预算法、新会计制度、内部控制规范等相关法规制度，提高对全面预算管理的重视程度，增强财务人员的预算意识，坚持先有预算、后有支出，没有预算不得支出；二是提高预算执行率，进一步规范经费支出，严格按预算科目和金额执行，切实提高预算执行力；及时调度预算执行情况，提高预算执行的前瞻性和预见性。结合实际情况，完整、准确地披露相关信息，尽可能做到决算与预算相衔接；三是多开展相关业务工作的培训通过开展相关业务工作的培训，提高财务人员的业务水平。</w:t>
      </w:r>
    </w:p>
    <w:bookmarkEnd w:id="1"/>
    <w:p w14:paraId="7209A3EA">
      <w:pPr>
        <w:rPr>
          <w:rFonts w:hint="default"/>
          <w:lang w:val="zh-CN" w:eastAsia="zh-CN"/>
        </w:rPr>
      </w:pPr>
    </w:p>
    <w:p w14:paraId="709F295E">
      <w:pPr>
        <w:rPr>
          <w:rFonts w:hint="default"/>
          <w:lang w:val="en-US" w:eastAsia="zh-CN"/>
        </w:rPr>
      </w:pPr>
      <w:r>
        <w:rPr>
          <w:rFonts w:hint="eastAsia"/>
          <w:lang w:val="en-US" w:eastAsia="zh-CN"/>
        </w:rPr>
        <w:t>附表：1.</w:t>
      </w:r>
      <w:r>
        <w:rPr>
          <w:rFonts w:hint="default"/>
          <w:lang w:val="en-US" w:eastAsia="zh-CN"/>
        </w:rPr>
        <w:t>部门整体支出绩效目标完成情况自评表</w:t>
      </w:r>
    </w:p>
    <w:p w14:paraId="2DCD88BD">
      <w:pPr>
        <w:numPr>
          <w:ilvl w:val="0"/>
          <w:numId w:val="0"/>
        </w:numPr>
        <w:ind w:left="0" w:leftChars="0" w:firstLine="960" w:firstLineChars="300"/>
        <w:rPr>
          <w:rFonts w:hint="eastAsia"/>
          <w:lang w:val="en-US" w:eastAsia="zh-CN"/>
        </w:rPr>
      </w:pPr>
      <w:r>
        <w:rPr>
          <w:rFonts w:hint="eastAsia"/>
          <w:lang w:val="en-US" w:eastAsia="zh-CN"/>
        </w:rPr>
        <w:t>2.特定目标类项目绩效自评表</w:t>
      </w:r>
    </w:p>
    <w:p w14:paraId="21500F29">
      <w:pPr>
        <w:numPr>
          <w:ilvl w:val="0"/>
          <w:numId w:val="0"/>
        </w:numPr>
        <w:ind w:left="0" w:leftChars="0" w:firstLine="960" w:firstLineChars="300"/>
        <w:rPr>
          <w:rFonts w:hint="eastAsia"/>
          <w:lang w:val="en-US" w:eastAsia="zh-CN"/>
        </w:rPr>
      </w:pPr>
      <w:r>
        <w:rPr>
          <w:rFonts w:hint="eastAsia"/>
          <w:lang w:val="en-US" w:eastAsia="zh-CN"/>
        </w:rPr>
        <w:t>3.部门整体绩效指标体系</w:t>
      </w:r>
    </w:p>
    <w:p w14:paraId="297ACCB4">
      <w:pPr>
        <w:numPr>
          <w:ilvl w:val="0"/>
          <w:numId w:val="0"/>
        </w:numPr>
        <w:ind w:left="0" w:leftChars="0" w:firstLine="960" w:firstLineChars="300"/>
        <w:rPr>
          <w:rFonts w:hint="eastAsia"/>
          <w:lang w:val="en-US" w:eastAsia="zh-CN"/>
        </w:rPr>
      </w:pPr>
    </w:p>
    <w:p w14:paraId="7E79F9C6">
      <w:pPr>
        <w:numPr>
          <w:ilvl w:val="0"/>
          <w:numId w:val="0"/>
        </w:numPr>
        <w:ind w:left="0" w:leftChars="0" w:firstLine="960" w:firstLineChars="300"/>
        <w:rPr>
          <w:rFonts w:hint="eastAsia"/>
          <w:lang w:val="en-US" w:eastAsia="zh-CN"/>
        </w:rPr>
      </w:pPr>
    </w:p>
    <w:p w14:paraId="360B0467">
      <w:pPr>
        <w:numPr>
          <w:ilvl w:val="0"/>
          <w:numId w:val="0"/>
        </w:numPr>
        <w:ind w:left="0" w:leftChars="0" w:firstLine="960" w:firstLineChars="300"/>
        <w:rPr>
          <w:rFonts w:hint="eastAsia"/>
          <w:lang w:val="en-US" w:eastAsia="zh-CN"/>
        </w:rPr>
      </w:pPr>
    </w:p>
    <w:p w14:paraId="6E159C03">
      <w:pPr>
        <w:numPr>
          <w:ilvl w:val="0"/>
          <w:numId w:val="0"/>
        </w:numPr>
        <w:ind w:left="0" w:leftChars="0" w:firstLine="960" w:firstLineChars="300"/>
        <w:rPr>
          <w:rFonts w:hint="eastAsia"/>
          <w:lang w:val="en-US" w:eastAsia="zh-CN"/>
        </w:rPr>
      </w:pPr>
    </w:p>
    <w:p w14:paraId="6D257A30">
      <w:pPr>
        <w:numPr>
          <w:ilvl w:val="0"/>
          <w:numId w:val="0"/>
        </w:numPr>
        <w:ind w:left="0" w:leftChars="0" w:firstLine="960" w:firstLineChars="300"/>
        <w:rPr>
          <w:rFonts w:hint="eastAsia"/>
          <w:lang w:val="en-US" w:eastAsia="zh-CN"/>
        </w:rPr>
      </w:pPr>
    </w:p>
    <w:p w14:paraId="78D7A125">
      <w:pPr>
        <w:numPr>
          <w:ilvl w:val="0"/>
          <w:numId w:val="0"/>
        </w:numPr>
        <w:ind w:left="0" w:leftChars="0" w:firstLine="5120" w:firstLineChars="1600"/>
        <w:rPr>
          <w:rFonts w:hint="eastAsia"/>
          <w:lang w:val="en-US" w:eastAsia="zh-CN"/>
        </w:rPr>
      </w:pPr>
      <w:r>
        <w:rPr>
          <w:rFonts w:hint="eastAsia"/>
          <w:lang w:val="en-US" w:eastAsia="zh-CN"/>
        </w:rPr>
        <w:t>渠县李馥镇人民政府</w:t>
      </w:r>
    </w:p>
    <w:p w14:paraId="34B084C5">
      <w:pPr>
        <w:numPr>
          <w:ilvl w:val="0"/>
          <w:numId w:val="0"/>
        </w:numPr>
        <w:ind w:left="0" w:leftChars="0" w:firstLine="5120" w:firstLineChars="1600"/>
        <w:rPr>
          <w:rFonts w:hint="default"/>
          <w:lang w:val="en-US" w:eastAsia="zh-CN"/>
        </w:rPr>
      </w:pPr>
      <w:r>
        <w:rPr>
          <w:rFonts w:hint="eastAsia"/>
          <w:lang w:val="en-US" w:eastAsia="zh-CN"/>
        </w:rPr>
        <w:t>2024年8月22日</w:t>
      </w:r>
    </w:p>
    <w:p w14:paraId="2F9F3201">
      <w:pPr>
        <w:numPr>
          <w:ilvl w:val="0"/>
          <w:numId w:val="0"/>
        </w:numPr>
        <w:ind w:left="0" w:leftChars="0" w:firstLine="960" w:firstLineChars="300"/>
        <w:rPr>
          <w:rFonts w:hint="eastAsia"/>
          <w:lang w:val="en-US" w:eastAsia="zh-CN"/>
        </w:rPr>
      </w:pPr>
    </w:p>
    <w:p w14:paraId="4838FDBD">
      <w:pPr>
        <w:numPr>
          <w:ilvl w:val="0"/>
          <w:numId w:val="0"/>
        </w:numPr>
        <w:ind w:left="0" w:leftChars="0" w:firstLine="960" w:firstLineChars="300"/>
        <w:jc w:val="right"/>
        <w:rPr>
          <w:rFonts w:hint="eastAsia"/>
          <w:lang w:val="en-US" w:eastAsia="zh-CN"/>
        </w:rPr>
      </w:pPr>
    </w:p>
    <w:p w14:paraId="54161C36">
      <w:pPr>
        <w:numPr>
          <w:ilvl w:val="0"/>
          <w:numId w:val="0"/>
        </w:numPr>
        <w:ind w:left="0" w:leftChars="0" w:firstLine="960" w:firstLineChars="300"/>
        <w:jc w:val="right"/>
        <w:rPr>
          <w:rFonts w:hint="eastAsia"/>
          <w:lang w:val="en-US" w:eastAsia="zh-CN"/>
        </w:rPr>
      </w:pPr>
    </w:p>
    <w:p w14:paraId="15E43492">
      <w:pPr>
        <w:numPr>
          <w:ilvl w:val="0"/>
          <w:numId w:val="0"/>
        </w:numPr>
        <w:ind w:left="0" w:leftChars="0" w:firstLine="960" w:firstLineChars="300"/>
        <w:jc w:val="right"/>
        <w:rPr>
          <w:rFonts w:hint="eastAsia"/>
          <w:lang w:val="en-US" w:eastAsia="zh-CN"/>
        </w:rPr>
      </w:pPr>
    </w:p>
    <w:p w14:paraId="3A32904C">
      <w:pPr>
        <w:numPr>
          <w:ilvl w:val="0"/>
          <w:numId w:val="0"/>
        </w:numPr>
        <w:ind w:left="0" w:leftChars="0" w:firstLine="960" w:firstLineChars="300"/>
        <w:jc w:val="right"/>
        <w:rPr>
          <w:rFonts w:hint="eastAsia"/>
          <w:lang w:val="en-US" w:eastAsia="zh-CN"/>
        </w:rPr>
      </w:pPr>
    </w:p>
    <w:p w14:paraId="40A882A2">
      <w:pPr>
        <w:numPr>
          <w:ilvl w:val="0"/>
          <w:numId w:val="0"/>
        </w:numPr>
        <w:ind w:left="0" w:leftChars="0" w:firstLine="960" w:firstLineChars="300"/>
        <w:jc w:val="right"/>
        <w:rPr>
          <w:rFonts w:hint="eastAsia"/>
          <w:lang w:val="en-US" w:eastAsia="zh-CN"/>
        </w:rPr>
      </w:pPr>
    </w:p>
    <w:p w14:paraId="2A52F881">
      <w:pPr>
        <w:numPr>
          <w:ilvl w:val="0"/>
          <w:numId w:val="0"/>
        </w:numPr>
        <w:ind w:left="0" w:leftChars="0" w:firstLine="960" w:firstLineChars="300"/>
        <w:jc w:val="right"/>
        <w:rPr>
          <w:rFonts w:hint="eastAsia"/>
          <w:lang w:val="en-US" w:eastAsia="zh-CN"/>
        </w:rPr>
      </w:pPr>
    </w:p>
    <w:p w14:paraId="32DF9884">
      <w:pPr>
        <w:numPr>
          <w:ilvl w:val="0"/>
          <w:numId w:val="0"/>
        </w:numPr>
        <w:ind w:left="0" w:leftChars="0" w:firstLine="960" w:firstLineChars="300"/>
        <w:jc w:val="center"/>
        <w:rPr>
          <w:rFonts w:hint="eastAsia"/>
          <w:lang w:val="en-US" w:eastAsia="zh-CN"/>
        </w:rPr>
        <w:sectPr>
          <w:headerReference r:id="rId3" w:type="default"/>
          <w:footerReference r:id="rId4" w:type="default"/>
          <w:pgSz w:w="11906" w:h="16838"/>
          <w:pgMar w:top="2098" w:right="1474" w:bottom="1984" w:left="1587" w:header="851" w:footer="992" w:gutter="0"/>
          <w:pgNumType w:fmt="numberInDash" w:start="11"/>
          <w:cols w:space="425" w:num="1"/>
          <w:docGrid w:type="lines" w:linePitch="435" w:charSpace="0"/>
        </w:sectPr>
      </w:pPr>
    </w:p>
    <w:p w14:paraId="00699288">
      <w:pPr>
        <w:numPr>
          <w:ilvl w:val="0"/>
          <w:numId w:val="0"/>
        </w:numPr>
        <w:jc w:val="left"/>
        <w:rPr>
          <w:rFonts w:hint="eastAsia"/>
          <w:lang w:val="en-US" w:eastAsia="zh-CN"/>
        </w:rPr>
      </w:pPr>
      <w:r>
        <w:rPr>
          <w:rFonts w:hint="eastAsia"/>
          <w:lang w:val="en-US" w:eastAsia="zh-CN"/>
        </w:rPr>
        <w:t xml:space="preserve"> </w:t>
      </w:r>
      <w:r>
        <w:rPr>
          <w:rFonts w:hint="eastAsia" w:ascii="黑体" w:hAnsi="黑体" w:eastAsia="黑体" w:cs="黑体"/>
          <w:lang w:val="en-US" w:eastAsia="zh-CN"/>
        </w:rPr>
        <w:t>附表1</w:t>
      </w:r>
      <w:r>
        <w:rPr>
          <w:rFonts w:hint="eastAsia"/>
          <w:lang w:val="en-US" w:eastAsia="zh-CN"/>
        </w:rPr>
        <w:t xml:space="preserve">                                                                                           </w:t>
      </w:r>
    </w:p>
    <w:tbl>
      <w:tblPr>
        <w:tblStyle w:val="12"/>
        <w:tblW w:w="14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151"/>
        <w:gridCol w:w="996"/>
        <w:gridCol w:w="901"/>
        <w:gridCol w:w="273"/>
        <w:gridCol w:w="1498"/>
        <w:gridCol w:w="2258"/>
        <w:gridCol w:w="520"/>
        <w:gridCol w:w="1673"/>
        <w:gridCol w:w="520"/>
        <w:gridCol w:w="1090"/>
        <w:gridCol w:w="505"/>
        <w:gridCol w:w="486"/>
        <w:gridCol w:w="602"/>
        <w:gridCol w:w="1947"/>
      </w:tblGrid>
      <w:tr w14:paraId="0F2E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334" w:type="dxa"/>
            <w:gridSpan w:val="15"/>
            <w:tcBorders>
              <w:top w:val="nil"/>
              <w:left w:val="nil"/>
              <w:bottom w:val="nil"/>
              <w:right w:val="nil"/>
            </w:tcBorders>
            <w:noWrap w:val="0"/>
            <w:vAlign w:val="center"/>
          </w:tcPr>
          <w:p w14:paraId="7A6AE4D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部门整体支出绩效目标完成情况表</w:t>
            </w:r>
          </w:p>
        </w:tc>
      </w:tr>
      <w:tr w14:paraId="7157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4" w:type="dxa"/>
            <w:gridSpan w:val="15"/>
            <w:tcBorders>
              <w:top w:val="nil"/>
              <w:left w:val="nil"/>
              <w:bottom w:val="nil"/>
              <w:right w:val="nil"/>
            </w:tcBorders>
            <w:noWrap w:val="0"/>
            <w:vAlign w:val="center"/>
          </w:tcPr>
          <w:p w14:paraId="28CC0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71B1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334" w:type="dxa"/>
            <w:gridSpan w:val="15"/>
            <w:tcBorders>
              <w:top w:val="nil"/>
              <w:left w:val="nil"/>
              <w:bottom w:val="single" w:color="000000" w:sz="4" w:space="0"/>
              <w:right w:val="nil"/>
            </w:tcBorders>
            <w:noWrap w:val="0"/>
            <w:vAlign w:val="center"/>
          </w:tcPr>
          <w:p w14:paraId="172072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C59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009" w:type="dxa"/>
            <w:gridSpan w:val="5"/>
            <w:tcBorders>
              <w:top w:val="single" w:color="000000" w:sz="4" w:space="0"/>
              <w:left w:val="single" w:color="000000" w:sz="4" w:space="0"/>
              <w:bottom w:val="single" w:color="000000" w:sz="4" w:space="0"/>
              <w:right w:val="single" w:color="000000" w:sz="4" w:space="0"/>
            </w:tcBorders>
            <w:noWrap w:val="0"/>
            <w:vAlign w:val="center"/>
          </w:tcPr>
          <w:p w14:paraId="25525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7325" w:type="dxa"/>
            <w:gridSpan w:val="10"/>
            <w:tcBorders>
              <w:top w:val="single" w:color="000000" w:sz="4" w:space="0"/>
              <w:left w:val="single" w:color="000000" w:sz="4" w:space="0"/>
              <w:bottom w:val="single" w:color="000000" w:sz="4" w:space="0"/>
              <w:right w:val="single" w:color="000000" w:sz="4" w:space="0"/>
            </w:tcBorders>
            <w:noWrap w:val="0"/>
            <w:vAlign w:val="center"/>
          </w:tcPr>
          <w:p w14:paraId="3B315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w:t>
            </w:r>
            <w:r>
              <w:rPr>
                <w:rFonts w:hint="eastAsia" w:ascii="宋体" w:hAnsi="宋体" w:eastAsia="宋体" w:cs="宋体"/>
                <w:i w:val="0"/>
                <w:iCs w:val="0"/>
                <w:color w:val="000000"/>
                <w:kern w:val="0"/>
                <w:sz w:val="18"/>
                <w:szCs w:val="18"/>
                <w:u w:val="none"/>
                <w:lang w:val="en-US" w:eastAsia="zh-CN" w:bidi="ar"/>
              </w:rPr>
              <w:t>李馥</w:t>
            </w:r>
            <w:r>
              <w:rPr>
                <w:rFonts w:ascii="宋体" w:hAnsi="宋体" w:eastAsia="宋体" w:cs="宋体"/>
                <w:i w:val="0"/>
                <w:iCs w:val="0"/>
                <w:color w:val="000000"/>
                <w:kern w:val="0"/>
                <w:sz w:val="18"/>
                <w:szCs w:val="18"/>
                <w:u w:val="none"/>
                <w:lang w:val="en-US" w:eastAsia="zh-CN" w:bidi="ar"/>
              </w:rPr>
              <w:t>镇人民政府</w:t>
            </w:r>
          </w:p>
        </w:tc>
      </w:tr>
      <w:tr w14:paraId="64BA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41F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2116D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756" w:type="dxa"/>
            <w:gridSpan w:val="4"/>
            <w:tcBorders>
              <w:top w:val="single" w:color="000000" w:sz="4" w:space="0"/>
              <w:left w:val="single" w:color="000000" w:sz="4" w:space="0"/>
              <w:bottom w:val="single" w:color="000000" w:sz="4" w:space="0"/>
              <w:right w:val="single" w:color="000000" w:sz="4" w:space="0"/>
            </w:tcBorders>
            <w:noWrap w:val="0"/>
            <w:vAlign w:val="center"/>
          </w:tcPr>
          <w:p w14:paraId="60A7C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569" w:type="dxa"/>
            <w:gridSpan w:val="6"/>
            <w:tcBorders>
              <w:top w:val="single" w:color="000000" w:sz="4" w:space="0"/>
              <w:left w:val="single" w:color="000000" w:sz="4" w:space="0"/>
              <w:bottom w:val="single" w:color="000000" w:sz="4" w:space="0"/>
              <w:right w:val="single" w:color="000000" w:sz="4" w:space="0"/>
            </w:tcBorders>
            <w:noWrap w:val="0"/>
            <w:vAlign w:val="center"/>
          </w:tcPr>
          <w:p w14:paraId="1AF7F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3AA9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0F44C0">
            <w:pPr>
              <w:jc w:val="center"/>
              <w:rPr>
                <w:rFonts w:hint="eastAsia" w:ascii="宋体" w:hAnsi="宋体" w:eastAsia="宋体" w:cs="宋体"/>
                <w:i w:val="0"/>
                <w:iCs w:val="0"/>
                <w:color w:val="000000"/>
                <w:sz w:val="18"/>
                <w:szCs w:val="18"/>
                <w:u w:val="none"/>
              </w:rPr>
            </w:pP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0E62D1D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1816.32</w:t>
            </w:r>
          </w:p>
        </w:tc>
        <w:tc>
          <w:tcPr>
            <w:tcW w:w="3756" w:type="dxa"/>
            <w:gridSpan w:val="4"/>
            <w:tcBorders>
              <w:top w:val="single" w:color="000000" w:sz="4" w:space="0"/>
              <w:left w:val="single" w:color="000000" w:sz="4" w:space="0"/>
              <w:bottom w:val="single" w:color="000000" w:sz="4" w:space="0"/>
              <w:right w:val="single" w:color="000000" w:sz="4" w:space="0"/>
            </w:tcBorders>
            <w:noWrap w:val="0"/>
            <w:vAlign w:val="center"/>
          </w:tcPr>
          <w:p w14:paraId="5A13AC90">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1816.32</w:t>
            </w:r>
          </w:p>
        </w:tc>
        <w:tc>
          <w:tcPr>
            <w:tcW w:w="3569" w:type="dxa"/>
            <w:gridSpan w:val="6"/>
            <w:tcBorders>
              <w:top w:val="single" w:color="000000" w:sz="4" w:space="0"/>
              <w:left w:val="single" w:color="000000" w:sz="4" w:space="0"/>
              <w:bottom w:val="single" w:color="000000" w:sz="4" w:space="0"/>
              <w:right w:val="single" w:color="000000" w:sz="4" w:space="0"/>
            </w:tcBorders>
            <w:noWrap w:val="0"/>
            <w:vAlign w:val="center"/>
          </w:tcPr>
          <w:p w14:paraId="62BD4ECC">
            <w:pPr>
              <w:jc w:val="right"/>
              <w:rPr>
                <w:rFonts w:hint="eastAsia" w:ascii="宋体" w:hAnsi="宋体" w:eastAsia="宋体" w:cs="宋体"/>
                <w:i w:val="0"/>
                <w:iCs w:val="0"/>
                <w:color w:val="000000"/>
                <w:sz w:val="18"/>
                <w:szCs w:val="18"/>
                <w:u w:val="none"/>
              </w:rPr>
            </w:pPr>
          </w:p>
        </w:tc>
      </w:tr>
      <w:tr w14:paraId="6F7B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611B8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9498" w:type="dxa"/>
            <w:gridSpan w:val="13"/>
            <w:tcBorders>
              <w:top w:val="single" w:color="000000" w:sz="4" w:space="0"/>
              <w:left w:val="single" w:color="000000" w:sz="4" w:space="0"/>
              <w:bottom w:val="single" w:color="000000" w:sz="4" w:space="0"/>
              <w:right w:val="single" w:color="000000" w:sz="4" w:space="0"/>
            </w:tcBorders>
            <w:noWrap w:val="0"/>
            <w:vAlign w:val="center"/>
          </w:tcPr>
          <w:p w14:paraId="1F7797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保障单位人员经费和公用经费支出； 全面加强社会治安综合治理，确保社会稳定、服务民生、道路畅通、环境干净优美、村民办事方便快捷,积极构建和谐社会。</w:t>
            </w:r>
          </w:p>
        </w:tc>
      </w:tr>
      <w:tr w14:paraId="68A5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9E12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060BF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7325" w:type="dxa"/>
            <w:gridSpan w:val="10"/>
            <w:tcBorders>
              <w:top w:val="single" w:color="000000" w:sz="4" w:space="0"/>
              <w:left w:val="single" w:color="000000" w:sz="4" w:space="0"/>
              <w:bottom w:val="single" w:color="000000" w:sz="4" w:space="0"/>
              <w:right w:val="single" w:color="000000" w:sz="4" w:space="0"/>
            </w:tcBorders>
            <w:noWrap w:val="0"/>
            <w:vAlign w:val="center"/>
          </w:tcPr>
          <w:p w14:paraId="04044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7A88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6D3752">
            <w:pPr>
              <w:jc w:val="center"/>
              <w:rPr>
                <w:rFonts w:hint="eastAsia" w:ascii="宋体" w:hAnsi="宋体" w:eastAsia="宋体" w:cs="宋体"/>
                <w:i w:val="0"/>
                <w:iCs w:val="0"/>
                <w:color w:val="000000"/>
                <w:sz w:val="18"/>
                <w:szCs w:val="18"/>
                <w:u w:val="none"/>
              </w:rPr>
            </w:pP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317D8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w:t>
            </w:r>
          </w:p>
        </w:tc>
        <w:tc>
          <w:tcPr>
            <w:tcW w:w="7325" w:type="dxa"/>
            <w:gridSpan w:val="10"/>
            <w:tcBorders>
              <w:top w:val="single" w:color="000000" w:sz="4" w:space="0"/>
              <w:left w:val="single" w:color="000000" w:sz="4" w:space="0"/>
              <w:bottom w:val="single" w:color="000000" w:sz="4" w:space="0"/>
              <w:right w:val="single" w:color="000000" w:sz="4" w:space="0"/>
            </w:tcBorders>
            <w:noWrap w:val="0"/>
            <w:vAlign w:val="center"/>
          </w:tcPr>
          <w:p w14:paraId="0FC569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w:t>
            </w:r>
          </w:p>
        </w:tc>
      </w:tr>
      <w:tr w14:paraId="053D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9D7103">
            <w:pPr>
              <w:jc w:val="center"/>
              <w:rPr>
                <w:rFonts w:hint="eastAsia" w:ascii="宋体" w:hAnsi="宋体" w:eastAsia="宋体" w:cs="宋体"/>
                <w:i w:val="0"/>
                <w:iCs w:val="0"/>
                <w:color w:val="000000"/>
                <w:sz w:val="18"/>
                <w:szCs w:val="18"/>
                <w:u w:val="none"/>
              </w:rPr>
            </w:pP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5D9A1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7325" w:type="dxa"/>
            <w:gridSpan w:val="10"/>
            <w:tcBorders>
              <w:top w:val="single" w:color="000000" w:sz="4" w:space="0"/>
              <w:left w:val="single" w:color="000000" w:sz="4" w:space="0"/>
              <w:bottom w:val="single" w:color="000000" w:sz="4" w:space="0"/>
              <w:right w:val="single" w:color="000000" w:sz="4" w:space="0"/>
            </w:tcBorders>
            <w:noWrap w:val="0"/>
            <w:vAlign w:val="center"/>
          </w:tcPr>
          <w:p w14:paraId="288851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工资福利和对个人和家庭补助的支出</w:t>
            </w:r>
          </w:p>
        </w:tc>
      </w:tr>
      <w:tr w14:paraId="7301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D8E8C3">
            <w:pPr>
              <w:jc w:val="center"/>
              <w:rPr>
                <w:rFonts w:hint="eastAsia" w:ascii="宋体" w:hAnsi="宋体" w:eastAsia="宋体" w:cs="宋体"/>
                <w:i w:val="0"/>
                <w:iCs w:val="0"/>
                <w:color w:val="000000"/>
                <w:sz w:val="18"/>
                <w:szCs w:val="18"/>
                <w:u w:val="none"/>
              </w:rPr>
            </w:pPr>
          </w:p>
        </w:tc>
        <w:tc>
          <w:tcPr>
            <w:tcW w:w="2173" w:type="dxa"/>
            <w:gridSpan w:val="3"/>
            <w:tcBorders>
              <w:top w:val="single" w:color="000000" w:sz="4" w:space="0"/>
              <w:left w:val="single" w:color="000000" w:sz="4" w:space="0"/>
              <w:bottom w:val="single" w:color="000000" w:sz="4" w:space="0"/>
              <w:right w:val="single" w:color="000000" w:sz="4" w:space="0"/>
            </w:tcBorders>
            <w:noWrap w:val="0"/>
            <w:vAlign w:val="center"/>
          </w:tcPr>
          <w:p w14:paraId="16A0A6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日常公用经费</w:t>
            </w:r>
          </w:p>
        </w:tc>
        <w:tc>
          <w:tcPr>
            <w:tcW w:w="7325" w:type="dxa"/>
            <w:gridSpan w:val="10"/>
            <w:tcBorders>
              <w:top w:val="single" w:color="000000" w:sz="4" w:space="0"/>
              <w:left w:val="single" w:color="000000" w:sz="4" w:space="0"/>
              <w:bottom w:val="single" w:color="000000" w:sz="4" w:space="0"/>
              <w:right w:val="single" w:color="000000" w:sz="4" w:space="0"/>
            </w:tcBorders>
            <w:noWrap w:val="0"/>
            <w:vAlign w:val="center"/>
          </w:tcPr>
          <w:p w14:paraId="0F9C8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r>
      <w:tr w14:paraId="24C8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046A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1782D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046C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44CA5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34DCE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4D022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052D7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CD5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14:paraId="33C1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7AC4DE">
            <w:pPr>
              <w:jc w:val="center"/>
              <w:rPr>
                <w:rFonts w:hint="eastAsia" w:ascii="宋体" w:hAnsi="宋体" w:eastAsia="宋体" w:cs="宋体"/>
                <w:i w:val="0"/>
                <w:iCs w:val="0"/>
                <w:color w:val="000000"/>
                <w:sz w:val="18"/>
                <w:szCs w:val="18"/>
                <w:u w:val="none"/>
              </w:rPr>
            </w:pP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8B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74CD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07156C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4D3B18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2524EDE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11830905.58</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3E35CC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DE945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6638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166145">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5F7EC">
            <w:pPr>
              <w:jc w:val="left"/>
              <w:rPr>
                <w:rFonts w:hint="eastAsia" w:ascii="宋体" w:hAnsi="宋体" w:eastAsia="宋体" w:cs="宋体"/>
                <w:i w:val="0"/>
                <w:iCs w:val="0"/>
                <w:color w:val="000000"/>
                <w:sz w:val="18"/>
                <w:szCs w:val="18"/>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D8E338">
            <w:pPr>
              <w:jc w:val="left"/>
              <w:rPr>
                <w:rFonts w:hint="eastAsia" w:ascii="宋体" w:hAnsi="宋体" w:eastAsia="宋体" w:cs="宋体"/>
                <w:i w:val="0"/>
                <w:iCs w:val="0"/>
                <w:color w:val="000000"/>
                <w:sz w:val="18"/>
                <w:szCs w:val="18"/>
                <w:u w:val="none"/>
              </w:rPr>
            </w:pP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5380A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日常公用经费</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43E84E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7101211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720400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2CD6C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AEF90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0A09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080326">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7B1C7">
            <w:pPr>
              <w:jc w:val="left"/>
              <w:rPr>
                <w:rFonts w:hint="eastAsia" w:ascii="宋体" w:hAnsi="宋体" w:eastAsia="宋体" w:cs="宋体"/>
                <w:i w:val="0"/>
                <w:iCs w:val="0"/>
                <w:color w:val="000000"/>
                <w:sz w:val="18"/>
                <w:szCs w:val="18"/>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57F33">
            <w:pPr>
              <w:jc w:val="left"/>
              <w:rPr>
                <w:rFonts w:hint="eastAsia" w:ascii="宋体" w:hAnsi="宋体" w:eastAsia="宋体" w:cs="宋体"/>
                <w:i w:val="0"/>
                <w:iCs w:val="0"/>
                <w:color w:val="000000"/>
                <w:sz w:val="18"/>
                <w:szCs w:val="18"/>
                <w:u w:val="none"/>
              </w:rPr>
            </w:pP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2E9FD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6389B1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13BBA1A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5611911</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3A2095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EE8A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6922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D45C65">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3DB5F">
            <w:pPr>
              <w:jc w:val="left"/>
              <w:rPr>
                <w:rFonts w:hint="eastAsia" w:ascii="宋体" w:hAnsi="宋体" w:eastAsia="宋体" w:cs="宋体"/>
                <w:i w:val="0"/>
                <w:iCs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2A6FB2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502744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人员经费保障质量</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568A2E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2332ED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379C09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0C2D8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5410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5F0239">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88B7C">
            <w:pPr>
              <w:jc w:val="left"/>
              <w:rPr>
                <w:rFonts w:hint="eastAsia" w:ascii="宋体" w:hAnsi="宋体" w:eastAsia="宋体" w:cs="宋体"/>
                <w:i w:val="0"/>
                <w:iCs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47514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4FCD33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及时保障资金供给</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129DB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0AAE0C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7206C2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4E482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29B9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E8D746">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75D3D3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09F692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35B0A4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5C8D71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4F6BBB5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7A0BB5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9530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17DD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93EBD">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77C540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AA471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30366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相关部门和单位满意度</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12D62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0A767495">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6</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48F7BF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47C22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14:paraId="632D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86EB1D">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4F41ED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622077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578" w:type="dxa"/>
            <w:gridSpan w:val="3"/>
            <w:tcBorders>
              <w:top w:val="single" w:color="000000" w:sz="4" w:space="0"/>
              <w:left w:val="single" w:color="000000" w:sz="4" w:space="0"/>
              <w:bottom w:val="single" w:color="000000" w:sz="4" w:space="0"/>
              <w:right w:val="single" w:color="000000" w:sz="4" w:space="0"/>
            </w:tcBorders>
            <w:noWrap w:val="0"/>
            <w:vAlign w:val="center"/>
          </w:tcPr>
          <w:p w14:paraId="1342F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运行成本控制</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B0B8E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5" w:type="dxa"/>
            <w:gridSpan w:val="3"/>
            <w:tcBorders>
              <w:top w:val="single" w:color="000000" w:sz="4" w:space="0"/>
              <w:left w:val="single" w:color="000000" w:sz="4" w:space="0"/>
              <w:bottom w:val="single" w:color="000000" w:sz="4" w:space="0"/>
              <w:right w:val="single" w:color="000000" w:sz="4" w:space="0"/>
            </w:tcBorders>
            <w:noWrap w:val="0"/>
            <w:vAlign w:val="center"/>
          </w:tcPr>
          <w:p w14:paraId="01FE655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18163216.58</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426E3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4B45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70E2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7A410D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A6A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B3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2D3B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51172522T000004746148-纪检工作专项经费</w:t>
            </w:r>
          </w:p>
        </w:tc>
      </w:tr>
      <w:tr w14:paraId="7870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195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25E8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1474EF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4B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7518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A2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07F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367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15BC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E0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05D8">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8E27">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9C09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完善机制体制强化监督，深入推进党风廉政建设和反腐败工作开展，确保党风政风大转变保证纪检工作开展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7C3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完善机制体制强化监督，深入推进党风廉政建设和反腐败工作开展，确保党风政风大转变保证纪检工作开展</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297D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D6B4">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A98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83BA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按照上级规定及时完成纪检监察项目任务，保障了党风廉政风清气正，做到了有案必查，及时办结，纪检监察工作经费项目资金实际支出13万元，占计划13万元的100％。</w:t>
            </w:r>
          </w:p>
        </w:tc>
      </w:tr>
      <w:tr w14:paraId="3074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43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1A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A7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DE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1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B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2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0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F6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81C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53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3C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D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FF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3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4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EDC8D">
            <w:pPr>
              <w:rPr>
                <w:rFonts w:hint="eastAsia" w:ascii="黑体" w:hAnsi="黑体" w:eastAsia="黑体" w:cs="黑体"/>
                <w:i/>
                <w:iCs/>
                <w:color w:val="000000"/>
                <w:sz w:val="18"/>
                <w:szCs w:val="18"/>
                <w:u w:val="none"/>
              </w:rPr>
            </w:pPr>
          </w:p>
        </w:tc>
      </w:tr>
      <w:tr w14:paraId="2955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F19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90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E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D1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E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D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1AC97">
            <w:pPr>
              <w:rPr>
                <w:rFonts w:hint="eastAsia" w:ascii="黑体" w:hAnsi="黑体" w:eastAsia="黑体" w:cs="黑体"/>
                <w:i/>
                <w:iCs/>
                <w:color w:val="000000"/>
                <w:sz w:val="18"/>
                <w:szCs w:val="18"/>
                <w:u w:val="none"/>
              </w:rPr>
            </w:pPr>
          </w:p>
        </w:tc>
      </w:tr>
      <w:tr w14:paraId="4C7F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8CA5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1A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A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BE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B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7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8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9F9D">
            <w:pPr>
              <w:rPr>
                <w:rFonts w:hint="eastAsia" w:ascii="黑体" w:hAnsi="黑体" w:eastAsia="黑体" w:cs="黑体"/>
                <w:i/>
                <w:iCs/>
                <w:color w:val="000000"/>
                <w:sz w:val="18"/>
                <w:szCs w:val="18"/>
                <w:u w:val="none"/>
              </w:rPr>
            </w:pPr>
          </w:p>
        </w:tc>
      </w:tr>
      <w:tr w14:paraId="3CD8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D27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BE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98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EE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C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D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BD42">
            <w:pPr>
              <w:rPr>
                <w:rFonts w:hint="eastAsia" w:ascii="黑体" w:hAnsi="黑体" w:eastAsia="黑体" w:cs="黑体"/>
                <w:i/>
                <w:iCs/>
                <w:color w:val="000000"/>
                <w:sz w:val="18"/>
                <w:szCs w:val="18"/>
                <w:u w:val="none"/>
              </w:rPr>
            </w:pPr>
          </w:p>
        </w:tc>
      </w:tr>
      <w:tr w14:paraId="611D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A50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8E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BB20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CB6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4CD8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7C8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B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C76B">
            <w:pPr>
              <w:rPr>
                <w:rFonts w:hint="eastAsia" w:ascii="黑体" w:hAnsi="黑体" w:eastAsia="黑体" w:cs="黑体"/>
                <w:i/>
                <w:iCs/>
                <w:color w:val="000000"/>
                <w:sz w:val="18"/>
                <w:szCs w:val="18"/>
                <w:u w:val="none"/>
              </w:rPr>
            </w:pPr>
          </w:p>
        </w:tc>
      </w:tr>
      <w:tr w14:paraId="0E8A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B5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8B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3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D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B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7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0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2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AB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E1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7EF2">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8F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72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相关会议次数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C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0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A5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2DCA">
            <w:pPr>
              <w:jc w:val="center"/>
              <w:rPr>
                <w:rFonts w:hint="eastAsia" w:ascii="微软雅黑" w:hAnsi="微软雅黑" w:eastAsia="微软雅黑" w:cs="微软雅黑"/>
                <w:i/>
                <w:iCs/>
                <w:color w:val="000000"/>
                <w:sz w:val="16"/>
                <w:szCs w:val="16"/>
                <w:u w:val="none"/>
              </w:rPr>
            </w:pPr>
          </w:p>
        </w:tc>
      </w:tr>
      <w:tr w14:paraId="2E21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5D1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487E">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DD685">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E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调研次数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E68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1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2ACB">
            <w:pPr>
              <w:jc w:val="center"/>
              <w:rPr>
                <w:rFonts w:hint="eastAsia" w:ascii="微软雅黑" w:hAnsi="微软雅黑" w:eastAsia="微软雅黑" w:cs="微软雅黑"/>
                <w:i/>
                <w:iCs/>
                <w:color w:val="000000"/>
                <w:sz w:val="16"/>
                <w:szCs w:val="16"/>
                <w:u w:val="none"/>
              </w:rPr>
            </w:pPr>
          </w:p>
        </w:tc>
      </w:tr>
      <w:tr w14:paraId="74C9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7E44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8C9A">
            <w:pPr>
              <w:jc w:val="center"/>
              <w:rPr>
                <w:rFonts w:hint="eastAsia" w:ascii="宋体" w:hAnsi="宋体" w:eastAsia="宋体" w:cs="宋体"/>
                <w:i w:val="0"/>
                <w:iCs w:val="0"/>
                <w:color w:val="000000"/>
                <w:sz w:val="18"/>
                <w:szCs w:val="18"/>
                <w:u w:val="none"/>
              </w:rPr>
            </w:pP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D3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问题线索处置率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D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0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D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4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05949">
            <w:pPr>
              <w:jc w:val="center"/>
              <w:rPr>
                <w:rFonts w:hint="eastAsia" w:ascii="微软雅黑" w:hAnsi="微软雅黑" w:eastAsia="微软雅黑" w:cs="微软雅黑"/>
                <w:i/>
                <w:iCs/>
                <w:color w:val="000000"/>
                <w:sz w:val="16"/>
                <w:szCs w:val="16"/>
                <w:u w:val="none"/>
              </w:rPr>
            </w:pPr>
          </w:p>
        </w:tc>
      </w:tr>
      <w:tr w14:paraId="6609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3AC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428A">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D590">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立案办结率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B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A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1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9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2C6FC">
            <w:pPr>
              <w:jc w:val="center"/>
              <w:rPr>
                <w:rFonts w:hint="eastAsia" w:ascii="微软雅黑" w:hAnsi="微软雅黑" w:eastAsia="微软雅黑" w:cs="微软雅黑"/>
                <w:i/>
                <w:iCs/>
                <w:color w:val="000000"/>
                <w:sz w:val="16"/>
                <w:szCs w:val="16"/>
                <w:u w:val="none"/>
              </w:rPr>
            </w:pPr>
          </w:p>
        </w:tc>
      </w:tr>
      <w:tr w14:paraId="160D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B32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32E6">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0A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7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案件办理时限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BF7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8AE56">
            <w:pPr>
              <w:jc w:val="center"/>
              <w:rPr>
                <w:rFonts w:hint="eastAsia" w:ascii="微软雅黑" w:hAnsi="微软雅黑" w:eastAsia="微软雅黑" w:cs="微软雅黑"/>
                <w:i/>
                <w:iCs/>
                <w:color w:val="000000"/>
                <w:sz w:val="16"/>
                <w:szCs w:val="16"/>
                <w:u w:val="none"/>
              </w:rPr>
            </w:pPr>
          </w:p>
        </w:tc>
      </w:tr>
      <w:tr w14:paraId="26A1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0B3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C0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16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减少辖区案件发生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5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4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05F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4A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优良中低差</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0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9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DE713">
            <w:pPr>
              <w:jc w:val="center"/>
              <w:rPr>
                <w:rFonts w:hint="eastAsia" w:ascii="微软雅黑" w:hAnsi="微软雅黑" w:eastAsia="微软雅黑" w:cs="微软雅黑"/>
                <w:i/>
                <w:iCs/>
                <w:color w:val="000000"/>
                <w:sz w:val="16"/>
                <w:szCs w:val="16"/>
                <w:u w:val="none"/>
              </w:rPr>
            </w:pPr>
          </w:p>
        </w:tc>
      </w:tr>
      <w:tr w14:paraId="5246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2C87">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B12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D2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C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纪检监察力度，营造廉洁勤政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0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E31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BBB8">
            <w:pPr>
              <w:jc w:val="center"/>
              <w:rPr>
                <w:rFonts w:hint="eastAsia" w:ascii="微软雅黑" w:hAnsi="微软雅黑" w:eastAsia="微软雅黑" w:cs="微软雅黑"/>
                <w:i/>
                <w:iCs/>
                <w:color w:val="000000"/>
                <w:sz w:val="16"/>
                <w:szCs w:val="16"/>
                <w:u w:val="none"/>
              </w:rPr>
            </w:pPr>
          </w:p>
        </w:tc>
      </w:tr>
      <w:tr w14:paraId="5D95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139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6B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7D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8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5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54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B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DC53D">
            <w:pPr>
              <w:jc w:val="center"/>
              <w:rPr>
                <w:rFonts w:hint="eastAsia" w:ascii="微软雅黑" w:hAnsi="微软雅黑" w:eastAsia="微软雅黑" w:cs="微软雅黑"/>
                <w:i/>
                <w:iCs/>
                <w:color w:val="000000"/>
                <w:sz w:val="16"/>
                <w:szCs w:val="16"/>
                <w:u w:val="none"/>
              </w:rPr>
            </w:pPr>
          </w:p>
        </w:tc>
      </w:tr>
      <w:tr w14:paraId="3A8A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FF4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22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C4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办案经费投入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7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B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42A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8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5ED42">
            <w:pPr>
              <w:jc w:val="center"/>
              <w:rPr>
                <w:rFonts w:hint="eastAsia" w:ascii="微软雅黑" w:hAnsi="微软雅黑" w:eastAsia="微软雅黑" w:cs="微软雅黑"/>
                <w:i/>
                <w:iCs/>
                <w:color w:val="000000"/>
                <w:sz w:val="16"/>
                <w:szCs w:val="16"/>
                <w:u w:val="none"/>
              </w:rPr>
            </w:pPr>
          </w:p>
        </w:tc>
      </w:tr>
      <w:tr w14:paraId="1DEB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819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8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5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D67E">
            <w:pPr>
              <w:rPr>
                <w:rFonts w:hint="eastAsia" w:ascii="宋体" w:hAnsi="宋体" w:eastAsia="宋体" w:cs="宋体"/>
                <w:i w:val="0"/>
                <w:iCs w:val="0"/>
                <w:color w:val="000000"/>
                <w:sz w:val="18"/>
                <w:szCs w:val="18"/>
                <w:u w:val="none"/>
              </w:rPr>
            </w:pPr>
          </w:p>
        </w:tc>
      </w:tr>
      <w:tr w14:paraId="48F1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4AB64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本项目得分95分，纪检监察工作正常运行，通过检查、调查揭示问题，分析原因，提出建议，相关政策完全落实，及时完成了纪检监察项目任务，党风廉政风清气正，</w:t>
            </w:r>
          </w:p>
        </w:tc>
      </w:tr>
      <w:tr w14:paraId="1899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A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7C5E7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纪检监察力度还需进一步提高，党员干部违纪违规现象在一些地方和领域时有发现，党风廉政建设群众满意度还有一定的差距。</w:t>
            </w:r>
          </w:p>
        </w:tc>
      </w:tr>
      <w:tr w14:paraId="0564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6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D0953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1、进一步加强党员干部的廉政建设教育，提高他们的模范遵纪守法意识，2、进一步抽调高素质的干部充实到纪检监察队伍，加大宣传教育力度，治病救人，降低党员干部违纪违规率。</w:t>
            </w:r>
          </w:p>
        </w:tc>
      </w:tr>
      <w:tr w14:paraId="7820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FA41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C256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2B2D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51CEC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D10282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E2500C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317B7B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A8DFBB">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A943C7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19B716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40F3AE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872E67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7EFEC70">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7D2F8584">
            <w:pPr>
              <w:rPr>
                <w:rFonts w:hint="eastAsia" w:ascii="宋体" w:hAnsi="宋体" w:eastAsia="宋体" w:cs="宋体"/>
                <w:i w:val="0"/>
                <w:iCs w:val="0"/>
                <w:color w:val="000000"/>
                <w:sz w:val="18"/>
                <w:szCs w:val="18"/>
                <w:u w:val="none"/>
              </w:rPr>
            </w:pPr>
          </w:p>
        </w:tc>
      </w:tr>
      <w:tr w14:paraId="715D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D7C30A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1457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A7F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B172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51172522T000005226512-天鹅村粮食折现</w:t>
            </w:r>
          </w:p>
        </w:tc>
      </w:tr>
      <w:tr w14:paraId="416C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403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D591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5ADB52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DE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3C4E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1A6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7A1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F53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462B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AC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9FA5">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4B42">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0B18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解决天鹅村失地农民生活困难问题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090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解决天鹅村失地农民生活困难问题</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307C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4F3B">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95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FE47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解决了天鹅村失地农户缺粮问题，粮食折现资金96959元按时发放到缺粮户</w:t>
            </w:r>
          </w:p>
        </w:tc>
      </w:tr>
      <w:tr w14:paraId="2FD6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89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02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20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F6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2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F8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69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23A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FC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FE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A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C6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90A10">
            <w:pPr>
              <w:rPr>
                <w:rFonts w:hint="eastAsia" w:ascii="黑体" w:hAnsi="黑体" w:eastAsia="黑体" w:cs="黑体"/>
                <w:i/>
                <w:iCs/>
                <w:color w:val="000000"/>
                <w:sz w:val="18"/>
                <w:szCs w:val="18"/>
                <w:u w:val="none"/>
              </w:rPr>
            </w:pPr>
          </w:p>
        </w:tc>
      </w:tr>
      <w:tr w14:paraId="66A5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23C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D9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31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33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628F">
            <w:pPr>
              <w:rPr>
                <w:rFonts w:hint="eastAsia" w:ascii="黑体" w:hAnsi="黑体" w:eastAsia="黑体" w:cs="黑体"/>
                <w:i/>
                <w:iCs/>
                <w:color w:val="000000"/>
                <w:sz w:val="18"/>
                <w:szCs w:val="18"/>
                <w:u w:val="none"/>
              </w:rPr>
            </w:pPr>
          </w:p>
        </w:tc>
      </w:tr>
      <w:tr w14:paraId="397D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462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35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53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E9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D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6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23DD">
            <w:pPr>
              <w:rPr>
                <w:rFonts w:hint="eastAsia" w:ascii="黑体" w:hAnsi="黑体" w:eastAsia="黑体" w:cs="黑体"/>
                <w:i/>
                <w:iCs/>
                <w:color w:val="000000"/>
                <w:sz w:val="18"/>
                <w:szCs w:val="18"/>
                <w:u w:val="none"/>
              </w:rPr>
            </w:pPr>
          </w:p>
        </w:tc>
      </w:tr>
      <w:tr w14:paraId="553C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220E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7E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3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0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52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2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EB37">
            <w:pPr>
              <w:rPr>
                <w:rFonts w:hint="eastAsia" w:ascii="黑体" w:hAnsi="黑体" w:eastAsia="黑体" w:cs="黑体"/>
                <w:i/>
                <w:iCs/>
                <w:color w:val="000000"/>
                <w:sz w:val="18"/>
                <w:szCs w:val="18"/>
                <w:u w:val="none"/>
              </w:rPr>
            </w:pPr>
          </w:p>
        </w:tc>
      </w:tr>
      <w:tr w14:paraId="7F7D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86D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42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E64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5F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DC51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6D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F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8AB7">
            <w:pPr>
              <w:rPr>
                <w:rFonts w:hint="eastAsia" w:ascii="黑体" w:hAnsi="黑体" w:eastAsia="黑体" w:cs="黑体"/>
                <w:i/>
                <w:iCs/>
                <w:color w:val="000000"/>
                <w:sz w:val="18"/>
                <w:szCs w:val="18"/>
                <w:u w:val="none"/>
              </w:rPr>
            </w:pPr>
          </w:p>
        </w:tc>
      </w:tr>
      <w:tr w14:paraId="6D5B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26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44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21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3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B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E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E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4A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FD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86BB">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1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61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折现稻谷斤数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3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3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9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27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70260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A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8AB7D">
            <w:pPr>
              <w:jc w:val="center"/>
              <w:rPr>
                <w:rFonts w:hint="eastAsia" w:ascii="微软雅黑" w:hAnsi="微软雅黑" w:eastAsia="微软雅黑" w:cs="微软雅黑"/>
                <w:i/>
                <w:iCs/>
                <w:color w:val="000000"/>
                <w:sz w:val="16"/>
                <w:szCs w:val="16"/>
                <w:u w:val="none"/>
              </w:rPr>
            </w:pPr>
          </w:p>
        </w:tc>
      </w:tr>
      <w:tr w14:paraId="3E1E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9E9B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4962">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7B4A">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4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9C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186A8">
            <w:pPr>
              <w:jc w:val="center"/>
              <w:rPr>
                <w:rFonts w:hint="eastAsia" w:ascii="微软雅黑" w:hAnsi="微软雅黑" w:eastAsia="微软雅黑" w:cs="微软雅黑"/>
                <w:i/>
                <w:iCs/>
                <w:color w:val="000000"/>
                <w:sz w:val="16"/>
                <w:szCs w:val="16"/>
                <w:u w:val="none"/>
              </w:rPr>
            </w:pPr>
          </w:p>
        </w:tc>
      </w:tr>
      <w:tr w14:paraId="51CE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701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42F3">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C3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1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9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4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0BE6B">
            <w:pPr>
              <w:jc w:val="center"/>
              <w:rPr>
                <w:rFonts w:hint="eastAsia" w:ascii="微软雅黑" w:hAnsi="微软雅黑" w:eastAsia="微软雅黑" w:cs="微软雅黑"/>
                <w:i/>
                <w:iCs/>
                <w:color w:val="000000"/>
                <w:sz w:val="16"/>
                <w:szCs w:val="16"/>
                <w:u w:val="none"/>
              </w:rPr>
            </w:pPr>
          </w:p>
        </w:tc>
      </w:tr>
      <w:tr w14:paraId="4E8B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827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31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4E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3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提高缺地农民生活保障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4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FC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265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5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3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1C28C">
            <w:pPr>
              <w:jc w:val="center"/>
              <w:rPr>
                <w:rFonts w:hint="eastAsia" w:ascii="微软雅黑" w:hAnsi="微软雅黑" w:eastAsia="微软雅黑" w:cs="微软雅黑"/>
                <w:i/>
                <w:iCs/>
                <w:color w:val="000000"/>
                <w:sz w:val="16"/>
                <w:szCs w:val="16"/>
                <w:u w:val="none"/>
              </w:rPr>
            </w:pPr>
          </w:p>
        </w:tc>
      </w:tr>
      <w:tr w14:paraId="4235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60A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96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C1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3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3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7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A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6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DE80">
            <w:pPr>
              <w:jc w:val="center"/>
              <w:rPr>
                <w:rFonts w:hint="eastAsia" w:ascii="微软雅黑" w:hAnsi="微软雅黑" w:eastAsia="微软雅黑" w:cs="微软雅黑"/>
                <w:i/>
                <w:iCs/>
                <w:color w:val="000000"/>
                <w:sz w:val="16"/>
                <w:szCs w:val="16"/>
                <w:u w:val="none"/>
              </w:rPr>
            </w:pPr>
          </w:p>
        </w:tc>
      </w:tr>
      <w:tr w14:paraId="5D07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0F0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3F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D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3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粮食折现金额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E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4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193918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B0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193918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6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C6A4B">
            <w:pPr>
              <w:jc w:val="center"/>
              <w:rPr>
                <w:rFonts w:hint="eastAsia" w:ascii="微软雅黑" w:hAnsi="微软雅黑" w:eastAsia="微软雅黑" w:cs="微软雅黑"/>
                <w:i/>
                <w:iCs/>
                <w:color w:val="000000"/>
                <w:sz w:val="16"/>
                <w:szCs w:val="16"/>
                <w:u w:val="none"/>
              </w:rPr>
            </w:pPr>
          </w:p>
        </w:tc>
      </w:tr>
      <w:tr w14:paraId="372E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119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5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5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2204A">
            <w:pPr>
              <w:rPr>
                <w:rFonts w:hint="eastAsia" w:ascii="宋体" w:hAnsi="宋体" w:eastAsia="宋体" w:cs="宋体"/>
                <w:i w:val="0"/>
                <w:iCs w:val="0"/>
                <w:color w:val="000000"/>
                <w:sz w:val="18"/>
                <w:szCs w:val="18"/>
                <w:u w:val="none"/>
              </w:rPr>
            </w:pPr>
          </w:p>
        </w:tc>
      </w:tr>
      <w:tr w14:paraId="67D5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F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82EE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本项目得分98分，通过检查、调查揭示问题，分析原因，提出建议，保障相关政策完全落实，保障了弱势群体安全、生活稳定，确保了李馥镇人民政府社会安定、人民幸福。</w:t>
            </w:r>
          </w:p>
        </w:tc>
      </w:tr>
      <w:tr w14:paraId="1486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5944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补偿费发放及时性上还有待提高</w:t>
            </w:r>
          </w:p>
        </w:tc>
      </w:tr>
      <w:tr w14:paraId="2C44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7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C9425C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保持良好作风，保障失地群众的权益，及时发放补偿资金。</w:t>
            </w:r>
          </w:p>
        </w:tc>
      </w:tr>
      <w:tr w14:paraId="205C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C17F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6ABA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0875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4C5091C">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700A0B0">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844282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96A484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B5218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E73A56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7C7A12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10F80C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B28410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381C174">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35BD604">
            <w:pPr>
              <w:rPr>
                <w:rFonts w:hint="eastAsia" w:ascii="宋体" w:hAnsi="宋体" w:eastAsia="宋体" w:cs="宋体"/>
                <w:i w:val="0"/>
                <w:iCs w:val="0"/>
                <w:color w:val="000000"/>
                <w:sz w:val="18"/>
                <w:szCs w:val="18"/>
                <w:u w:val="none"/>
              </w:rPr>
            </w:pPr>
          </w:p>
        </w:tc>
      </w:tr>
      <w:tr w14:paraId="7E79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075EBF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852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735126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6FAD9B5A">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9AE42F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8C1610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DC1961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774B1B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8E9B92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183F58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48094E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84492A1">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263005A3">
            <w:pPr>
              <w:rPr>
                <w:rFonts w:hint="eastAsia" w:ascii="宋体" w:hAnsi="宋体" w:eastAsia="宋体" w:cs="宋体"/>
                <w:i w:val="0"/>
                <w:iCs w:val="0"/>
                <w:color w:val="000000"/>
                <w:sz w:val="18"/>
                <w:szCs w:val="18"/>
                <w:u w:val="none"/>
              </w:rPr>
            </w:pPr>
          </w:p>
        </w:tc>
      </w:tr>
      <w:tr w14:paraId="57E9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679450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CF3C32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6C1BF4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B7ADD8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AA0A69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808AA8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A3D214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92FAE3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5A5C84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6EE464F">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4A8AAA8">
            <w:pPr>
              <w:rPr>
                <w:rFonts w:hint="eastAsia" w:ascii="宋体" w:hAnsi="宋体" w:eastAsia="宋体" w:cs="宋体"/>
                <w:i w:val="0"/>
                <w:iCs w:val="0"/>
                <w:color w:val="000000"/>
                <w:sz w:val="18"/>
                <w:szCs w:val="18"/>
                <w:u w:val="none"/>
              </w:rPr>
            </w:pPr>
          </w:p>
        </w:tc>
      </w:tr>
      <w:tr w14:paraId="000E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BE2353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5E65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FE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1E9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51172522T000006829645-三馆免费开放专项资金</w:t>
            </w:r>
          </w:p>
        </w:tc>
      </w:tr>
      <w:tr w14:paraId="0445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79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1CC5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49FAC5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B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342C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7C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9E4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E34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F844E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89B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B3E7">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EBEE">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59D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组织公益性群众文化活动，举办公益性讲座和展览宣传，村、社区文化骨干辅导，业务活动用房小型修缮及零星业务设备更新等。</w:t>
            </w:r>
            <w:r>
              <w:rPr>
                <w:rFonts w:ascii="宋体" w:hAnsi="宋体" w:eastAsia="宋体" w:cs="宋体"/>
                <w:i w:val="0"/>
                <w:iCs w:val="0"/>
                <w:color w:val="000000"/>
                <w:kern w:val="0"/>
                <w:sz w:val="18"/>
                <w:szCs w:val="18"/>
                <w:u w:val="none"/>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D80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组织公益性群众文化活动，举办公益性讲座和展览宣传，村、社区文化骨干辅导，业务活动用房小型修缮及零星业务设备更新等。</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1EDD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D154D">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0EE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8467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组织公益性群众文化活动，举办公益性讲座和展览宣传，村、社区文化骨干辅导，业务活动用房小型修缮及零星业务设备更新等。</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r>
      <w:tr w14:paraId="7261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0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0E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1E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5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27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6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04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8E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AB9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37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E7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C2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A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CA3D9">
            <w:pPr>
              <w:rPr>
                <w:rFonts w:hint="eastAsia" w:ascii="黑体" w:hAnsi="黑体" w:eastAsia="黑体" w:cs="黑体"/>
                <w:i/>
                <w:iCs/>
                <w:color w:val="000000"/>
                <w:sz w:val="18"/>
                <w:szCs w:val="18"/>
                <w:u w:val="none"/>
              </w:rPr>
            </w:pPr>
          </w:p>
        </w:tc>
      </w:tr>
      <w:tr w14:paraId="666B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677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65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1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8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F5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C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2799">
            <w:pPr>
              <w:rPr>
                <w:rFonts w:hint="eastAsia" w:ascii="黑体" w:hAnsi="黑体" w:eastAsia="黑体" w:cs="黑体"/>
                <w:i/>
                <w:iCs/>
                <w:color w:val="000000"/>
                <w:sz w:val="18"/>
                <w:szCs w:val="18"/>
                <w:u w:val="none"/>
              </w:rPr>
            </w:pPr>
          </w:p>
        </w:tc>
      </w:tr>
      <w:tr w14:paraId="3B17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87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BF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6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3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FA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B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B265">
            <w:pPr>
              <w:rPr>
                <w:rFonts w:hint="eastAsia" w:ascii="黑体" w:hAnsi="黑体" w:eastAsia="黑体" w:cs="黑体"/>
                <w:i/>
                <w:iCs/>
                <w:color w:val="000000"/>
                <w:sz w:val="18"/>
                <w:szCs w:val="18"/>
                <w:u w:val="none"/>
              </w:rPr>
            </w:pPr>
          </w:p>
        </w:tc>
      </w:tr>
      <w:tr w14:paraId="7C1D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BBC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84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A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5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E9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2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E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1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A4F9">
            <w:pPr>
              <w:rPr>
                <w:rFonts w:hint="eastAsia" w:ascii="黑体" w:hAnsi="黑体" w:eastAsia="黑体" w:cs="黑体"/>
                <w:i/>
                <w:iCs/>
                <w:color w:val="000000"/>
                <w:sz w:val="18"/>
                <w:szCs w:val="18"/>
                <w:u w:val="none"/>
              </w:rPr>
            </w:pPr>
          </w:p>
        </w:tc>
      </w:tr>
      <w:tr w14:paraId="29B8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C16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DC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69F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03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673E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AAA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44FF4">
            <w:pPr>
              <w:rPr>
                <w:rFonts w:hint="eastAsia" w:ascii="黑体" w:hAnsi="黑体" w:eastAsia="黑体" w:cs="黑体"/>
                <w:i/>
                <w:iCs/>
                <w:color w:val="000000"/>
                <w:sz w:val="18"/>
                <w:szCs w:val="18"/>
                <w:u w:val="none"/>
              </w:rPr>
            </w:pPr>
          </w:p>
        </w:tc>
      </w:tr>
      <w:tr w14:paraId="7995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8B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8F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EE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E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3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5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9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C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F3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91C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33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7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组织公益性讲座、展览、文化宣讲次数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8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77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8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4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2FB8E">
            <w:pPr>
              <w:jc w:val="center"/>
              <w:rPr>
                <w:rFonts w:hint="eastAsia" w:ascii="微软雅黑" w:hAnsi="微软雅黑" w:eastAsia="微软雅黑" w:cs="微软雅黑"/>
                <w:i/>
                <w:iCs/>
                <w:color w:val="000000"/>
                <w:sz w:val="16"/>
                <w:szCs w:val="16"/>
                <w:u w:val="none"/>
              </w:rPr>
            </w:pPr>
          </w:p>
        </w:tc>
      </w:tr>
      <w:tr w14:paraId="421F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1F7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4DC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97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1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公共文化服务免费开放覆盖率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B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8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36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6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9FD1">
            <w:pPr>
              <w:jc w:val="center"/>
              <w:rPr>
                <w:rFonts w:hint="eastAsia" w:ascii="微软雅黑" w:hAnsi="微软雅黑" w:eastAsia="微软雅黑" w:cs="微软雅黑"/>
                <w:i/>
                <w:iCs/>
                <w:color w:val="000000"/>
                <w:sz w:val="16"/>
                <w:szCs w:val="16"/>
                <w:u w:val="none"/>
              </w:rPr>
            </w:pPr>
          </w:p>
        </w:tc>
      </w:tr>
      <w:tr w14:paraId="7437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D64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46F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1C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免费开放时间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3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3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8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FD45A">
            <w:pPr>
              <w:jc w:val="center"/>
              <w:rPr>
                <w:rFonts w:hint="eastAsia" w:ascii="微软雅黑" w:hAnsi="微软雅黑" w:eastAsia="微软雅黑" w:cs="微软雅黑"/>
                <w:i/>
                <w:iCs/>
                <w:color w:val="000000"/>
                <w:sz w:val="16"/>
                <w:szCs w:val="16"/>
                <w:u w:val="none"/>
              </w:rPr>
            </w:pPr>
          </w:p>
        </w:tc>
      </w:tr>
      <w:tr w14:paraId="0E49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52C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CF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50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6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群众对免费开放的知晓率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8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E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B3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1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5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0932F">
            <w:pPr>
              <w:jc w:val="center"/>
              <w:rPr>
                <w:rFonts w:hint="eastAsia" w:ascii="微软雅黑" w:hAnsi="微软雅黑" w:eastAsia="微软雅黑" w:cs="微软雅黑"/>
                <w:i/>
                <w:iCs/>
                <w:color w:val="000000"/>
                <w:sz w:val="16"/>
                <w:szCs w:val="16"/>
                <w:u w:val="none"/>
              </w:rPr>
            </w:pPr>
          </w:p>
        </w:tc>
      </w:tr>
      <w:tr w14:paraId="4BEC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049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3E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6F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F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群众对文化活动的满意度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F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1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D3771">
            <w:pPr>
              <w:jc w:val="center"/>
              <w:rPr>
                <w:rFonts w:hint="eastAsia" w:ascii="微软雅黑" w:hAnsi="微软雅黑" w:eastAsia="微软雅黑" w:cs="微软雅黑"/>
                <w:i/>
                <w:iCs/>
                <w:color w:val="000000"/>
                <w:sz w:val="16"/>
                <w:szCs w:val="16"/>
                <w:u w:val="none"/>
              </w:rPr>
            </w:pPr>
          </w:p>
        </w:tc>
      </w:tr>
      <w:tr w14:paraId="70C3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A93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9D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F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D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三馆免费开放资金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0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DE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44000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8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3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19B3D">
            <w:pPr>
              <w:jc w:val="center"/>
              <w:rPr>
                <w:rFonts w:hint="eastAsia" w:ascii="微软雅黑" w:hAnsi="微软雅黑" w:eastAsia="微软雅黑" w:cs="微软雅黑"/>
                <w:i/>
                <w:iCs/>
                <w:color w:val="000000"/>
                <w:sz w:val="16"/>
                <w:szCs w:val="16"/>
                <w:u w:val="none"/>
              </w:rPr>
            </w:pPr>
          </w:p>
        </w:tc>
      </w:tr>
      <w:tr w14:paraId="0D9E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437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9B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D6842">
            <w:pPr>
              <w:rPr>
                <w:rFonts w:hint="eastAsia" w:ascii="宋体" w:hAnsi="宋体" w:eastAsia="宋体" w:cs="宋体"/>
                <w:i w:val="0"/>
                <w:iCs w:val="0"/>
                <w:color w:val="000000"/>
                <w:sz w:val="18"/>
                <w:szCs w:val="18"/>
                <w:u w:val="none"/>
              </w:rPr>
            </w:pPr>
          </w:p>
        </w:tc>
      </w:tr>
      <w:tr w14:paraId="270F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E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2B91C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本项目自评得分100分，免费开放活动的开展丰富广大人民群众精神文化生活，提升我镇的文化形象，提高了群众文化影响力，促进社会和谐稳定，树立良好的文化环境。</w:t>
            </w:r>
          </w:p>
        </w:tc>
      </w:tr>
      <w:tr w14:paraId="4598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C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13F5A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文化站人员不足且专业人员缺乏，从而使得免费开放工作活动不够活跃，内容不够丰富;我县辖区面积宽，农村人口多，专项项目开展的面宽量大，免费开放经费不足，不能完全满足所有群众的需求。</w:t>
            </w:r>
          </w:p>
        </w:tc>
      </w:tr>
      <w:tr w14:paraId="1747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4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46AAC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镇将继续强化免费开放专项资金的管理和使用，切实加强免费开放工作的督促检查，定期进行调度，确保项目按时完成、资金执行到位。加强乡镇文化站的管理，为基层群众提供更高质量的服务，满足群众基本文化需求。</w:t>
            </w:r>
          </w:p>
        </w:tc>
      </w:tr>
      <w:tr w14:paraId="1BD9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77F7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6315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358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A279DFA">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FB46D1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6C5CED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E88691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B144FB">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FE3AA0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95E94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30F0D2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35DC4F">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5137539">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8C2B764">
            <w:pPr>
              <w:rPr>
                <w:rFonts w:hint="eastAsia" w:ascii="宋体" w:hAnsi="宋体" w:eastAsia="宋体" w:cs="宋体"/>
                <w:i w:val="0"/>
                <w:iCs w:val="0"/>
                <w:color w:val="000000"/>
                <w:sz w:val="18"/>
                <w:szCs w:val="18"/>
                <w:u w:val="none"/>
              </w:rPr>
            </w:pPr>
          </w:p>
        </w:tc>
      </w:tr>
      <w:tr w14:paraId="57E3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9DBA64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074F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7A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BD6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51172522T000007197543-失能特困人员照料护理费</w:t>
            </w:r>
          </w:p>
        </w:tc>
      </w:tr>
      <w:tr w14:paraId="745F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ED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2C96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4F3F5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F1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7982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14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2D4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795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51E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45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16C6">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8541">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B37C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1、将符合条件的人员纳入实施范围。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2、按照标准及时足额将补助资金发放到个人。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C95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1.将符合条件的人员纳入实施范围</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2.按照标准及时足额将补助资金发放到个人</w:t>
            </w:r>
          </w:p>
        </w:tc>
      </w:tr>
      <w:tr w14:paraId="4788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CA72">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33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23A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023年度专项资金全部到位，基本能够根据年初预算进行资金分配与使用；专项资金使用均2023年度专项资金全部到位，基本能够根据年初预算进行资金分配与使用；专项资金使用均符合相关财务管理制度规定</w:t>
            </w:r>
          </w:p>
        </w:tc>
      </w:tr>
      <w:tr w14:paraId="2429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BE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CC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73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7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14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3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6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7D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10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0B9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8F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05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91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5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6CA1B">
            <w:pPr>
              <w:rPr>
                <w:rFonts w:hint="eastAsia" w:ascii="黑体" w:hAnsi="黑体" w:eastAsia="黑体" w:cs="黑体"/>
                <w:i/>
                <w:iCs/>
                <w:color w:val="000000"/>
                <w:sz w:val="18"/>
                <w:szCs w:val="18"/>
                <w:u w:val="none"/>
              </w:rPr>
            </w:pPr>
          </w:p>
        </w:tc>
      </w:tr>
      <w:tr w14:paraId="02A1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31E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DB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8C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64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8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CFCB">
            <w:pPr>
              <w:rPr>
                <w:rFonts w:hint="eastAsia" w:ascii="黑体" w:hAnsi="黑体" w:eastAsia="黑体" w:cs="黑体"/>
                <w:i/>
                <w:iCs/>
                <w:color w:val="000000"/>
                <w:sz w:val="18"/>
                <w:szCs w:val="18"/>
                <w:u w:val="none"/>
              </w:rPr>
            </w:pPr>
          </w:p>
        </w:tc>
      </w:tr>
      <w:tr w14:paraId="035E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9B8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83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6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E8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7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1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47760">
            <w:pPr>
              <w:rPr>
                <w:rFonts w:hint="eastAsia" w:ascii="黑体" w:hAnsi="黑体" w:eastAsia="黑体" w:cs="黑体"/>
                <w:i/>
                <w:iCs/>
                <w:color w:val="000000"/>
                <w:sz w:val="18"/>
                <w:szCs w:val="18"/>
                <w:u w:val="none"/>
              </w:rPr>
            </w:pPr>
          </w:p>
        </w:tc>
      </w:tr>
      <w:tr w14:paraId="50F3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4D2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C7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40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4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13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9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E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4C82">
            <w:pPr>
              <w:rPr>
                <w:rFonts w:hint="eastAsia" w:ascii="黑体" w:hAnsi="黑体" w:eastAsia="黑体" w:cs="黑体"/>
                <w:i/>
                <w:iCs/>
                <w:color w:val="000000"/>
                <w:sz w:val="18"/>
                <w:szCs w:val="18"/>
                <w:u w:val="none"/>
              </w:rPr>
            </w:pPr>
          </w:p>
        </w:tc>
      </w:tr>
      <w:tr w14:paraId="0CC6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36A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0F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A570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01A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F8E7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93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1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4DB9">
            <w:pPr>
              <w:rPr>
                <w:rFonts w:hint="eastAsia" w:ascii="黑体" w:hAnsi="黑体" w:eastAsia="黑体" w:cs="黑体"/>
                <w:i/>
                <w:iCs/>
                <w:color w:val="000000"/>
                <w:sz w:val="18"/>
                <w:szCs w:val="18"/>
                <w:u w:val="none"/>
              </w:rPr>
            </w:pPr>
          </w:p>
        </w:tc>
      </w:tr>
      <w:tr w14:paraId="2FC4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67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D2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F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D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C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7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A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1D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AB4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F31B9">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C2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44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护理人数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E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0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0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3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B7F9">
            <w:pPr>
              <w:jc w:val="center"/>
              <w:rPr>
                <w:rFonts w:hint="eastAsia" w:ascii="微软雅黑" w:hAnsi="微软雅黑" w:eastAsia="微软雅黑" w:cs="微软雅黑"/>
                <w:i/>
                <w:iCs/>
                <w:color w:val="000000"/>
                <w:sz w:val="16"/>
                <w:szCs w:val="16"/>
                <w:u w:val="none"/>
              </w:rPr>
            </w:pPr>
          </w:p>
        </w:tc>
      </w:tr>
      <w:tr w14:paraId="7868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1317">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D4D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E1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领取护理补贴达标率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3F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E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50B0">
            <w:pPr>
              <w:jc w:val="center"/>
              <w:rPr>
                <w:rFonts w:hint="eastAsia" w:ascii="微软雅黑" w:hAnsi="微软雅黑" w:eastAsia="微软雅黑" w:cs="微软雅黑"/>
                <w:i/>
                <w:iCs/>
                <w:color w:val="000000"/>
                <w:sz w:val="16"/>
                <w:szCs w:val="16"/>
                <w:u w:val="none"/>
              </w:rPr>
            </w:pPr>
          </w:p>
        </w:tc>
      </w:tr>
      <w:tr w14:paraId="4BBA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B832">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706A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4A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资金及时拨付率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5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8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69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2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F298C">
            <w:pPr>
              <w:jc w:val="center"/>
              <w:rPr>
                <w:rFonts w:hint="eastAsia" w:ascii="微软雅黑" w:hAnsi="微软雅黑" w:eastAsia="微软雅黑" w:cs="微软雅黑"/>
                <w:i/>
                <w:iCs/>
                <w:color w:val="000000"/>
                <w:sz w:val="16"/>
                <w:szCs w:val="16"/>
                <w:u w:val="none"/>
              </w:rPr>
            </w:pPr>
          </w:p>
        </w:tc>
      </w:tr>
      <w:tr w14:paraId="4F88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901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A5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5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C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受益对象幸福感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B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59B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AB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显著提升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A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EB7D">
            <w:pPr>
              <w:jc w:val="center"/>
              <w:rPr>
                <w:rFonts w:hint="eastAsia" w:ascii="微软雅黑" w:hAnsi="微软雅黑" w:eastAsia="微软雅黑" w:cs="微软雅黑"/>
                <w:i/>
                <w:iCs/>
                <w:color w:val="000000"/>
                <w:sz w:val="16"/>
                <w:szCs w:val="16"/>
                <w:u w:val="none"/>
              </w:rPr>
            </w:pPr>
          </w:p>
        </w:tc>
      </w:tr>
      <w:tr w14:paraId="3E1E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C85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A0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02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E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9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955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1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489F3">
            <w:pPr>
              <w:jc w:val="center"/>
              <w:rPr>
                <w:rFonts w:hint="eastAsia" w:ascii="微软雅黑" w:hAnsi="微软雅黑" w:eastAsia="微软雅黑" w:cs="微软雅黑"/>
                <w:i/>
                <w:iCs/>
                <w:color w:val="000000"/>
                <w:sz w:val="16"/>
                <w:szCs w:val="16"/>
                <w:u w:val="none"/>
              </w:rPr>
            </w:pPr>
          </w:p>
        </w:tc>
      </w:tr>
      <w:tr w14:paraId="6985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8EE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3F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35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8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7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CC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0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D35CC">
            <w:pPr>
              <w:jc w:val="center"/>
              <w:rPr>
                <w:rFonts w:hint="eastAsia" w:ascii="微软雅黑" w:hAnsi="微软雅黑" w:eastAsia="微软雅黑" w:cs="微软雅黑"/>
                <w:i/>
                <w:iCs/>
                <w:color w:val="000000"/>
                <w:sz w:val="16"/>
                <w:szCs w:val="16"/>
                <w:u w:val="none"/>
              </w:rPr>
            </w:pPr>
          </w:p>
        </w:tc>
      </w:tr>
      <w:tr w14:paraId="0556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588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A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0A31">
            <w:pPr>
              <w:rPr>
                <w:rFonts w:hint="eastAsia" w:ascii="宋体" w:hAnsi="宋体" w:eastAsia="宋体" w:cs="宋体"/>
                <w:i w:val="0"/>
                <w:iCs w:val="0"/>
                <w:color w:val="000000"/>
                <w:sz w:val="18"/>
                <w:szCs w:val="18"/>
                <w:u w:val="none"/>
              </w:rPr>
            </w:pPr>
          </w:p>
        </w:tc>
      </w:tr>
      <w:tr w14:paraId="47C4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A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3355B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得分98分，通过特困人员护理能力建设项目的实施，改善和提高了特困人员供养现状、综合养护能力，特困人员供养机构和失能半失能人员对项目实施成果普遍好评，有效推动养老事业发展，发挥了积极作用；</w:t>
            </w:r>
          </w:p>
        </w:tc>
      </w:tr>
      <w:tr w14:paraId="51B5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5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C8648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专业护理人员配备不足，护理人员素质及护理能力有待提高</w:t>
            </w:r>
          </w:p>
        </w:tc>
      </w:tr>
      <w:tr w14:paraId="01AF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89CEA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加大专项资金投入，提高护理人员待遇及素质，提升护理水平。根据财政资金的实际情况及护理人员经费的缺口情况，逐步、适当增加特困人员护理能力建设专项资金，合理利用财政专项资金，在为各地充实护理队伍提供资金保障的基础上，逐步提高护理人员的待遇水平，提升护理人员的社会地位，吸引更多有护理专业知识的青壮年人才到特困供养机构工作。</w:t>
            </w:r>
          </w:p>
        </w:tc>
      </w:tr>
      <w:tr w14:paraId="702B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2A3E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14B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175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AA973D8">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4C6334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026AD3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745ABC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10EBF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FF27B2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2712E7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A0859B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B0A98B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3FC0234">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EACA966">
            <w:pPr>
              <w:rPr>
                <w:rFonts w:hint="eastAsia" w:ascii="宋体" w:hAnsi="宋体" w:eastAsia="宋体" w:cs="宋体"/>
                <w:i w:val="0"/>
                <w:iCs w:val="0"/>
                <w:color w:val="000000"/>
                <w:sz w:val="18"/>
                <w:szCs w:val="18"/>
                <w:u w:val="none"/>
              </w:rPr>
            </w:pPr>
          </w:p>
        </w:tc>
      </w:tr>
      <w:tr w14:paraId="4400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0702F5D">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6A2402A">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661AB7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F1BD7A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9B0BA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973362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6EDBC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D3412E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560A4C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7350980">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1133E052">
            <w:pPr>
              <w:rPr>
                <w:rFonts w:hint="eastAsia" w:ascii="宋体" w:hAnsi="宋体" w:eastAsia="宋体" w:cs="宋体"/>
                <w:i w:val="0"/>
                <w:iCs w:val="0"/>
                <w:color w:val="000000"/>
                <w:sz w:val="18"/>
                <w:szCs w:val="18"/>
                <w:u w:val="none"/>
              </w:rPr>
            </w:pPr>
          </w:p>
        </w:tc>
      </w:tr>
      <w:tr w14:paraId="1527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26EB3C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BFDE49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489587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E0692B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F674B4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A54827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2D5B1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087B7E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3D73F3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F208236">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47244EBF">
            <w:pPr>
              <w:rPr>
                <w:rFonts w:hint="eastAsia" w:ascii="宋体" w:hAnsi="宋体" w:eastAsia="宋体" w:cs="宋体"/>
                <w:i w:val="0"/>
                <w:iCs w:val="0"/>
                <w:color w:val="000000"/>
                <w:sz w:val="18"/>
                <w:szCs w:val="18"/>
                <w:u w:val="none"/>
              </w:rPr>
            </w:pPr>
          </w:p>
        </w:tc>
      </w:tr>
      <w:tr w14:paraId="2BBB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160D1A8">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43C17A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33D772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97BC8C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2427EB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8AAAA6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36D4EF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2DB530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033FA1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D53FF81">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68550AD">
            <w:pPr>
              <w:rPr>
                <w:rFonts w:hint="eastAsia" w:ascii="宋体" w:hAnsi="宋体" w:eastAsia="宋体" w:cs="宋体"/>
                <w:i w:val="0"/>
                <w:iCs w:val="0"/>
                <w:color w:val="000000"/>
                <w:sz w:val="18"/>
                <w:szCs w:val="18"/>
                <w:u w:val="none"/>
              </w:rPr>
            </w:pPr>
          </w:p>
        </w:tc>
      </w:tr>
      <w:tr w14:paraId="40FA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2172C78">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5A79C3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5293FE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B56826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3E183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98F315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27B97D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B3EDAF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D246A7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341688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5821B484">
            <w:pPr>
              <w:rPr>
                <w:rFonts w:hint="eastAsia" w:ascii="宋体" w:hAnsi="宋体" w:eastAsia="宋体" w:cs="宋体"/>
                <w:i w:val="0"/>
                <w:iCs w:val="0"/>
                <w:color w:val="000000"/>
                <w:sz w:val="18"/>
                <w:szCs w:val="18"/>
                <w:u w:val="none"/>
              </w:rPr>
            </w:pPr>
          </w:p>
        </w:tc>
      </w:tr>
      <w:tr w14:paraId="22C5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0E7642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53448AE">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BEA6C1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A2FD64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620AC2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EE35CE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5235CB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273CC5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E68529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E8C9A14">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19483849">
            <w:pPr>
              <w:rPr>
                <w:rFonts w:hint="eastAsia" w:ascii="宋体" w:hAnsi="宋体" w:eastAsia="宋体" w:cs="宋体"/>
                <w:i w:val="0"/>
                <w:iCs w:val="0"/>
                <w:color w:val="000000"/>
                <w:sz w:val="18"/>
                <w:szCs w:val="18"/>
                <w:u w:val="none"/>
              </w:rPr>
            </w:pPr>
          </w:p>
        </w:tc>
      </w:tr>
      <w:tr w14:paraId="1E50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4009DC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42BF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F22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41A5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51172523T000008459745-2023年城乡环境综合治理经费</w:t>
            </w:r>
          </w:p>
        </w:tc>
      </w:tr>
      <w:tr w14:paraId="2CB9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BB1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D34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3968D7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D5F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2155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E5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068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FEE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0EDD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9B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F8B0">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AAC6">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7AE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"做好城乡环境和污水处理专项治理工作，解决脏乱差问题，对厕所进行改造改建，确保辖区整洁卫生，达到清洁化，秩序化，制度化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3DA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"做好城乡环境和污水处理专项治理工作，解决脏乱差问题，对厕所进行改造改建，确保辖区整洁卫生，达到清洁化，秩序化，制度化</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738D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5794">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8F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652A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通过检查、调查揭示问题，分析原因，提出建议，相关政策全面落实，李馥街道整体环境环保、干净、整洁，项目运行保障效果好</w:t>
            </w:r>
          </w:p>
        </w:tc>
      </w:tr>
      <w:tr w14:paraId="3FF7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37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EB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D4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97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A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7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4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D5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C7A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A0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4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2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DD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2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6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7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2C463">
            <w:pPr>
              <w:rPr>
                <w:rFonts w:hint="eastAsia" w:ascii="黑体" w:hAnsi="黑体" w:eastAsia="黑体" w:cs="黑体"/>
                <w:i/>
                <w:iCs/>
                <w:color w:val="000000"/>
                <w:sz w:val="18"/>
                <w:szCs w:val="18"/>
                <w:u w:val="none"/>
              </w:rPr>
            </w:pPr>
          </w:p>
        </w:tc>
      </w:tr>
      <w:tr w14:paraId="5AA6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260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8A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65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3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7D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C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60BD">
            <w:pPr>
              <w:rPr>
                <w:rFonts w:hint="eastAsia" w:ascii="黑体" w:hAnsi="黑体" w:eastAsia="黑体" w:cs="黑体"/>
                <w:i/>
                <w:iCs/>
                <w:color w:val="000000"/>
                <w:sz w:val="18"/>
                <w:szCs w:val="18"/>
                <w:u w:val="none"/>
              </w:rPr>
            </w:pPr>
          </w:p>
        </w:tc>
      </w:tr>
      <w:tr w14:paraId="7E7D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DEB0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38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35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9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36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A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2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668FB">
            <w:pPr>
              <w:rPr>
                <w:rFonts w:hint="eastAsia" w:ascii="黑体" w:hAnsi="黑体" w:eastAsia="黑体" w:cs="黑体"/>
                <w:i/>
                <w:iCs/>
                <w:color w:val="000000"/>
                <w:sz w:val="18"/>
                <w:szCs w:val="18"/>
                <w:u w:val="none"/>
              </w:rPr>
            </w:pPr>
          </w:p>
        </w:tc>
      </w:tr>
      <w:tr w14:paraId="3805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22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C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A6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77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4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3C6D">
            <w:pPr>
              <w:rPr>
                <w:rFonts w:hint="eastAsia" w:ascii="黑体" w:hAnsi="黑体" w:eastAsia="黑体" w:cs="黑体"/>
                <w:i/>
                <w:iCs/>
                <w:color w:val="000000"/>
                <w:sz w:val="18"/>
                <w:szCs w:val="18"/>
                <w:u w:val="none"/>
              </w:rPr>
            </w:pPr>
          </w:p>
        </w:tc>
      </w:tr>
      <w:tr w14:paraId="3775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92F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21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73D4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6E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028B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6C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2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4609">
            <w:pPr>
              <w:rPr>
                <w:rFonts w:hint="eastAsia" w:ascii="黑体" w:hAnsi="黑体" w:eastAsia="黑体" w:cs="黑体"/>
                <w:i/>
                <w:iCs/>
                <w:color w:val="000000"/>
                <w:sz w:val="18"/>
                <w:szCs w:val="18"/>
                <w:u w:val="none"/>
              </w:rPr>
            </w:pPr>
          </w:p>
        </w:tc>
      </w:tr>
      <w:tr w14:paraId="1C0E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44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D1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07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4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A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1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BE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F8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C1BE">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9D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99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D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聘请保洁员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8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7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0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737FE">
            <w:pPr>
              <w:jc w:val="center"/>
              <w:rPr>
                <w:rFonts w:hint="eastAsia" w:ascii="微软雅黑" w:hAnsi="微软雅黑" w:eastAsia="微软雅黑" w:cs="微软雅黑"/>
                <w:i/>
                <w:iCs/>
                <w:color w:val="000000"/>
                <w:sz w:val="16"/>
                <w:szCs w:val="16"/>
                <w:u w:val="none"/>
              </w:rPr>
            </w:pPr>
          </w:p>
        </w:tc>
      </w:tr>
      <w:tr w14:paraId="55A2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661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9265">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0540A">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垃圾清运次数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D38A">
            <w:pPr>
              <w:jc w:val="center"/>
              <w:rPr>
                <w:rFonts w:hint="eastAsia" w:ascii="微软雅黑" w:hAnsi="微软雅黑" w:eastAsia="微软雅黑" w:cs="微软雅黑"/>
                <w:i/>
                <w:iCs/>
                <w:color w:val="000000"/>
                <w:sz w:val="16"/>
                <w:szCs w:val="16"/>
                <w:u w:val="none"/>
              </w:rPr>
            </w:pPr>
          </w:p>
        </w:tc>
      </w:tr>
      <w:tr w14:paraId="268D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3E65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E6E3">
            <w:pPr>
              <w:jc w:val="center"/>
              <w:rPr>
                <w:rFonts w:hint="eastAsia" w:ascii="宋体" w:hAnsi="宋体" w:eastAsia="宋体" w:cs="宋体"/>
                <w:i w:val="0"/>
                <w:iCs w:val="0"/>
                <w:color w:val="000000"/>
                <w:sz w:val="18"/>
                <w:szCs w:val="18"/>
                <w:u w:val="none"/>
              </w:rPr>
            </w:pP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3F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D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5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E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1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2187">
            <w:pPr>
              <w:jc w:val="center"/>
              <w:rPr>
                <w:rFonts w:hint="eastAsia" w:ascii="微软雅黑" w:hAnsi="微软雅黑" w:eastAsia="微软雅黑" w:cs="微软雅黑"/>
                <w:i/>
                <w:iCs/>
                <w:color w:val="000000"/>
                <w:sz w:val="16"/>
                <w:szCs w:val="16"/>
                <w:u w:val="none"/>
              </w:rPr>
            </w:pPr>
          </w:p>
        </w:tc>
      </w:tr>
      <w:tr w14:paraId="7605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310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45BD">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CA2A">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B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5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CD330">
            <w:pPr>
              <w:jc w:val="center"/>
              <w:rPr>
                <w:rFonts w:hint="eastAsia" w:ascii="微软雅黑" w:hAnsi="微软雅黑" w:eastAsia="微软雅黑" w:cs="微软雅黑"/>
                <w:i/>
                <w:iCs/>
                <w:color w:val="000000"/>
                <w:sz w:val="16"/>
                <w:szCs w:val="16"/>
                <w:u w:val="none"/>
              </w:rPr>
            </w:pPr>
          </w:p>
        </w:tc>
      </w:tr>
      <w:tr w14:paraId="5777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50DE">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83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65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3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改善人居环境,生产环境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0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4A5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2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336A">
            <w:pPr>
              <w:jc w:val="center"/>
              <w:rPr>
                <w:rFonts w:hint="eastAsia" w:ascii="微软雅黑" w:hAnsi="微软雅黑" w:eastAsia="微软雅黑" w:cs="微软雅黑"/>
                <w:i/>
                <w:iCs/>
                <w:color w:val="000000"/>
                <w:sz w:val="16"/>
                <w:szCs w:val="16"/>
                <w:u w:val="none"/>
              </w:rPr>
            </w:pPr>
          </w:p>
        </w:tc>
      </w:tr>
      <w:tr w14:paraId="6367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81BE">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E73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6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F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群众环保意识提高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1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E21">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C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1AA27">
            <w:pPr>
              <w:jc w:val="center"/>
              <w:rPr>
                <w:rFonts w:hint="eastAsia" w:ascii="微软雅黑" w:hAnsi="微软雅黑" w:eastAsia="微软雅黑" w:cs="微软雅黑"/>
                <w:i/>
                <w:iCs/>
                <w:color w:val="000000"/>
                <w:sz w:val="16"/>
                <w:szCs w:val="16"/>
                <w:u w:val="none"/>
              </w:rPr>
            </w:pPr>
          </w:p>
        </w:tc>
      </w:tr>
      <w:tr w14:paraId="5C58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4F9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01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92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6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B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A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8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F489B">
            <w:pPr>
              <w:jc w:val="center"/>
              <w:rPr>
                <w:rFonts w:hint="eastAsia" w:ascii="微软雅黑" w:hAnsi="微软雅黑" w:eastAsia="微软雅黑" w:cs="微软雅黑"/>
                <w:i/>
                <w:iCs/>
                <w:color w:val="000000"/>
                <w:sz w:val="16"/>
                <w:szCs w:val="16"/>
                <w:u w:val="none"/>
              </w:rPr>
            </w:pPr>
          </w:p>
        </w:tc>
      </w:tr>
      <w:tr w14:paraId="62ED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8D6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B9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B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8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环境保护经费投入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8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5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9AB75">
            <w:pPr>
              <w:jc w:val="center"/>
              <w:rPr>
                <w:rFonts w:hint="eastAsia" w:ascii="微软雅黑" w:hAnsi="微软雅黑" w:eastAsia="微软雅黑" w:cs="微软雅黑"/>
                <w:i/>
                <w:iCs/>
                <w:color w:val="000000"/>
                <w:sz w:val="16"/>
                <w:szCs w:val="16"/>
                <w:u w:val="none"/>
              </w:rPr>
            </w:pPr>
          </w:p>
        </w:tc>
      </w:tr>
      <w:tr w14:paraId="31C6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F95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7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E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92993">
            <w:pPr>
              <w:rPr>
                <w:rFonts w:hint="eastAsia" w:ascii="宋体" w:hAnsi="宋体" w:eastAsia="宋体" w:cs="宋体"/>
                <w:i w:val="0"/>
                <w:iCs w:val="0"/>
                <w:color w:val="000000"/>
                <w:sz w:val="18"/>
                <w:szCs w:val="18"/>
                <w:u w:val="none"/>
              </w:rPr>
            </w:pPr>
          </w:p>
        </w:tc>
      </w:tr>
      <w:tr w14:paraId="0841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C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FC105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本项目得分98分，环境综合治理运行正常，保质保量按时完成了城镇环境综合治理任务，成本控制在30万元内。</w:t>
            </w:r>
          </w:p>
        </w:tc>
      </w:tr>
      <w:tr w14:paraId="63A6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4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17E35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环境综合治理工作还存在专职人员不足，个别地方法律法规宣传不够。</w:t>
            </w:r>
          </w:p>
        </w:tc>
      </w:tr>
      <w:tr w14:paraId="3664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4BC57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1、安排高素质的专职管理人员，提高城镇环境综合治理管理力度。</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2、进一步城镇环境综合治理相关政策的宣传力度，提高全民积极参与的主观能动性。</w:t>
            </w:r>
          </w:p>
        </w:tc>
      </w:tr>
      <w:tr w14:paraId="4FD3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A2FA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B949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245E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F47DC3D">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E84AC6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ED32CB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9198A9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085158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B27F4F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28B547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EAC551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5836BB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798F72A">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08C2DBB0">
            <w:pPr>
              <w:rPr>
                <w:rFonts w:hint="eastAsia" w:ascii="宋体" w:hAnsi="宋体" w:eastAsia="宋体" w:cs="宋体"/>
                <w:i w:val="0"/>
                <w:iCs w:val="0"/>
                <w:color w:val="000000"/>
                <w:sz w:val="18"/>
                <w:szCs w:val="18"/>
                <w:u w:val="none"/>
              </w:rPr>
            </w:pPr>
          </w:p>
        </w:tc>
      </w:tr>
      <w:tr w14:paraId="572A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ABDAC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32C8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73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C2F1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51172523T000008461085-2023年住读工作经费</w:t>
            </w:r>
          </w:p>
        </w:tc>
      </w:tr>
      <w:tr w14:paraId="6F7B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21A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713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4BB12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22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0EF29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582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461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7E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D84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EA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6E23">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58CAF">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EF24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1保证乡镇住读.扶贫攻坚工作正常开展，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2提高住读待遇，按时按质完成各项扶贫工作任务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30D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1保证乡镇住读.扶贫攻坚工作正常开展，</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2提高住读待遇，按时按质完成各项扶贫工作任务</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7AF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E9FE">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4C1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261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乡镇住读、扶贫攻坚经费项目资金实际支出30万元，占计划30万元的100％，住读、扶贫攻坚工作正常运行，实现了全员住读、按时完成了乡村振兴进度。</w:t>
            </w:r>
          </w:p>
        </w:tc>
      </w:tr>
      <w:tr w14:paraId="0CE6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FB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B5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C7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E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5B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32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5B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37C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E6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25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78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3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45496">
            <w:pPr>
              <w:rPr>
                <w:rFonts w:hint="eastAsia" w:ascii="黑体" w:hAnsi="黑体" w:eastAsia="黑体" w:cs="黑体"/>
                <w:i/>
                <w:iCs/>
                <w:color w:val="000000"/>
                <w:sz w:val="18"/>
                <w:szCs w:val="18"/>
                <w:u w:val="none"/>
              </w:rPr>
            </w:pPr>
          </w:p>
        </w:tc>
      </w:tr>
      <w:tr w14:paraId="10F7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990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AC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A0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9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6B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D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5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30826">
            <w:pPr>
              <w:rPr>
                <w:rFonts w:hint="eastAsia" w:ascii="黑体" w:hAnsi="黑体" w:eastAsia="黑体" w:cs="黑体"/>
                <w:i/>
                <w:iCs/>
                <w:color w:val="000000"/>
                <w:sz w:val="18"/>
                <w:szCs w:val="18"/>
                <w:u w:val="none"/>
              </w:rPr>
            </w:pPr>
          </w:p>
        </w:tc>
      </w:tr>
      <w:tr w14:paraId="662B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70EB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0E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55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E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1A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B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C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080D">
            <w:pPr>
              <w:rPr>
                <w:rFonts w:hint="eastAsia" w:ascii="黑体" w:hAnsi="黑体" w:eastAsia="黑体" w:cs="黑体"/>
                <w:i/>
                <w:iCs/>
                <w:color w:val="000000"/>
                <w:sz w:val="18"/>
                <w:szCs w:val="18"/>
                <w:u w:val="none"/>
              </w:rPr>
            </w:pPr>
          </w:p>
        </w:tc>
      </w:tr>
      <w:tr w14:paraId="6E56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79D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B3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F2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4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8F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9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7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F0D2">
            <w:pPr>
              <w:rPr>
                <w:rFonts w:hint="eastAsia" w:ascii="黑体" w:hAnsi="黑体" w:eastAsia="黑体" w:cs="黑体"/>
                <w:i/>
                <w:iCs/>
                <w:color w:val="000000"/>
                <w:sz w:val="18"/>
                <w:szCs w:val="18"/>
                <w:u w:val="none"/>
              </w:rPr>
            </w:pPr>
          </w:p>
        </w:tc>
      </w:tr>
      <w:tr w14:paraId="3B4B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D53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1A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9F2F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EA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2DA6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025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7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D6A8">
            <w:pPr>
              <w:rPr>
                <w:rFonts w:hint="eastAsia" w:ascii="黑体" w:hAnsi="黑体" w:eastAsia="黑体" w:cs="黑体"/>
                <w:i/>
                <w:iCs/>
                <w:color w:val="000000"/>
                <w:sz w:val="18"/>
                <w:szCs w:val="18"/>
                <w:u w:val="none"/>
              </w:rPr>
            </w:pPr>
          </w:p>
        </w:tc>
      </w:tr>
      <w:tr w14:paraId="5189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B9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9C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46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E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D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E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2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B7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B7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39A6">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56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8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住读人数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B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9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00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B77B">
            <w:pPr>
              <w:jc w:val="center"/>
              <w:rPr>
                <w:rFonts w:hint="eastAsia" w:ascii="微软雅黑" w:hAnsi="微软雅黑" w:eastAsia="微软雅黑" w:cs="微软雅黑"/>
                <w:i/>
                <w:iCs/>
                <w:color w:val="000000"/>
                <w:sz w:val="16"/>
                <w:szCs w:val="16"/>
                <w:u w:val="none"/>
              </w:rPr>
            </w:pPr>
          </w:p>
        </w:tc>
      </w:tr>
      <w:tr w14:paraId="1085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B38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3A0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BD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C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乡村振兴对象覆盖率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6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D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B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A3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4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E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9DC1B">
            <w:pPr>
              <w:jc w:val="center"/>
              <w:rPr>
                <w:rFonts w:hint="eastAsia" w:ascii="微软雅黑" w:hAnsi="微软雅黑" w:eastAsia="微软雅黑" w:cs="微软雅黑"/>
                <w:i/>
                <w:iCs/>
                <w:color w:val="000000"/>
                <w:sz w:val="16"/>
                <w:szCs w:val="16"/>
                <w:u w:val="none"/>
              </w:rPr>
            </w:pPr>
          </w:p>
        </w:tc>
      </w:tr>
      <w:tr w14:paraId="32B3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9D8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4FB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D7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1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乡村振兴工作完成时限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96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8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4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A652">
            <w:pPr>
              <w:jc w:val="center"/>
              <w:rPr>
                <w:rFonts w:hint="eastAsia" w:ascii="微软雅黑" w:hAnsi="微软雅黑" w:eastAsia="微软雅黑" w:cs="微软雅黑"/>
                <w:i/>
                <w:iCs/>
                <w:color w:val="000000"/>
                <w:sz w:val="16"/>
                <w:szCs w:val="16"/>
                <w:u w:val="none"/>
              </w:rPr>
            </w:pPr>
          </w:p>
        </w:tc>
      </w:tr>
      <w:tr w14:paraId="1E5F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772B4">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2F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A6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E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对乡村振兴工作的认可率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0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F52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C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9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11BEA">
            <w:pPr>
              <w:jc w:val="center"/>
              <w:rPr>
                <w:rFonts w:hint="eastAsia" w:ascii="微软雅黑" w:hAnsi="微软雅黑" w:eastAsia="微软雅黑" w:cs="微软雅黑"/>
                <w:i/>
                <w:iCs/>
                <w:color w:val="000000"/>
                <w:sz w:val="16"/>
                <w:szCs w:val="16"/>
                <w:u w:val="none"/>
              </w:rPr>
            </w:pPr>
          </w:p>
        </w:tc>
      </w:tr>
      <w:tr w14:paraId="0086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0B2E">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06BA">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B162B">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对住读工作认可率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B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B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B1D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7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54335">
            <w:pPr>
              <w:jc w:val="center"/>
              <w:rPr>
                <w:rFonts w:hint="eastAsia" w:ascii="微软雅黑" w:hAnsi="微软雅黑" w:eastAsia="微软雅黑" w:cs="微软雅黑"/>
                <w:i/>
                <w:iCs/>
                <w:color w:val="000000"/>
                <w:sz w:val="16"/>
                <w:szCs w:val="16"/>
                <w:u w:val="none"/>
              </w:rPr>
            </w:pPr>
          </w:p>
        </w:tc>
      </w:tr>
      <w:tr w14:paraId="19BE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A06D">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AD8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A5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提升乡村振兴影响率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5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认可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43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9B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认可</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1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7D7AF">
            <w:pPr>
              <w:jc w:val="center"/>
              <w:rPr>
                <w:rFonts w:hint="eastAsia" w:ascii="微软雅黑" w:hAnsi="微软雅黑" w:eastAsia="微软雅黑" w:cs="微软雅黑"/>
                <w:i/>
                <w:iCs/>
                <w:color w:val="000000"/>
                <w:sz w:val="16"/>
                <w:szCs w:val="16"/>
                <w:u w:val="none"/>
              </w:rPr>
            </w:pPr>
          </w:p>
        </w:tc>
      </w:tr>
      <w:tr w14:paraId="0B2C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8C6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8B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75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8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5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B11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0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FF8D">
            <w:pPr>
              <w:jc w:val="center"/>
              <w:rPr>
                <w:rFonts w:hint="eastAsia" w:ascii="微软雅黑" w:hAnsi="微软雅黑" w:eastAsia="微软雅黑" w:cs="微软雅黑"/>
                <w:i/>
                <w:iCs/>
                <w:color w:val="000000"/>
                <w:sz w:val="16"/>
                <w:szCs w:val="16"/>
                <w:u w:val="none"/>
              </w:rPr>
            </w:pPr>
          </w:p>
        </w:tc>
      </w:tr>
      <w:tr w14:paraId="3FF8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4E6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BC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C0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6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4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99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5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99F36">
            <w:pPr>
              <w:jc w:val="center"/>
              <w:rPr>
                <w:rFonts w:hint="eastAsia" w:ascii="微软雅黑" w:hAnsi="微软雅黑" w:eastAsia="微软雅黑" w:cs="微软雅黑"/>
                <w:i/>
                <w:iCs/>
                <w:color w:val="000000"/>
                <w:sz w:val="16"/>
                <w:szCs w:val="16"/>
                <w:u w:val="none"/>
              </w:rPr>
            </w:pPr>
          </w:p>
        </w:tc>
      </w:tr>
      <w:tr w14:paraId="1A14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27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77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6E343">
            <w:pPr>
              <w:rPr>
                <w:rFonts w:hint="eastAsia" w:ascii="宋体" w:hAnsi="宋体" w:eastAsia="宋体" w:cs="宋体"/>
                <w:i w:val="0"/>
                <w:iCs w:val="0"/>
                <w:color w:val="000000"/>
                <w:sz w:val="18"/>
                <w:szCs w:val="18"/>
                <w:u w:val="none"/>
              </w:rPr>
            </w:pPr>
          </w:p>
        </w:tc>
      </w:tr>
      <w:tr w14:paraId="41F9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E3A28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本项目得分98分，住读、扶贫攻坚工作正常运行，实现了全员住读、按时完成了扶贫攻坚进度。项目资金控制在30万元内。</w:t>
            </w:r>
          </w:p>
        </w:tc>
      </w:tr>
      <w:tr w14:paraId="368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8605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住读扶贫攻坚工作个别帮扶人到岗到位不理想、履职能力不够高</w:t>
            </w:r>
          </w:p>
        </w:tc>
      </w:tr>
      <w:tr w14:paraId="44B4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53AFE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1、加强干部政治思想学习，培训扶贫攻坚帮扶人业务技能，提高帮扶人的主观能动性及扶贫攻坚履职能力，</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2、进一步提高扶贫攻坚工作质量，</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3，全面动员全体党员干部投身扶贫攻坚工作，进一步深入群众，全面调查，把民生民意代给党委、政府。</w:t>
            </w:r>
          </w:p>
        </w:tc>
      </w:tr>
      <w:tr w14:paraId="6B21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CFB0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9476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3416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CD94AE7">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43AE568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1902C6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1DD45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46820D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D9FF71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F03D56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C35D5E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E71D3B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34D2D5E">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09B2536">
            <w:pPr>
              <w:rPr>
                <w:rFonts w:hint="eastAsia" w:ascii="宋体" w:hAnsi="宋体" w:eastAsia="宋体" w:cs="宋体"/>
                <w:i w:val="0"/>
                <w:iCs w:val="0"/>
                <w:color w:val="000000"/>
                <w:sz w:val="18"/>
                <w:szCs w:val="18"/>
                <w:u w:val="none"/>
              </w:rPr>
            </w:pPr>
          </w:p>
        </w:tc>
      </w:tr>
      <w:tr w14:paraId="0FC0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25BDBC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7D5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64F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CCA7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51172523T000008461138-2023年乡镇(街道办)党建工作经费</w:t>
            </w:r>
          </w:p>
        </w:tc>
      </w:tr>
      <w:tr w14:paraId="0B28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097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8CA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6741EA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646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763F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B5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8F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40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427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CCD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DF87">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E2EF">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41F0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"确保党建工作开展，确保经费投入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B04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"确保党建工作开展，确保经费投入</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13E7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72AC">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496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1A1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开展党的常规工作和专题活动。用于组织“三会一课”，开展主题党日，乡镇党建工作经费项目资金实际支出3万元，占计划3万元的100％。</w:t>
            </w:r>
          </w:p>
        </w:tc>
      </w:tr>
      <w:tr w14:paraId="1012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53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9D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D9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E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CB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6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E0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97A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B1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54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C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8F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C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74F8B">
            <w:pPr>
              <w:rPr>
                <w:rFonts w:hint="eastAsia" w:ascii="黑体" w:hAnsi="黑体" w:eastAsia="黑体" w:cs="黑体"/>
                <w:i/>
                <w:iCs/>
                <w:color w:val="000000"/>
                <w:sz w:val="18"/>
                <w:szCs w:val="18"/>
                <w:u w:val="none"/>
              </w:rPr>
            </w:pPr>
          </w:p>
        </w:tc>
      </w:tr>
      <w:tr w14:paraId="12B0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EED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48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8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E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BE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1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7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DD39">
            <w:pPr>
              <w:rPr>
                <w:rFonts w:hint="eastAsia" w:ascii="黑体" w:hAnsi="黑体" w:eastAsia="黑体" w:cs="黑体"/>
                <w:i/>
                <w:iCs/>
                <w:color w:val="000000"/>
                <w:sz w:val="18"/>
                <w:szCs w:val="18"/>
                <w:u w:val="none"/>
              </w:rPr>
            </w:pPr>
          </w:p>
        </w:tc>
      </w:tr>
      <w:tr w14:paraId="0D95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6DA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73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AF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5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03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3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1DBD">
            <w:pPr>
              <w:rPr>
                <w:rFonts w:hint="eastAsia" w:ascii="黑体" w:hAnsi="黑体" w:eastAsia="黑体" w:cs="黑体"/>
                <w:i/>
                <w:iCs/>
                <w:color w:val="000000"/>
                <w:sz w:val="18"/>
                <w:szCs w:val="18"/>
                <w:u w:val="none"/>
              </w:rPr>
            </w:pPr>
          </w:p>
        </w:tc>
      </w:tr>
      <w:tr w14:paraId="3279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99B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0E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81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68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8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A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BD94A">
            <w:pPr>
              <w:rPr>
                <w:rFonts w:hint="eastAsia" w:ascii="黑体" w:hAnsi="黑体" w:eastAsia="黑体" w:cs="黑体"/>
                <w:i/>
                <w:iCs/>
                <w:color w:val="000000"/>
                <w:sz w:val="18"/>
                <w:szCs w:val="18"/>
                <w:u w:val="none"/>
              </w:rPr>
            </w:pPr>
          </w:p>
        </w:tc>
      </w:tr>
      <w:tr w14:paraId="3C74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189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AC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7EC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7D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1577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29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0A8C">
            <w:pPr>
              <w:rPr>
                <w:rFonts w:hint="eastAsia" w:ascii="黑体" w:hAnsi="黑体" w:eastAsia="黑体" w:cs="黑体"/>
                <w:i/>
                <w:iCs/>
                <w:color w:val="000000"/>
                <w:sz w:val="18"/>
                <w:szCs w:val="18"/>
                <w:u w:val="none"/>
              </w:rPr>
            </w:pPr>
          </w:p>
        </w:tc>
      </w:tr>
      <w:tr w14:paraId="41E8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84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D8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A0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0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B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D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3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4A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16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79F5">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96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ED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A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开展上党课，党员教育活动次数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E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F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CA8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3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7816">
            <w:pPr>
              <w:jc w:val="center"/>
              <w:rPr>
                <w:rFonts w:hint="eastAsia" w:ascii="微软雅黑" w:hAnsi="微软雅黑" w:eastAsia="微软雅黑" w:cs="微软雅黑"/>
                <w:i/>
                <w:iCs/>
                <w:color w:val="000000"/>
                <w:sz w:val="16"/>
                <w:szCs w:val="16"/>
                <w:u w:val="none"/>
              </w:rPr>
            </w:pPr>
          </w:p>
        </w:tc>
      </w:tr>
      <w:tr w14:paraId="3AB6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DD9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503B">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4272">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1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开展党员大学习，大讨论活动次数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D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7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962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4674D">
            <w:pPr>
              <w:jc w:val="center"/>
              <w:rPr>
                <w:rFonts w:hint="eastAsia" w:ascii="微软雅黑" w:hAnsi="微软雅黑" w:eastAsia="微软雅黑" w:cs="微软雅黑"/>
                <w:i/>
                <w:iCs/>
                <w:color w:val="000000"/>
                <w:sz w:val="16"/>
                <w:szCs w:val="16"/>
                <w:u w:val="none"/>
              </w:rPr>
            </w:pPr>
          </w:p>
        </w:tc>
      </w:tr>
      <w:tr w14:paraId="6FC0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2ED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1F8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98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B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党员干部政治思想合格率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C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B7B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6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7D18">
            <w:pPr>
              <w:jc w:val="center"/>
              <w:rPr>
                <w:rFonts w:hint="eastAsia" w:ascii="微软雅黑" w:hAnsi="微软雅黑" w:eastAsia="微软雅黑" w:cs="微软雅黑"/>
                <w:i/>
                <w:iCs/>
                <w:color w:val="000000"/>
                <w:sz w:val="16"/>
                <w:szCs w:val="16"/>
                <w:u w:val="none"/>
              </w:rPr>
            </w:pPr>
          </w:p>
        </w:tc>
      </w:tr>
      <w:tr w14:paraId="597F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F507">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04C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B7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活动开展完成时限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7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7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F49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C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E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FF4D6">
            <w:pPr>
              <w:jc w:val="center"/>
              <w:rPr>
                <w:rFonts w:hint="eastAsia" w:ascii="微软雅黑" w:hAnsi="微软雅黑" w:eastAsia="微软雅黑" w:cs="微软雅黑"/>
                <w:i/>
                <w:iCs/>
                <w:color w:val="000000"/>
                <w:sz w:val="16"/>
                <w:szCs w:val="16"/>
                <w:u w:val="none"/>
              </w:rPr>
            </w:pPr>
          </w:p>
        </w:tc>
      </w:tr>
      <w:tr w14:paraId="46AA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B1ED">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82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DD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6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发展党组织战斗堡垒作用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F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D3F1">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8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2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3D8BF">
            <w:pPr>
              <w:jc w:val="center"/>
              <w:rPr>
                <w:rFonts w:hint="eastAsia" w:ascii="微软雅黑" w:hAnsi="微软雅黑" w:eastAsia="微软雅黑" w:cs="微软雅黑"/>
                <w:i/>
                <w:iCs/>
                <w:color w:val="000000"/>
                <w:sz w:val="16"/>
                <w:szCs w:val="16"/>
                <w:u w:val="none"/>
              </w:rPr>
            </w:pPr>
          </w:p>
        </w:tc>
      </w:tr>
      <w:tr w14:paraId="038D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153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B4C6">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7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党员干部受益率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2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A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1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C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1BC3E">
            <w:pPr>
              <w:jc w:val="center"/>
              <w:rPr>
                <w:rFonts w:hint="eastAsia" w:ascii="微软雅黑" w:hAnsi="微软雅黑" w:eastAsia="微软雅黑" w:cs="微软雅黑"/>
                <w:i/>
                <w:iCs/>
                <w:color w:val="000000"/>
                <w:sz w:val="16"/>
                <w:szCs w:val="16"/>
                <w:u w:val="none"/>
              </w:rPr>
            </w:pPr>
          </w:p>
        </w:tc>
      </w:tr>
      <w:tr w14:paraId="6479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D89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3A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78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参会人员满意度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C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605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B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9AFEC">
            <w:pPr>
              <w:jc w:val="center"/>
              <w:rPr>
                <w:rFonts w:hint="eastAsia" w:ascii="微软雅黑" w:hAnsi="微软雅黑" w:eastAsia="微软雅黑" w:cs="微软雅黑"/>
                <w:i/>
                <w:iCs/>
                <w:color w:val="000000"/>
                <w:sz w:val="16"/>
                <w:szCs w:val="16"/>
                <w:u w:val="none"/>
              </w:rPr>
            </w:pPr>
          </w:p>
        </w:tc>
      </w:tr>
      <w:tr w14:paraId="4D6D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059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32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D7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7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6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454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E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134F9">
            <w:pPr>
              <w:jc w:val="center"/>
              <w:rPr>
                <w:rFonts w:hint="eastAsia" w:ascii="微软雅黑" w:hAnsi="微软雅黑" w:eastAsia="微软雅黑" w:cs="微软雅黑"/>
                <w:i/>
                <w:iCs/>
                <w:color w:val="000000"/>
                <w:sz w:val="16"/>
                <w:szCs w:val="16"/>
                <w:u w:val="none"/>
              </w:rPr>
            </w:pPr>
          </w:p>
        </w:tc>
      </w:tr>
      <w:tr w14:paraId="6A80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067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C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1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090C1">
            <w:pPr>
              <w:rPr>
                <w:rFonts w:hint="eastAsia" w:ascii="宋体" w:hAnsi="宋体" w:eastAsia="宋体" w:cs="宋体"/>
                <w:i w:val="0"/>
                <w:iCs w:val="0"/>
                <w:color w:val="000000"/>
                <w:sz w:val="18"/>
                <w:szCs w:val="18"/>
                <w:u w:val="none"/>
              </w:rPr>
            </w:pPr>
          </w:p>
        </w:tc>
      </w:tr>
      <w:tr w14:paraId="1248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4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7D93F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本项目得分98分，通过开展上党课、党员教育、党员大学习、大讨论活动，全体党员思想觉悟得到了一定提高，党建工作经费项目资金实际支出3万元，占计划3万元的100％。</w:t>
            </w:r>
          </w:p>
        </w:tc>
      </w:tr>
      <w:tr w14:paraId="7DBB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7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D55C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党建工作还存在农村党员党性不足，个别党员干部模范带头作用差，深入开展大学习大讨论活动还不全面，党员干部违纪违规现象在一些地方和领域时有发现。</w:t>
            </w:r>
          </w:p>
        </w:tc>
      </w:tr>
      <w:tr w14:paraId="331A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0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95CAE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1、进一步加强农村党员党性教育，提高他们的模范带头作用，</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2、进一步开展大学习大讨论活动，改造党员干部为人民服务的世界观，</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3，全面深入开展党群、干群一家亲活动，密切党群、干群关系，进一步提高社会和群众的满意度。</w:t>
            </w:r>
          </w:p>
        </w:tc>
      </w:tr>
      <w:tr w14:paraId="469D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AE8D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FCD2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7014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8DD5B2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34C05E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3CE64E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32F79E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73FB9C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754CB70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683BA8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6B46D3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B297A0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C1B8F6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7B800081">
            <w:pPr>
              <w:rPr>
                <w:rFonts w:hint="eastAsia" w:ascii="宋体" w:hAnsi="宋体" w:eastAsia="宋体" w:cs="宋体"/>
                <w:i w:val="0"/>
                <w:iCs w:val="0"/>
                <w:color w:val="000000"/>
                <w:sz w:val="18"/>
                <w:szCs w:val="18"/>
                <w:u w:val="none"/>
              </w:rPr>
            </w:pPr>
          </w:p>
        </w:tc>
      </w:tr>
      <w:tr w14:paraId="09AC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464DB9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2951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6E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7505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51172523T000008461198-2023年乡镇两代会经费</w:t>
            </w:r>
          </w:p>
        </w:tc>
      </w:tr>
      <w:tr w14:paraId="4DEB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43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E582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0DC08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07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0163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992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546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8C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83169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01E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176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25F5">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EC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1确保</w:t>
            </w:r>
            <w:r>
              <w:rPr>
                <w:rFonts w:hint="eastAsia" w:ascii="宋体" w:hAnsi="宋体" w:eastAsia="宋体" w:cs="宋体"/>
                <w:i w:val="0"/>
                <w:iCs w:val="0"/>
                <w:color w:val="000000"/>
                <w:kern w:val="0"/>
                <w:sz w:val="18"/>
                <w:szCs w:val="18"/>
                <w:u w:val="none"/>
                <w:lang w:val="en-US" w:eastAsia="zh-CN" w:bidi="ar"/>
              </w:rPr>
              <w:t>党代会和人代会</w:t>
            </w:r>
            <w:r>
              <w:rPr>
                <w:rFonts w:ascii="宋体" w:hAnsi="宋体" w:eastAsia="宋体" w:cs="宋体"/>
                <w:i w:val="0"/>
                <w:iCs w:val="0"/>
                <w:color w:val="000000"/>
                <w:kern w:val="0"/>
                <w:sz w:val="18"/>
                <w:szCs w:val="18"/>
                <w:u w:val="none"/>
                <w:lang w:val="en-US" w:eastAsia="zh-CN" w:bidi="ar"/>
              </w:rPr>
              <w:t>工作开展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2确保</w:t>
            </w:r>
            <w:r>
              <w:rPr>
                <w:rFonts w:hint="eastAsia" w:ascii="宋体" w:hAnsi="宋体" w:eastAsia="宋体" w:cs="宋体"/>
                <w:i w:val="0"/>
                <w:iCs w:val="0"/>
                <w:color w:val="000000"/>
                <w:kern w:val="0"/>
                <w:sz w:val="18"/>
                <w:szCs w:val="18"/>
                <w:u w:val="none"/>
                <w:lang w:val="en-US" w:eastAsia="zh-CN" w:bidi="ar"/>
              </w:rPr>
              <w:t>党代会和人代会</w:t>
            </w:r>
            <w:r>
              <w:rPr>
                <w:rFonts w:ascii="宋体" w:hAnsi="宋体" w:eastAsia="宋体" w:cs="宋体"/>
                <w:i w:val="0"/>
                <w:iCs w:val="0"/>
                <w:color w:val="000000"/>
                <w:kern w:val="0"/>
                <w:sz w:val="18"/>
                <w:szCs w:val="18"/>
                <w:u w:val="none"/>
                <w:lang w:val="en-US" w:eastAsia="zh-CN" w:bidi="ar"/>
              </w:rPr>
              <w:t>工作开展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3宣传党的方针政策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4EB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1确保党代会和人代会工作开展</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2确保党代会和人代会工作开展</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3宣传党的方针政策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1717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E84F">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684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A6F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确保党代会顺利召开，宣传会议资金得到保障</w:t>
            </w:r>
          </w:p>
        </w:tc>
      </w:tr>
      <w:tr w14:paraId="6105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EF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9D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55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6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80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4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5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07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82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4832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B4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96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15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8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4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E2EF1">
            <w:pPr>
              <w:rPr>
                <w:rFonts w:hint="eastAsia" w:ascii="黑体" w:hAnsi="黑体" w:eastAsia="黑体" w:cs="黑体"/>
                <w:i/>
                <w:iCs/>
                <w:color w:val="000000"/>
                <w:sz w:val="18"/>
                <w:szCs w:val="18"/>
                <w:u w:val="none"/>
              </w:rPr>
            </w:pPr>
          </w:p>
        </w:tc>
      </w:tr>
      <w:tr w14:paraId="77D8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5F9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C0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0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F6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B5B9">
            <w:pPr>
              <w:rPr>
                <w:rFonts w:hint="eastAsia" w:ascii="黑体" w:hAnsi="黑体" w:eastAsia="黑体" w:cs="黑体"/>
                <w:i/>
                <w:iCs/>
                <w:color w:val="000000"/>
                <w:sz w:val="18"/>
                <w:szCs w:val="18"/>
                <w:u w:val="none"/>
              </w:rPr>
            </w:pPr>
          </w:p>
        </w:tc>
      </w:tr>
      <w:tr w14:paraId="36D0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225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CB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F3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3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AE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1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3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8BB1">
            <w:pPr>
              <w:rPr>
                <w:rFonts w:hint="eastAsia" w:ascii="黑体" w:hAnsi="黑体" w:eastAsia="黑体" w:cs="黑体"/>
                <w:i/>
                <w:iCs/>
                <w:color w:val="000000"/>
                <w:sz w:val="18"/>
                <w:szCs w:val="18"/>
                <w:u w:val="none"/>
              </w:rPr>
            </w:pPr>
          </w:p>
        </w:tc>
      </w:tr>
      <w:tr w14:paraId="07DC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A5C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55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BC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A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9D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5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72E0">
            <w:pPr>
              <w:rPr>
                <w:rFonts w:hint="eastAsia" w:ascii="黑体" w:hAnsi="黑体" w:eastAsia="黑体" w:cs="黑体"/>
                <w:i/>
                <w:iCs/>
                <w:color w:val="000000"/>
                <w:sz w:val="18"/>
                <w:szCs w:val="18"/>
                <w:u w:val="none"/>
              </w:rPr>
            </w:pPr>
          </w:p>
        </w:tc>
      </w:tr>
      <w:tr w14:paraId="7B53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FC7C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57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3F1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44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1A01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32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5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F939">
            <w:pPr>
              <w:rPr>
                <w:rFonts w:hint="eastAsia" w:ascii="黑体" w:hAnsi="黑体" w:eastAsia="黑体" w:cs="黑体"/>
                <w:i/>
                <w:iCs/>
                <w:color w:val="000000"/>
                <w:sz w:val="18"/>
                <w:szCs w:val="18"/>
                <w:u w:val="none"/>
              </w:rPr>
            </w:pPr>
          </w:p>
        </w:tc>
      </w:tr>
      <w:tr w14:paraId="40A1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C2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9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5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8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E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8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79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32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ECF2">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76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A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参加两代会人数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B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F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6169D">
            <w:pPr>
              <w:jc w:val="center"/>
              <w:rPr>
                <w:rFonts w:hint="eastAsia" w:ascii="微软雅黑" w:hAnsi="微软雅黑" w:eastAsia="微软雅黑" w:cs="微软雅黑"/>
                <w:i/>
                <w:iCs/>
                <w:color w:val="000000"/>
                <w:sz w:val="16"/>
                <w:szCs w:val="16"/>
                <w:u w:val="none"/>
              </w:rPr>
            </w:pPr>
          </w:p>
        </w:tc>
      </w:tr>
      <w:tr w14:paraId="0BA3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14B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CAA1">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96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3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两代会代表到位率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7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0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07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0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BB041">
            <w:pPr>
              <w:jc w:val="center"/>
              <w:rPr>
                <w:rFonts w:hint="eastAsia" w:ascii="微软雅黑" w:hAnsi="微软雅黑" w:eastAsia="微软雅黑" w:cs="微软雅黑"/>
                <w:i/>
                <w:iCs/>
                <w:color w:val="000000"/>
                <w:sz w:val="16"/>
                <w:szCs w:val="16"/>
                <w:u w:val="none"/>
              </w:rPr>
            </w:pPr>
          </w:p>
        </w:tc>
      </w:tr>
      <w:tr w14:paraId="48E2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669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471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34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会议补助金额发放率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5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1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2DE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31FB0">
            <w:pPr>
              <w:jc w:val="center"/>
              <w:rPr>
                <w:rFonts w:hint="eastAsia" w:ascii="微软雅黑" w:hAnsi="微软雅黑" w:eastAsia="微软雅黑" w:cs="微软雅黑"/>
                <w:i/>
                <w:iCs/>
                <w:color w:val="000000"/>
                <w:sz w:val="16"/>
                <w:szCs w:val="16"/>
                <w:u w:val="none"/>
              </w:rPr>
            </w:pPr>
          </w:p>
        </w:tc>
      </w:tr>
      <w:tr w14:paraId="6A9B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4DC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60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C6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群众对党的方针政策知晓率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1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C0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C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E794A">
            <w:pPr>
              <w:jc w:val="center"/>
              <w:rPr>
                <w:rFonts w:hint="eastAsia" w:ascii="微软雅黑" w:hAnsi="微软雅黑" w:eastAsia="微软雅黑" w:cs="微软雅黑"/>
                <w:i/>
                <w:iCs/>
                <w:color w:val="000000"/>
                <w:sz w:val="16"/>
                <w:szCs w:val="16"/>
                <w:u w:val="none"/>
              </w:rPr>
            </w:pPr>
          </w:p>
        </w:tc>
      </w:tr>
      <w:tr w14:paraId="555C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99C8">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20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E7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2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参会人员满意度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4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F1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6C17C">
            <w:pPr>
              <w:jc w:val="center"/>
              <w:rPr>
                <w:rFonts w:hint="eastAsia" w:ascii="微软雅黑" w:hAnsi="微软雅黑" w:eastAsia="微软雅黑" w:cs="微软雅黑"/>
                <w:i/>
                <w:iCs/>
                <w:color w:val="000000"/>
                <w:sz w:val="16"/>
                <w:szCs w:val="16"/>
                <w:u w:val="none"/>
              </w:rPr>
            </w:pPr>
          </w:p>
        </w:tc>
      </w:tr>
      <w:tr w14:paraId="6255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EB1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4A2">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A8F3">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5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上级政府满意度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9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C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E7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7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38DB">
            <w:pPr>
              <w:jc w:val="center"/>
              <w:rPr>
                <w:rFonts w:hint="eastAsia" w:ascii="微软雅黑" w:hAnsi="微软雅黑" w:eastAsia="微软雅黑" w:cs="微软雅黑"/>
                <w:i/>
                <w:iCs/>
                <w:color w:val="000000"/>
                <w:sz w:val="16"/>
                <w:szCs w:val="16"/>
                <w:u w:val="none"/>
              </w:rPr>
            </w:pPr>
          </w:p>
        </w:tc>
      </w:tr>
      <w:tr w14:paraId="0B1D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A3D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96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5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0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两代会补助经费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E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1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B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5D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102400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E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02A7B">
            <w:pPr>
              <w:jc w:val="center"/>
              <w:rPr>
                <w:rFonts w:hint="eastAsia" w:ascii="微软雅黑" w:hAnsi="微软雅黑" w:eastAsia="微软雅黑" w:cs="微软雅黑"/>
                <w:i/>
                <w:iCs/>
                <w:color w:val="000000"/>
                <w:sz w:val="16"/>
                <w:szCs w:val="16"/>
                <w:u w:val="none"/>
              </w:rPr>
            </w:pPr>
          </w:p>
        </w:tc>
      </w:tr>
      <w:tr w14:paraId="32CF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857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D77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6FFB4">
            <w:pPr>
              <w:rPr>
                <w:rFonts w:hint="eastAsia" w:ascii="宋体" w:hAnsi="宋体" w:eastAsia="宋体" w:cs="宋体"/>
                <w:i w:val="0"/>
                <w:iCs w:val="0"/>
                <w:color w:val="000000"/>
                <w:sz w:val="18"/>
                <w:szCs w:val="18"/>
                <w:u w:val="none"/>
              </w:rPr>
            </w:pPr>
          </w:p>
        </w:tc>
      </w:tr>
      <w:tr w14:paraId="2B8C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5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1BBB8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该项目得分98分，李馥镇2023年党代会和人代会顺利召开</w:t>
            </w:r>
          </w:p>
        </w:tc>
      </w:tr>
      <w:tr w14:paraId="281B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639C3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政策宣传力度不够</w:t>
            </w:r>
          </w:p>
        </w:tc>
      </w:tr>
      <w:tr w14:paraId="788C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0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A25A77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加大宣传力度</w:t>
            </w:r>
          </w:p>
        </w:tc>
      </w:tr>
      <w:tr w14:paraId="5C33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E3DE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9529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6A2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1413D77">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F36DD6C">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90AF3E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C769F6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BE63F5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D1C1BD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C69A4E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2D3A86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F4E7B6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7826056">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5ABAA979">
            <w:pPr>
              <w:rPr>
                <w:rFonts w:hint="eastAsia" w:ascii="宋体" w:hAnsi="宋体" w:eastAsia="宋体" w:cs="宋体"/>
                <w:i w:val="0"/>
                <w:iCs w:val="0"/>
                <w:color w:val="000000"/>
                <w:sz w:val="18"/>
                <w:szCs w:val="18"/>
                <w:u w:val="none"/>
              </w:rPr>
            </w:pPr>
          </w:p>
        </w:tc>
      </w:tr>
      <w:tr w14:paraId="3843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CD5D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13B2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6E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7711646">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EABB06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00E61E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BD927A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F51FD3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2A7D15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5FA35F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8DF4E4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866DA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DB0FEF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7D7B0463">
            <w:pPr>
              <w:rPr>
                <w:rFonts w:hint="eastAsia" w:ascii="宋体" w:hAnsi="宋体" w:eastAsia="宋体" w:cs="宋体"/>
                <w:i w:val="0"/>
                <w:iCs w:val="0"/>
                <w:color w:val="000000"/>
                <w:sz w:val="18"/>
                <w:szCs w:val="18"/>
                <w:u w:val="none"/>
              </w:rPr>
            </w:pPr>
          </w:p>
        </w:tc>
      </w:tr>
      <w:tr w14:paraId="3446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A4387F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5B77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FB27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82C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51172523T000008461296-2023年关工委工作经费</w:t>
            </w:r>
          </w:p>
        </w:tc>
      </w:tr>
      <w:tr w14:paraId="728E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0412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A51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C1C40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BE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0956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9B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DE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5BC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0D6B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4D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1448">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EECB">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E2DE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保障关工委工作正常运行，增强弱势群体幸福感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E89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保障关工委工作正常运行，增强弱势群体幸福感</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0A0B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E622">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4B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C5A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按乡镇关工委工作职责要求，保障了街道关工委工作正常运行，弱势群体安全、生活稳定，确保了天星街道社会安定、人民幸福，乡镇关工委工作经费项目资金实际支出4万元，占计划4万元的100％。</w:t>
            </w:r>
          </w:p>
        </w:tc>
      </w:tr>
      <w:tr w14:paraId="1FD7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A9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88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B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57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33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80C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39C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18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81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C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53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8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4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6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363C2">
            <w:pPr>
              <w:rPr>
                <w:rFonts w:hint="eastAsia" w:ascii="黑体" w:hAnsi="黑体" w:eastAsia="黑体" w:cs="黑体"/>
                <w:i/>
                <w:iCs/>
                <w:color w:val="000000"/>
                <w:sz w:val="18"/>
                <w:szCs w:val="18"/>
                <w:u w:val="none"/>
              </w:rPr>
            </w:pPr>
          </w:p>
        </w:tc>
      </w:tr>
      <w:tr w14:paraId="407A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27E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BF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5A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5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1A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7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CBAE">
            <w:pPr>
              <w:rPr>
                <w:rFonts w:hint="eastAsia" w:ascii="黑体" w:hAnsi="黑体" w:eastAsia="黑体" w:cs="黑体"/>
                <w:i/>
                <w:iCs/>
                <w:color w:val="000000"/>
                <w:sz w:val="18"/>
                <w:szCs w:val="18"/>
                <w:u w:val="none"/>
              </w:rPr>
            </w:pPr>
          </w:p>
        </w:tc>
      </w:tr>
      <w:tr w14:paraId="520B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F18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42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1A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E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09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E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B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9C26">
            <w:pPr>
              <w:rPr>
                <w:rFonts w:hint="eastAsia" w:ascii="黑体" w:hAnsi="黑体" w:eastAsia="黑体" w:cs="黑体"/>
                <w:i/>
                <w:iCs/>
                <w:color w:val="000000"/>
                <w:sz w:val="18"/>
                <w:szCs w:val="18"/>
                <w:u w:val="none"/>
              </w:rPr>
            </w:pPr>
          </w:p>
        </w:tc>
      </w:tr>
      <w:tr w14:paraId="6BCF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FCF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4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C5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A6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0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A64F">
            <w:pPr>
              <w:rPr>
                <w:rFonts w:hint="eastAsia" w:ascii="黑体" w:hAnsi="黑体" w:eastAsia="黑体" w:cs="黑体"/>
                <w:i/>
                <w:iCs/>
                <w:color w:val="000000"/>
                <w:sz w:val="18"/>
                <w:szCs w:val="18"/>
                <w:u w:val="none"/>
              </w:rPr>
            </w:pPr>
          </w:p>
        </w:tc>
      </w:tr>
      <w:tr w14:paraId="0F91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D61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41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A378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FD92">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66D3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C7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F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753F">
            <w:pPr>
              <w:rPr>
                <w:rFonts w:hint="eastAsia" w:ascii="黑体" w:hAnsi="黑体" w:eastAsia="黑体" w:cs="黑体"/>
                <w:i/>
                <w:iCs/>
                <w:color w:val="000000"/>
                <w:sz w:val="18"/>
                <w:szCs w:val="18"/>
                <w:u w:val="none"/>
              </w:rPr>
            </w:pPr>
          </w:p>
        </w:tc>
      </w:tr>
      <w:tr w14:paraId="68F8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B2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66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C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C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A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4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F4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CE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85D6">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55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E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开展送温暖献爱心活动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7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4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18E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0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7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744D">
            <w:pPr>
              <w:jc w:val="center"/>
              <w:rPr>
                <w:rFonts w:hint="eastAsia" w:ascii="微软雅黑" w:hAnsi="微软雅黑" w:eastAsia="微软雅黑" w:cs="微软雅黑"/>
                <w:i/>
                <w:iCs/>
                <w:color w:val="000000"/>
                <w:sz w:val="16"/>
                <w:szCs w:val="16"/>
                <w:u w:val="none"/>
              </w:rPr>
            </w:pPr>
          </w:p>
        </w:tc>
      </w:tr>
      <w:tr w14:paraId="6BCB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5EA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648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66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对象受益覆盖率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5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E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E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E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1ABAF">
            <w:pPr>
              <w:jc w:val="center"/>
              <w:rPr>
                <w:rFonts w:hint="eastAsia" w:ascii="微软雅黑" w:hAnsi="微软雅黑" w:eastAsia="微软雅黑" w:cs="微软雅黑"/>
                <w:i/>
                <w:iCs/>
                <w:color w:val="000000"/>
                <w:sz w:val="16"/>
                <w:szCs w:val="16"/>
                <w:u w:val="none"/>
              </w:rPr>
            </w:pPr>
          </w:p>
        </w:tc>
      </w:tr>
      <w:tr w14:paraId="7F26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2D1B">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D30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1E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5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工作开展时限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0A4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E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61E1D">
            <w:pPr>
              <w:jc w:val="center"/>
              <w:rPr>
                <w:rFonts w:hint="eastAsia" w:ascii="微软雅黑" w:hAnsi="微软雅黑" w:eastAsia="微软雅黑" w:cs="微软雅黑"/>
                <w:i/>
                <w:iCs/>
                <w:color w:val="000000"/>
                <w:sz w:val="16"/>
                <w:szCs w:val="16"/>
                <w:u w:val="none"/>
              </w:rPr>
            </w:pPr>
          </w:p>
        </w:tc>
      </w:tr>
      <w:tr w14:paraId="1355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6553">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F7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2E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政策影响率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1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1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BE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A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E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02B25">
            <w:pPr>
              <w:jc w:val="center"/>
              <w:rPr>
                <w:rFonts w:hint="eastAsia" w:ascii="微软雅黑" w:hAnsi="微软雅黑" w:eastAsia="微软雅黑" w:cs="微软雅黑"/>
                <w:i/>
                <w:iCs/>
                <w:color w:val="000000"/>
                <w:sz w:val="16"/>
                <w:szCs w:val="16"/>
                <w:u w:val="none"/>
              </w:rPr>
            </w:pPr>
          </w:p>
        </w:tc>
      </w:tr>
      <w:tr w14:paraId="34AB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27E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742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E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E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政策宣传及时率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C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6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F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5E4D">
            <w:pPr>
              <w:jc w:val="center"/>
              <w:rPr>
                <w:rFonts w:hint="eastAsia" w:ascii="微软雅黑" w:hAnsi="微软雅黑" w:eastAsia="微软雅黑" w:cs="微软雅黑"/>
                <w:i/>
                <w:iCs/>
                <w:color w:val="000000"/>
                <w:sz w:val="16"/>
                <w:szCs w:val="16"/>
                <w:u w:val="none"/>
              </w:rPr>
            </w:pPr>
          </w:p>
        </w:tc>
      </w:tr>
      <w:tr w14:paraId="4D8A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06B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03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DD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C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D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E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A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B9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6887">
            <w:pPr>
              <w:jc w:val="center"/>
              <w:rPr>
                <w:rFonts w:hint="eastAsia" w:ascii="微软雅黑" w:hAnsi="微软雅黑" w:eastAsia="微软雅黑" w:cs="微软雅黑"/>
                <w:i/>
                <w:iCs/>
                <w:color w:val="000000"/>
                <w:sz w:val="16"/>
                <w:szCs w:val="16"/>
                <w:u w:val="none"/>
              </w:rPr>
            </w:pPr>
          </w:p>
        </w:tc>
      </w:tr>
      <w:tr w14:paraId="5336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1A7B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61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26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A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投入工作经费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86A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F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686BE">
            <w:pPr>
              <w:jc w:val="center"/>
              <w:rPr>
                <w:rFonts w:hint="eastAsia" w:ascii="微软雅黑" w:hAnsi="微软雅黑" w:eastAsia="微软雅黑" w:cs="微软雅黑"/>
                <w:i/>
                <w:iCs/>
                <w:color w:val="000000"/>
                <w:sz w:val="16"/>
                <w:szCs w:val="16"/>
                <w:u w:val="none"/>
              </w:rPr>
            </w:pPr>
          </w:p>
        </w:tc>
      </w:tr>
      <w:tr w14:paraId="1CD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476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B81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ABEE5">
            <w:pPr>
              <w:rPr>
                <w:rFonts w:hint="eastAsia" w:ascii="宋体" w:hAnsi="宋体" w:eastAsia="宋体" w:cs="宋体"/>
                <w:i w:val="0"/>
                <w:iCs w:val="0"/>
                <w:color w:val="000000"/>
                <w:sz w:val="18"/>
                <w:szCs w:val="18"/>
                <w:u w:val="none"/>
              </w:rPr>
            </w:pPr>
          </w:p>
        </w:tc>
      </w:tr>
      <w:tr w14:paraId="242F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1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03BD78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本项目得分98分，通过检查、调查揭示问题，分析原因，提出建议，保障相关政策完全落实，保障了弱势群体安全、生活稳定，确保了天星街道社会安定、人民幸福。</w:t>
            </w:r>
          </w:p>
        </w:tc>
      </w:tr>
      <w:tr w14:paraId="3BCC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E6940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关工委还存在关爱活动不够，关爱工作群众满意度还有一定的差距，深入走访调查群众还不全面，个别弱势群众关爱帮扶不够。</w:t>
            </w:r>
          </w:p>
        </w:tc>
      </w:tr>
      <w:tr w14:paraId="37B3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8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63635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1、进一步提高关爱工作质量，</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2，全面深入开展干群一家亲活动，把温暖送到每一个弱势群众身边，进一步提高社会和群众的满意度。</w:t>
            </w:r>
          </w:p>
        </w:tc>
      </w:tr>
      <w:tr w14:paraId="0D84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7A50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CA8B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19EB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48789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0EA077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398BB9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2B1A84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2A2569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25B5AD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C152DE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B9D573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DC774D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6E5244F">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731AA26">
            <w:pPr>
              <w:rPr>
                <w:rFonts w:hint="eastAsia" w:ascii="宋体" w:hAnsi="宋体" w:eastAsia="宋体" w:cs="宋体"/>
                <w:i w:val="0"/>
                <w:iCs w:val="0"/>
                <w:color w:val="000000"/>
                <w:sz w:val="18"/>
                <w:szCs w:val="18"/>
                <w:u w:val="none"/>
              </w:rPr>
            </w:pPr>
          </w:p>
        </w:tc>
      </w:tr>
      <w:tr w14:paraId="3486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39427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058E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BFDC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B7BC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51172523T000008461349-2023年维稳专项经费</w:t>
            </w:r>
          </w:p>
        </w:tc>
      </w:tr>
      <w:tr w14:paraId="0048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C73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10E3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3B94A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3D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7647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54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60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04A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7C94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6E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4F1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454C">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BB2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有效维护社会稳定，促进经济和社会各项事业稳步发展。确保工作正常开展，不断提升群众安全感和满意度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D7B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有效维护社会稳定，促进经济和社会各项事业稳步发展。确保工作正常开展，不断提升群众安全感和满意度</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30C2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AD4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3F1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3AC1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重点关注了群众关注的涉及环保方面政策落实情况，天星街道整体安全、社会稳定，上级信访，安全维稳专项经费项目资金实际支出10万元，占计划10万元的100％。</w:t>
            </w:r>
          </w:p>
        </w:tc>
      </w:tr>
      <w:tr w14:paraId="7A19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06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D6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1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1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FC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4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6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0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91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7C6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06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0D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2B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D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12F3E">
            <w:pPr>
              <w:rPr>
                <w:rFonts w:hint="eastAsia" w:ascii="黑体" w:hAnsi="黑体" w:eastAsia="黑体" w:cs="黑体"/>
                <w:i/>
                <w:iCs/>
                <w:color w:val="000000"/>
                <w:sz w:val="18"/>
                <w:szCs w:val="18"/>
                <w:u w:val="none"/>
              </w:rPr>
            </w:pPr>
          </w:p>
        </w:tc>
      </w:tr>
      <w:tr w14:paraId="2520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379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CE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BC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C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23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C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6440">
            <w:pPr>
              <w:rPr>
                <w:rFonts w:hint="eastAsia" w:ascii="黑体" w:hAnsi="黑体" w:eastAsia="黑体" w:cs="黑体"/>
                <w:i/>
                <w:iCs/>
                <w:color w:val="000000"/>
                <w:sz w:val="18"/>
                <w:szCs w:val="18"/>
                <w:u w:val="none"/>
              </w:rPr>
            </w:pPr>
          </w:p>
        </w:tc>
      </w:tr>
      <w:tr w14:paraId="1ACD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717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5C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EA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24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8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28FA">
            <w:pPr>
              <w:rPr>
                <w:rFonts w:hint="eastAsia" w:ascii="黑体" w:hAnsi="黑体" w:eastAsia="黑体" w:cs="黑体"/>
                <w:i/>
                <w:iCs/>
                <w:color w:val="000000"/>
                <w:sz w:val="18"/>
                <w:szCs w:val="18"/>
                <w:u w:val="none"/>
              </w:rPr>
            </w:pPr>
          </w:p>
        </w:tc>
      </w:tr>
      <w:tr w14:paraId="5DA7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809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0E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B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62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7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D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4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905A">
            <w:pPr>
              <w:rPr>
                <w:rFonts w:hint="eastAsia" w:ascii="黑体" w:hAnsi="黑体" w:eastAsia="黑体" w:cs="黑体"/>
                <w:i/>
                <w:iCs/>
                <w:color w:val="000000"/>
                <w:sz w:val="18"/>
                <w:szCs w:val="18"/>
                <w:u w:val="none"/>
              </w:rPr>
            </w:pPr>
          </w:p>
        </w:tc>
      </w:tr>
      <w:tr w14:paraId="33C8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404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99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2CBB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2F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B37A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73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4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A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9909">
            <w:pPr>
              <w:rPr>
                <w:rFonts w:hint="eastAsia" w:ascii="黑体" w:hAnsi="黑体" w:eastAsia="黑体" w:cs="黑体"/>
                <w:i/>
                <w:iCs/>
                <w:color w:val="000000"/>
                <w:sz w:val="18"/>
                <w:szCs w:val="18"/>
                <w:u w:val="none"/>
              </w:rPr>
            </w:pPr>
          </w:p>
        </w:tc>
      </w:tr>
      <w:tr w14:paraId="49F7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B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A9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D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8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9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E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7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04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E35EC">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F6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EE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开展宣传活动次数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3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D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AC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1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D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462B1">
            <w:pPr>
              <w:jc w:val="center"/>
              <w:rPr>
                <w:rFonts w:hint="eastAsia" w:ascii="微软雅黑" w:hAnsi="微软雅黑" w:eastAsia="微软雅黑" w:cs="微软雅黑"/>
                <w:i/>
                <w:iCs/>
                <w:color w:val="000000"/>
                <w:sz w:val="16"/>
                <w:szCs w:val="16"/>
                <w:u w:val="none"/>
              </w:rPr>
            </w:pPr>
          </w:p>
        </w:tc>
      </w:tr>
      <w:tr w14:paraId="2B2A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05C0">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D6F8F">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7108">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0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禁毒扫黑除恶矛盾化解次数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F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21F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6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FAF8E">
            <w:pPr>
              <w:jc w:val="center"/>
              <w:rPr>
                <w:rFonts w:hint="eastAsia" w:ascii="微软雅黑" w:hAnsi="微软雅黑" w:eastAsia="微软雅黑" w:cs="微软雅黑"/>
                <w:i/>
                <w:iCs/>
                <w:color w:val="000000"/>
                <w:sz w:val="16"/>
                <w:szCs w:val="16"/>
                <w:u w:val="none"/>
              </w:rPr>
            </w:pPr>
          </w:p>
        </w:tc>
      </w:tr>
      <w:tr w14:paraId="1207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1BEB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9AFE">
            <w:pPr>
              <w:jc w:val="center"/>
              <w:rPr>
                <w:rFonts w:hint="eastAsia" w:ascii="宋体" w:hAnsi="宋体" w:eastAsia="宋体" w:cs="宋体"/>
                <w:i w:val="0"/>
                <w:iCs w:val="0"/>
                <w:color w:val="000000"/>
                <w:sz w:val="18"/>
                <w:szCs w:val="18"/>
                <w:u w:val="none"/>
              </w:rPr>
            </w:pP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BF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5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矛盾化解处置率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E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0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91C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A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6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CB48">
            <w:pPr>
              <w:jc w:val="center"/>
              <w:rPr>
                <w:rFonts w:hint="eastAsia" w:ascii="微软雅黑" w:hAnsi="微软雅黑" w:eastAsia="微软雅黑" w:cs="微软雅黑"/>
                <w:i/>
                <w:iCs/>
                <w:color w:val="000000"/>
                <w:sz w:val="16"/>
                <w:szCs w:val="16"/>
                <w:u w:val="none"/>
              </w:rPr>
            </w:pPr>
          </w:p>
        </w:tc>
      </w:tr>
      <w:tr w14:paraId="7DEC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2B9E">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7A600">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FC17">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5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禁毒扫黑除恶矛盾案件上报率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7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A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8A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5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F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03911">
            <w:pPr>
              <w:jc w:val="center"/>
              <w:rPr>
                <w:rFonts w:hint="eastAsia" w:ascii="微软雅黑" w:hAnsi="微软雅黑" w:eastAsia="微软雅黑" w:cs="微软雅黑"/>
                <w:i/>
                <w:iCs/>
                <w:color w:val="000000"/>
                <w:sz w:val="16"/>
                <w:szCs w:val="16"/>
                <w:u w:val="none"/>
              </w:rPr>
            </w:pPr>
          </w:p>
        </w:tc>
      </w:tr>
      <w:tr w14:paraId="1BDE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180B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F06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FA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4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案件上报时限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D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A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0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B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174DC">
            <w:pPr>
              <w:jc w:val="center"/>
              <w:rPr>
                <w:rFonts w:hint="eastAsia" w:ascii="微软雅黑" w:hAnsi="微软雅黑" w:eastAsia="微软雅黑" w:cs="微软雅黑"/>
                <w:i/>
                <w:iCs/>
                <w:color w:val="000000"/>
                <w:sz w:val="16"/>
                <w:szCs w:val="16"/>
                <w:u w:val="none"/>
              </w:rPr>
            </w:pPr>
          </w:p>
        </w:tc>
      </w:tr>
      <w:tr w14:paraId="2FB3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AE6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6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E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B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安全维稳法律法规宣传覆盖率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1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1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F4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9A38A">
            <w:pPr>
              <w:jc w:val="center"/>
              <w:rPr>
                <w:rFonts w:hint="eastAsia" w:ascii="微软雅黑" w:hAnsi="微软雅黑" w:eastAsia="微软雅黑" w:cs="微软雅黑"/>
                <w:i/>
                <w:iCs/>
                <w:color w:val="000000"/>
                <w:sz w:val="16"/>
                <w:szCs w:val="16"/>
                <w:u w:val="none"/>
              </w:rPr>
            </w:pPr>
          </w:p>
        </w:tc>
      </w:tr>
      <w:tr w14:paraId="6C0E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6BA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9D8A">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9C92">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减少犯罪活动发生率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9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6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F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4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2635">
            <w:pPr>
              <w:jc w:val="center"/>
              <w:rPr>
                <w:rFonts w:hint="eastAsia" w:ascii="微软雅黑" w:hAnsi="微软雅黑" w:eastAsia="微软雅黑" w:cs="微软雅黑"/>
                <w:i/>
                <w:iCs/>
                <w:color w:val="000000"/>
                <w:sz w:val="16"/>
                <w:szCs w:val="16"/>
                <w:u w:val="none"/>
              </w:rPr>
            </w:pPr>
          </w:p>
        </w:tc>
      </w:tr>
      <w:tr w14:paraId="305A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E93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F4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D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B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2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A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76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7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0F72B">
            <w:pPr>
              <w:jc w:val="center"/>
              <w:rPr>
                <w:rFonts w:hint="eastAsia" w:ascii="微软雅黑" w:hAnsi="微软雅黑" w:eastAsia="微软雅黑" w:cs="微软雅黑"/>
                <w:i/>
                <w:iCs/>
                <w:color w:val="000000"/>
                <w:sz w:val="16"/>
                <w:szCs w:val="16"/>
                <w:u w:val="none"/>
              </w:rPr>
            </w:pPr>
          </w:p>
        </w:tc>
      </w:tr>
      <w:tr w14:paraId="5AD9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02D8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0E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87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0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7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6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4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F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11DFA">
            <w:pPr>
              <w:jc w:val="center"/>
              <w:rPr>
                <w:rFonts w:hint="eastAsia" w:ascii="微软雅黑" w:hAnsi="微软雅黑" w:eastAsia="微软雅黑" w:cs="微软雅黑"/>
                <w:i/>
                <w:iCs/>
                <w:color w:val="000000"/>
                <w:sz w:val="16"/>
                <w:szCs w:val="16"/>
                <w:u w:val="none"/>
              </w:rPr>
            </w:pPr>
          </w:p>
        </w:tc>
      </w:tr>
      <w:tr w14:paraId="2D41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62B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4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87255">
            <w:pPr>
              <w:rPr>
                <w:rFonts w:hint="eastAsia" w:ascii="宋体" w:hAnsi="宋体" w:eastAsia="宋体" w:cs="宋体"/>
                <w:i w:val="0"/>
                <w:iCs w:val="0"/>
                <w:color w:val="000000"/>
                <w:sz w:val="18"/>
                <w:szCs w:val="18"/>
                <w:u w:val="none"/>
              </w:rPr>
            </w:pPr>
          </w:p>
        </w:tc>
      </w:tr>
      <w:tr w14:paraId="58A9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A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472B1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本项目得分95分，安全维稳专项工作运行正常，促进信访、安全维稳办公室管理，整体安全、社会稳定，项目运行保障效果好。</w:t>
            </w:r>
          </w:p>
        </w:tc>
      </w:tr>
      <w:tr w14:paraId="0B74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A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5091A2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安全维稳工作还存在专职人员不足，个村（社区)重视不够，党的各项政策宣传不理想，村民的矛盾纠纷调解不够及时，到上级信访的现象时有发生。</w:t>
            </w:r>
          </w:p>
        </w:tc>
      </w:tr>
      <w:tr w14:paraId="6AE7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0C237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1、加排高素质的安全维稳专职工作人员，提高安全维稳工作质量。</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2、培养村组干部民事纠纷大调解能力，及时防范安全维稳不利因素</w:t>
            </w:r>
          </w:p>
        </w:tc>
      </w:tr>
      <w:tr w14:paraId="1A89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9AE5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0597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2DFB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E7B305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C2276C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AD4C92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417357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06A97CA">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14110D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D115A6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085831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82BFF8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5CD5C68">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229C3A20">
            <w:pPr>
              <w:rPr>
                <w:rFonts w:hint="eastAsia" w:ascii="宋体" w:hAnsi="宋体" w:eastAsia="宋体" w:cs="宋体"/>
                <w:i w:val="0"/>
                <w:iCs w:val="0"/>
                <w:color w:val="000000"/>
                <w:sz w:val="18"/>
                <w:szCs w:val="18"/>
                <w:u w:val="none"/>
              </w:rPr>
            </w:pPr>
          </w:p>
        </w:tc>
      </w:tr>
      <w:tr w14:paraId="46D1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6810F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13C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825B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CB0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51172523T000008461464-2023年乡镇道路交通安全管理经费</w:t>
            </w:r>
          </w:p>
        </w:tc>
      </w:tr>
      <w:tr w14:paraId="56A4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4B8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CF7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455172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73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123D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1D5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C26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49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4930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7C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DD350">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B283">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2B5C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完成消除交通安全隐患，确保道路安全畅通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E94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完成消除交通安全隐患，确保道路安全畅通</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31E8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1ECD">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E5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D89E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开展辖区交通安全宣传、路面管控、道路隐患排查治理、源头管理、交通事故处理等日常交通管理工作。</w:t>
            </w:r>
          </w:p>
        </w:tc>
      </w:tr>
      <w:tr w14:paraId="40C9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5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4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C4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3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85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A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81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AAF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7BD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59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E2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0A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E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C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2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AA6C4">
            <w:pPr>
              <w:rPr>
                <w:rFonts w:hint="eastAsia" w:ascii="黑体" w:hAnsi="黑体" w:eastAsia="黑体" w:cs="黑体"/>
                <w:i/>
                <w:iCs/>
                <w:color w:val="000000"/>
                <w:sz w:val="18"/>
                <w:szCs w:val="18"/>
                <w:u w:val="none"/>
              </w:rPr>
            </w:pPr>
          </w:p>
        </w:tc>
      </w:tr>
      <w:tr w14:paraId="2142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E17B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BF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0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5F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1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3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6546">
            <w:pPr>
              <w:rPr>
                <w:rFonts w:hint="eastAsia" w:ascii="黑体" w:hAnsi="黑体" w:eastAsia="黑体" w:cs="黑体"/>
                <w:i/>
                <w:iCs/>
                <w:color w:val="000000"/>
                <w:sz w:val="18"/>
                <w:szCs w:val="18"/>
                <w:u w:val="none"/>
              </w:rPr>
            </w:pPr>
          </w:p>
        </w:tc>
      </w:tr>
      <w:tr w14:paraId="0F22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2A4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1B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9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81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9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454F">
            <w:pPr>
              <w:rPr>
                <w:rFonts w:hint="eastAsia" w:ascii="黑体" w:hAnsi="黑体" w:eastAsia="黑体" w:cs="黑体"/>
                <w:i/>
                <w:iCs/>
                <w:color w:val="000000"/>
                <w:sz w:val="18"/>
                <w:szCs w:val="18"/>
                <w:u w:val="none"/>
              </w:rPr>
            </w:pPr>
          </w:p>
        </w:tc>
      </w:tr>
      <w:tr w14:paraId="798B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6FF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F4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DE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E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52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7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B3AF">
            <w:pPr>
              <w:rPr>
                <w:rFonts w:hint="eastAsia" w:ascii="黑体" w:hAnsi="黑体" w:eastAsia="黑体" w:cs="黑体"/>
                <w:i/>
                <w:iCs/>
                <w:color w:val="000000"/>
                <w:sz w:val="18"/>
                <w:szCs w:val="18"/>
                <w:u w:val="none"/>
              </w:rPr>
            </w:pPr>
          </w:p>
        </w:tc>
      </w:tr>
      <w:tr w14:paraId="4A14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600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0A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8B42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6E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95BD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B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C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28AD">
            <w:pPr>
              <w:rPr>
                <w:rFonts w:hint="eastAsia" w:ascii="黑体" w:hAnsi="黑体" w:eastAsia="黑体" w:cs="黑体"/>
                <w:i/>
                <w:iCs/>
                <w:color w:val="000000"/>
                <w:sz w:val="18"/>
                <w:szCs w:val="18"/>
                <w:u w:val="none"/>
              </w:rPr>
            </w:pPr>
          </w:p>
        </w:tc>
      </w:tr>
      <w:tr w14:paraId="418F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68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7E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EB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8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D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9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39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96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11D2">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D4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D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道路维护次数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5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A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6BF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1BC3">
            <w:pPr>
              <w:jc w:val="center"/>
              <w:rPr>
                <w:rFonts w:hint="eastAsia" w:ascii="微软雅黑" w:hAnsi="微软雅黑" w:eastAsia="微软雅黑" w:cs="微软雅黑"/>
                <w:i/>
                <w:iCs/>
                <w:color w:val="000000"/>
                <w:sz w:val="16"/>
                <w:szCs w:val="16"/>
                <w:u w:val="none"/>
              </w:rPr>
            </w:pPr>
          </w:p>
        </w:tc>
      </w:tr>
      <w:tr w14:paraId="40E9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E94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17D8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A2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交通安全畅通率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3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0F1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2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6945C">
            <w:pPr>
              <w:jc w:val="center"/>
              <w:rPr>
                <w:rFonts w:hint="eastAsia" w:ascii="微软雅黑" w:hAnsi="微软雅黑" w:eastAsia="微软雅黑" w:cs="微软雅黑"/>
                <w:i/>
                <w:iCs/>
                <w:color w:val="000000"/>
                <w:sz w:val="16"/>
                <w:szCs w:val="16"/>
                <w:u w:val="none"/>
              </w:rPr>
            </w:pPr>
          </w:p>
        </w:tc>
      </w:tr>
      <w:tr w14:paraId="1830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406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1B6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2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到达辖区发生安全隐患时限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2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1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5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0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B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C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0C37">
            <w:pPr>
              <w:jc w:val="center"/>
              <w:rPr>
                <w:rFonts w:hint="eastAsia" w:ascii="微软雅黑" w:hAnsi="微软雅黑" w:eastAsia="微软雅黑" w:cs="微软雅黑"/>
                <w:i/>
                <w:iCs/>
                <w:color w:val="000000"/>
                <w:sz w:val="16"/>
                <w:szCs w:val="16"/>
                <w:u w:val="none"/>
              </w:rPr>
            </w:pPr>
          </w:p>
        </w:tc>
      </w:tr>
      <w:tr w14:paraId="4BCF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4D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BA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68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3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提升道路通行率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D7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49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3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33E7B">
            <w:pPr>
              <w:jc w:val="center"/>
              <w:rPr>
                <w:rFonts w:hint="eastAsia" w:ascii="微软雅黑" w:hAnsi="微软雅黑" w:eastAsia="微软雅黑" w:cs="微软雅黑"/>
                <w:i/>
                <w:iCs/>
                <w:color w:val="000000"/>
                <w:sz w:val="16"/>
                <w:szCs w:val="16"/>
                <w:u w:val="none"/>
              </w:rPr>
            </w:pPr>
          </w:p>
        </w:tc>
      </w:tr>
      <w:tr w14:paraId="4704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88D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D6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32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C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1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D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343D0">
            <w:pPr>
              <w:jc w:val="center"/>
              <w:rPr>
                <w:rFonts w:hint="eastAsia" w:ascii="微软雅黑" w:hAnsi="微软雅黑" w:eastAsia="微软雅黑" w:cs="微软雅黑"/>
                <w:i/>
                <w:iCs/>
                <w:color w:val="000000"/>
                <w:sz w:val="16"/>
                <w:szCs w:val="16"/>
                <w:u w:val="none"/>
              </w:rPr>
            </w:pPr>
          </w:p>
        </w:tc>
      </w:tr>
      <w:tr w14:paraId="2380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022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49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3A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B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8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E4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1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04515">
            <w:pPr>
              <w:jc w:val="center"/>
              <w:rPr>
                <w:rFonts w:hint="eastAsia" w:ascii="微软雅黑" w:hAnsi="微软雅黑" w:eastAsia="微软雅黑" w:cs="微软雅黑"/>
                <w:i/>
                <w:iCs/>
                <w:color w:val="000000"/>
                <w:sz w:val="16"/>
                <w:szCs w:val="16"/>
                <w:u w:val="none"/>
              </w:rPr>
            </w:pPr>
          </w:p>
        </w:tc>
      </w:tr>
      <w:tr w14:paraId="6412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8B6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D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6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F46E9">
            <w:pPr>
              <w:rPr>
                <w:rFonts w:hint="eastAsia" w:ascii="宋体" w:hAnsi="宋体" w:eastAsia="宋体" w:cs="宋体"/>
                <w:i w:val="0"/>
                <w:iCs w:val="0"/>
                <w:color w:val="000000"/>
                <w:sz w:val="18"/>
                <w:szCs w:val="18"/>
                <w:u w:val="none"/>
              </w:rPr>
            </w:pPr>
          </w:p>
        </w:tc>
      </w:tr>
      <w:tr w14:paraId="245D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1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57392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通过开展安全生产监督检查、车辆技术管理、打非治违等道路运输监管工作，推进依法治理，打击道路运输安全生产违法违规行为，不断提升道路运输服务质量和管理水平，切实加强道路运输安全监管，确保全镇道路运输安全生产形势的稳定。</w:t>
            </w:r>
          </w:p>
        </w:tc>
      </w:tr>
      <w:tr w14:paraId="12D5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2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D97C6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1.由于人员不足需要聘用协管人员配合完成各项工作，由此产生的费用无法保障；2“打非治违”是一项长期持续的中心工作，成效需要长时间的累积才能显著。</w:t>
            </w:r>
          </w:p>
        </w:tc>
      </w:tr>
      <w:tr w14:paraId="6DD4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388D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建立“打非治违”长效机制，同日常监督执法工作紧密结合起来，继续保持高压严管态势，抓落实，重实效，保障交通畅通</w:t>
            </w:r>
          </w:p>
        </w:tc>
      </w:tr>
      <w:tr w14:paraId="279C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B6BE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8C17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B60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464557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76D3EC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48490E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8DE624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EC2DFF3">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287659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E4BCE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D5B333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E0D162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E494D54">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4B9186A">
            <w:pPr>
              <w:rPr>
                <w:rFonts w:hint="eastAsia" w:ascii="宋体" w:hAnsi="宋体" w:eastAsia="宋体" w:cs="宋体"/>
                <w:i w:val="0"/>
                <w:iCs w:val="0"/>
                <w:color w:val="000000"/>
                <w:sz w:val="18"/>
                <w:szCs w:val="18"/>
                <w:u w:val="none"/>
              </w:rPr>
            </w:pPr>
          </w:p>
        </w:tc>
      </w:tr>
      <w:tr w14:paraId="2002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1C834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C03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64E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306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51172523T000008461536-2023年农村道路交通安全管理员和劝导员经费</w:t>
            </w:r>
          </w:p>
        </w:tc>
      </w:tr>
      <w:tr w14:paraId="3FC8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29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B1B7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04BA2B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015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2176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F7D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38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32A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AC02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3E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2168">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67AE">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77D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维护道路安全，交通正常运行，消除安全隐患，减少交通安全事故发生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15E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维护道路安全，交通正常运行，消除安全隐患，减少交通安全事故发生</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0F4E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51A5">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564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DA3B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辖区道路交通秩序，指挥、疏导交通，及时制止、劝阻和举报道路交通违法行为。2、开展道路交通违法查纠工作，收集固定交通违法证据，按要求及时转递公安交警部门依法处理。3、协助公安交警部门保护国家和人民群众生命财产安全，维护交通秩序，控制事态。4、定期开展交通安全宣传教育，安全隐患排查、安全检查整治等日常工作，并按要求统计上报相关资料</w:t>
            </w:r>
          </w:p>
        </w:tc>
      </w:tr>
      <w:tr w14:paraId="24E5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80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4D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9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8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4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2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DC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B89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125C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E4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FF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C4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E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4335">
            <w:pPr>
              <w:jc w:val="center"/>
              <w:rPr>
                <w:rFonts w:hint="eastAsia" w:ascii="宋体" w:hAnsi="宋体" w:eastAsia="宋体" w:cs="宋体"/>
                <w:i w:val="0"/>
                <w:iCs w:val="0"/>
                <w:color w:val="000000"/>
                <w:sz w:val="18"/>
                <w:szCs w:val="18"/>
                <w:u w:val="none"/>
              </w:rPr>
            </w:pP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88A3">
            <w:pPr>
              <w:rPr>
                <w:rFonts w:hint="eastAsia" w:ascii="黑体" w:hAnsi="黑体" w:eastAsia="黑体" w:cs="黑体"/>
                <w:i/>
                <w:iCs/>
                <w:color w:val="000000"/>
                <w:sz w:val="18"/>
                <w:szCs w:val="18"/>
                <w:u w:val="none"/>
              </w:rPr>
            </w:pPr>
          </w:p>
        </w:tc>
      </w:tr>
      <w:tr w14:paraId="04F5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C81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6B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CD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A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38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5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6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D4E2A">
            <w:pPr>
              <w:rPr>
                <w:rFonts w:hint="eastAsia" w:ascii="黑体" w:hAnsi="黑体" w:eastAsia="黑体" w:cs="黑体"/>
                <w:i/>
                <w:iCs/>
                <w:color w:val="000000"/>
                <w:sz w:val="18"/>
                <w:szCs w:val="18"/>
                <w:u w:val="none"/>
              </w:rPr>
            </w:pPr>
          </w:p>
        </w:tc>
      </w:tr>
      <w:tr w14:paraId="42FB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09C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42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3B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B6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5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0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8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9026">
            <w:pPr>
              <w:rPr>
                <w:rFonts w:hint="eastAsia" w:ascii="黑体" w:hAnsi="黑体" w:eastAsia="黑体" w:cs="黑体"/>
                <w:i/>
                <w:iCs/>
                <w:color w:val="000000"/>
                <w:sz w:val="18"/>
                <w:szCs w:val="18"/>
                <w:u w:val="none"/>
              </w:rPr>
            </w:pPr>
          </w:p>
        </w:tc>
      </w:tr>
      <w:tr w14:paraId="3376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00C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1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57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5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E6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9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9ED2">
            <w:pPr>
              <w:rPr>
                <w:rFonts w:hint="eastAsia" w:ascii="黑体" w:hAnsi="黑体" w:eastAsia="黑体" w:cs="黑体"/>
                <w:i/>
                <w:iCs/>
                <w:color w:val="000000"/>
                <w:sz w:val="18"/>
                <w:szCs w:val="18"/>
                <w:u w:val="none"/>
              </w:rPr>
            </w:pPr>
          </w:p>
        </w:tc>
      </w:tr>
      <w:tr w14:paraId="3DAE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2AB8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1F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BA35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6DD">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7DB7C">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828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F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2705">
            <w:pPr>
              <w:rPr>
                <w:rFonts w:hint="eastAsia" w:ascii="黑体" w:hAnsi="黑体" w:eastAsia="黑体" w:cs="黑体"/>
                <w:i/>
                <w:iCs/>
                <w:color w:val="000000"/>
                <w:sz w:val="18"/>
                <w:szCs w:val="18"/>
                <w:u w:val="none"/>
              </w:rPr>
            </w:pPr>
          </w:p>
        </w:tc>
      </w:tr>
      <w:tr w14:paraId="754A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8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F8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A9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8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2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98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75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DAB6">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69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09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交通劝导涉及村个数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0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EF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3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8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B05F0">
            <w:pPr>
              <w:jc w:val="center"/>
              <w:rPr>
                <w:rFonts w:hint="eastAsia" w:ascii="微软雅黑" w:hAnsi="微软雅黑" w:eastAsia="微软雅黑" w:cs="微软雅黑"/>
                <w:i/>
                <w:iCs/>
                <w:color w:val="000000"/>
                <w:sz w:val="16"/>
                <w:szCs w:val="16"/>
                <w:u w:val="none"/>
              </w:rPr>
            </w:pPr>
          </w:p>
        </w:tc>
      </w:tr>
      <w:tr w14:paraId="29D0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34F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1DB0">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48DD">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F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交通安全劝导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9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A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7A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4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3BE17">
            <w:pPr>
              <w:jc w:val="center"/>
              <w:rPr>
                <w:rFonts w:hint="eastAsia" w:ascii="微软雅黑" w:hAnsi="微软雅黑" w:eastAsia="微软雅黑" w:cs="微软雅黑"/>
                <w:i/>
                <w:iCs/>
                <w:color w:val="000000"/>
                <w:sz w:val="16"/>
                <w:szCs w:val="16"/>
                <w:u w:val="none"/>
              </w:rPr>
            </w:pPr>
          </w:p>
        </w:tc>
      </w:tr>
      <w:tr w14:paraId="08CD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8BD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63E0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11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C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交通秩序状况提升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9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5B0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3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B02DF">
            <w:pPr>
              <w:jc w:val="center"/>
              <w:rPr>
                <w:rFonts w:hint="eastAsia" w:ascii="微软雅黑" w:hAnsi="微软雅黑" w:eastAsia="微软雅黑" w:cs="微软雅黑"/>
                <w:i/>
                <w:iCs/>
                <w:color w:val="000000"/>
                <w:sz w:val="16"/>
                <w:szCs w:val="16"/>
                <w:u w:val="none"/>
              </w:rPr>
            </w:pPr>
          </w:p>
        </w:tc>
      </w:tr>
      <w:tr w14:paraId="0ED9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B29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1E9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99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到达交通堵塞地时限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A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6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9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2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590C3">
            <w:pPr>
              <w:jc w:val="center"/>
              <w:rPr>
                <w:rFonts w:hint="eastAsia" w:ascii="微软雅黑" w:hAnsi="微软雅黑" w:eastAsia="微软雅黑" w:cs="微软雅黑"/>
                <w:i/>
                <w:iCs/>
                <w:color w:val="000000"/>
                <w:sz w:val="16"/>
                <w:szCs w:val="16"/>
                <w:u w:val="none"/>
              </w:rPr>
            </w:pPr>
          </w:p>
        </w:tc>
      </w:tr>
      <w:tr w14:paraId="3D43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D07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C9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2A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交通通畅率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4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1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B7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1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3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9204A">
            <w:pPr>
              <w:jc w:val="center"/>
              <w:rPr>
                <w:rFonts w:hint="eastAsia" w:ascii="微软雅黑" w:hAnsi="微软雅黑" w:eastAsia="微软雅黑" w:cs="微软雅黑"/>
                <w:i/>
                <w:iCs/>
                <w:color w:val="000000"/>
                <w:sz w:val="16"/>
                <w:szCs w:val="16"/>
                <w:u w:val="none"/>
              </w:rPr>
            </w:pPr>
          </w:p>
        </w:tc>
      </w:tr>
      <w:tr w14:paraId="47E9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71B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8B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7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C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F1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9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D1DB2">
            <w:pPr>
              <w:jc w:val="center"/>
              <w:rPr>
                <w:rFonts w:hint="eastAsia" w:ascii="微软雅黑" w:hAnsi="微软雅黑" w:eastAsia="微软雅黑" w:cs="微软雅黑"/>
                <w:i/>
                <w:iCs/>
                <w:color w:val="000000"/>
                <w:sz w:val="16"/>
                <w:szCs w:val="16"/>
                <w:u w:val="none"/>
              </w:rPr>
            </w:pPr>
          </w:p>
        </w:tc>
      </w:tr>
      <w:tr w14:paraId="4211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79F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46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DB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交通通畅运行成本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8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4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D97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45600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9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C7409">
            <w:pPr>
              <w:jc w:val="center"/>
              <w:rPr>
                <w:rFonts w:hint="eastAsia" w:ascii="微软雅黑" w:hAnsi="微软雅黑" w:eastAsia="微软雅黑" w:cs="微软雅黑"/>
                <w:i/>
                <w:iCs/>
                <w:color w:val="000000"/>
                <w:sz w:val="16"/>
                <w:szCs w:val="16"/>
                <w:u w:val="none"/>
              </w:rPr>
            </w:pPr>
          </w:p>
        </w:tc>
      </w:tr>
      <w:tr w14:paraId="0201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14F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0F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8909D">
            <w:pPr>
              <w:rPr>
                <w:rFonts w:hint="eastAsia" w:ascii="宋体" w:hAnsi="宋体" w:eastAsia="宋体" w:cs="宋体"/>
                <w:i w:val="0"/>
                <w:iCs w:val="0"/>
                <w:color w:val="000000"/>
                <w:sz w:val="18"/>
                <w:szCs w:val="18"/>
                <w:u w:val="none"/>
              </w:rPr>
            </w:pPr>
          </w:p>
        </w:tc>
      </w:tr>
      <w:tr w14:paraId="761A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E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E2CDB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本项目得分98分，严格控制成本，提高资金效益，农村道路交通安全管理员、劝导员工作经费项目资金实际支出4.56万元，占计划4.56万元的100％。</w:t>
            </w:r>
          </w:p>
        </w:tc>
      </w:tr>
      <w:tr w14:paraId="3157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1E675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 一是对交通安全监督管理力度还不够。二是镇专职交通安全管理员和劝导员人员不足，工作力量薄弱。三是部分群众交通安全意识仍然薄弱，事故离我太远的侥幸心理依然存在。</w:t>
            </w:r>
          </w:p>
        </w:tc>
      </w:tr>
      <w:tr w14:paraId="2B15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8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269D7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强化安全生产监管责任制落实。全面推进落实“党政同责、一岗双责、齐抓共管、失职追责”和“管行业必须管安全、管业务必须管安全、管生产经营必须管安全”的安全责任制。坚持道路交通安全工作例会制度，逢会必讲道路交通安全，强化目标责任考核，增强责任意识，确保道路交通安全不出任何责任。</w:t>
            </w:r>
          </w:p>
        </w:tc>
      </w:tr>
      <w:tr w14:paraId="4ABB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A00B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1F6E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00FA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E5B47B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00EE2E8">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3625F1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F6E56C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9D5AC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C50E97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2C842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A3D0C0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1E618DE">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FABA791">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CBD691C">
            <w:pPr>
              <w:rPr>
                <w:rFonts w:hint="eastAsia" w:ascii="宋体" w:hAnsi="宋体" w:eastAsia="宋体" w:cs="宋体"/>
                <w:i w:val="0"/>
                <w:iCs w:val="0"/>
                <w:color w:val="000000"/>
                <w:sz w:val="18"/>
                <w:szCs w:val="18"/>
                <w:u w:val="none"/>
              </w:rPr>
            </w:pPr>
          </w:p>
        </w:tc>
      </w:tr>
      <w:tr w14:paraId="23D8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C92092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3AF8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09B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7121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51172523T000008461660-2023年便民服务中心运行经费</w:t>
            </w:r>
          </w:p>
        </w:tc>
      </w:tr>
      <w:tr w14:paraId="2EF4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93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E200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65C3AB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72A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6413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FE1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FDF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75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5E6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C9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FA77">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B9CA">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D1F7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1保群众办事方便快捷，</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2保障办公正常</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3确保服务人员报酬支付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24E7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1保群众办事方便快捷，</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2保障办公正常</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3确保服务人员报酬支付</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0341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BC00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470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152A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方便群众办事方便、快捷，群众随到随办，在规定时间内办结了服务事项，保质保量按时完成了便民服务任务，项目资金实际支出6万元，占计划6万元的100％。</w:t>
            </w:r>
          </w:p>
        </w:tc>
      </w:tr>
      <w:tr w14:paraId="6305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10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13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F0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43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3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DD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EA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E67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8A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58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1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FA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1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C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C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95997">
            <w:pPr>
              <w:rPr>
                <w:rFonts w:hint="eastAsia" w:ascii="黑体" w:hAnsi="黑体" w:eastAsia="黑体" w:cs="黑体"/>
                <w:i/>
                <w:iCs/>
                <w:color w:val="000000"/>
                <w:sz w:val="18"/>
                <w:szCs w:val="18"/>
                <w:u w:val="none"/>
              </w:rPr>
            </w:pPr>
          </w:p>
        </w:tc>
      </w:tr>
      <w:tr w14:paraId="18CF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243B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01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E5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3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00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E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A5CC">
            <w:pPr>
              <w:rPr>
                <w:rFonts w:hint="eastAsia" w:ascii="黑体" w:hAnsi="黑体" w:eastAsia="黑体" w:cs="黑体"/>
                <w:i/>
                <w:iCs/>
                <w:color w:val="000000"/>
                <w:sz w:val="18"/>
                <w:szCs w:val="18"/>
                <w:u w:val="none"/>
              </w:rPr>
            </w:pPr>
          </w:p>
        </w:tc>
      </w:tr>
      <w:tr w14:paraId="7533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081E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F5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E1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8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71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A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3A7E">
            <w:pPr>
              <w:rPr>
                <w:rFonts w:hint="eastAsia" w:ascii="黑体" w:hAnsi="黑体" w:eastAsia="黑体" w:cs="黑体"/>
                <w:i/>
                <w:iCs/>
                <w:color w:val="000000"/>
                <w:sz w:val="18"/>
                <w:szCs w:val="18"/>
                <w:u w:val="none"/>
              </w:rPr>
            </w:pPr>
          </w:p>
        </w:tc>
      </w:tr>
      <w:tr w14:paraId="161D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584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E1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C3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E0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A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0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C422">
            <w:pPr>
              <w:rPr>
                <w:rFonts w:hint="eastAsia" w:ascii="黑体" w:hAnsi="黑体" w:eastAsia="黑体" w:cs="黑体"/>
                <w:i/>
                <w:iCs/>
                <w:color w:val="000000"/>
                <w:sz w:val="18"/>
                <w:szCs w:val="18"/>
                <w:u w:val="none"/>
              </w:rPr>
            </w:pPr>
          </w:p>
        </w:tc>
      </w:tr>
      <w:tr w14:paraId="229F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DACA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33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5ECD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F74">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B110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4D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F4F5">
            <w:pPr>
              <w:rPr>
                <w:rFonts w:hint="eastAsia" w:ascii="黑体" w:hAnsi="黑体" w:eastAsia="黑体" w:cs="黑体"/>
                <w:i/>
                <w:iCs/>
                <w:color w:val="000000"/>
                <w:sz w:val="18"/>
                <w:szCs w:val="18"/>
                <w:u w:val="none"/>
              </w:rPr>
            </w:pPr>
          </w:p>
        </w:tc>
      </w:tr>
      <w:tr w14:paraId="6B2E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C5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CD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FA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E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9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1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8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B5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EB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346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8A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BE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聘请工作人员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91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A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5B85C">
            <w:pPr>
              <w:jc w:val="center"/>
              <w:rPr>
                <w:rFonts w:hint="eastAsia" w:ascii="微软雅黑" w:hAnsi="微软雅黑" w:eastAsia="微软雅黑" w:cs="微软雅黑"/>
                <w:i/>
                <w:iCs/>
                <w:color w:val="000000"/>
                <w:sz w:val="16"/>
                <w:szCs w:val="16"/>
                <w:u w:val="none"/>
              </w:rPr>
            </w:pPr>
          </w:p>
        </w:tc>
      </w:tr>
      <w:tr w14:paraId="1162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50D2">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9AB48">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76D5">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1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办理群众需求事项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2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346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F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2BECB">
            <w:pPr>
              <w:jc w:val="center"/>
              <w:rPr>
                <w:rFonts w:hint="eastAsia" w:ascii="微软雅黑" w:hAnsi="微软雅黑" w:eastAsia="微软雅黑" w:cs="微软雅黑"/>
                <w:i/>
                <w:iCs/>
                <w:color w:val="000000"/>
                <w:sz w:val="16"/>
                <w:szCs w:val="16"/>
                <w:u w:val="none"/>
              </w:rPr>
            </w:pPr>
          </w:p>
        </w:tc>
      </w:tr>
      <w:tr w14:paraId="4B68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C6C3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964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E0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工作人员到位率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4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5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AD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5EF6A">
            <w:pPr>
              <w:jc w:val="center"/>
              <w:rPr>
                <w:rFonts w:hint="eastAsia" w:ascii="微软雅黑" w:hAnsi="微软雅黑" w:eastAsia="微软雅黑" w:cs="微软雅黑"/>
                <w:i/>
                <w:iCs/>
                <w:color w:val="000000"/>
                <w:sz w:val="16"/>
                <w:szCs w:val="16"/>
                <w:u w:val="none"/>
              </w:rPr>
            </w:pPr>
          </w:p>
        </w:tc>
      </w:tr>
      <w:tr w14:paraId="6A04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2F9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9DA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5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9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解决群众需求事项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C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73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F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EED28">
            <w:pPr>
              <w:jc w:val="center"/>
              <w:rPr>
                <w:rFonts w:hint="eastAsia" w:ascii="微软雅黑" w:hAnsi="微软雅黑" w:eastAsia="微软雅黑" w:cs="微软雅黑"/>
                <w:i/>
                <w:iCs/>
                <w:color w:val="000000"/>
                <w:sz w:val="16"/>
                <w:szCs w:val="16"/>
                <w:u w:val="none"/>
              </w:rPr>
            </w:pPr>
          </w:p>
        </w:tc>
      </w:tr>
      <w:tr w14:paraId="3C32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3B5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FD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8E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减少群众办事费用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48C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6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C85D1">
            <w:pPr>
              <w:jc w:val="center"/>
              <w:rPr>
                <w:rFonts w:hint="eastAsia" w:ascii="微软雅黑" w:hAnsi="微软雅黑" w:eastAsia="微软雅黑" w:cs="微软雅黑"/>
                <w:i/>
                <w:iCs/>
                <w:color w:val="000000"/>
                <w:sz w:val="16"/>
                <w:szCs w:val="16"/>
                <w:u w:val="none"/>
              </w:rPr>
            </w:pPr>
          </w:p>
        </w:tc>
      </w:tr>
      <w:tr w14:paraId="502B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5BB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1B1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8B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5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办事及时便捷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8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0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4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7B985">
            <w:pPr>
              <w:jc w:val="center"/>
              <w:rPr>
                <w:rFonts w:hint="eastAsia" w:ascii="微软雅黑" w:hAnsi="微软雅黑" w:eastAsia="微软雅黑" w:cs="微软雅黑"/>
                <w:i/>
                <w:iCs/>
                <w:color w:val="000000"/>
                <w:sz w:val="16"/>
                <w:szCs w:val="16"/>
                <w:u w:val="none"/>
              </w:rPr>
            </w:pPr>
          </w:p>
        </w:tc>
      </w:tr>
      <w:tr w14:paraId="4C46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401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71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9B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C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8D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6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CE51">
            <w:pPr>
              <w:jc w:val="center"/>
              <w:rPr>
                <w:rFonts w:hint="eastAsia" w:ascii="微软雅黑" w:hAnsi="微软雅黑" w:eastAsia="微软雅黑" w:cs="微软雅黑"/>
                <w:i/>
                <w:iCs/>
                <w:color w:val="000000"/>
                <w:sz w:val="16"/>
                <w:szCs w:val="16"/>
                <w:u w:val="none"/>
              </w:rPr>
            </w:pPr>
          </w:p>
        </w:tc>
      </w:tr>
      <w:tr w14:paraId="6879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002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BA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D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C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8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0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AD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F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3C48E">
            <w:pPr>
              <w:jc w:val="center"/>
              <w:rPr>
                <w:rFonts w:hint="eastAsia" w:ascii="微软雅黑" w:hAnsi="微软雅黑" w:eastAsia="微软雅黑" w:cs="微软雅黑"/>
                <w:i/>
                <w:iCs/>
                <w:color w:val="000000"/>
                <w:sz w:val="16"/>
                <w:szCs w:val="16"/>
                <w:u w:val="none"/>
              </w:rPr>
            </w:pPr>
          </w:p>
        </w:tc>
      </w:tr>
      <w:tr w14:paraId="4264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EFC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D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5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C7C5C">
            <w:pPr>
              <w:rPr>
                <w:rFonts w:hint="eastAsia" w:ascii="宋体" w:hAnsi="宋体" w:eastAsia="宋体" w:cs="宋体"/>
                <w:i w:val="0"/>
                <w:iCs w:val="0"/>
                <w:color w:val="000000"/>
                <w:sz w:val="18"/>
                <w:szCs w:val="18"/>
                <w:u w:val="none"/>
              </w:rPr>
            </w:pPr>
          </w:p>
        </w:tc>
      </w:tr>
      <w:tr w14:paraId="3C55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0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94B7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以实现服务“零距离”、工作“零差错”、审批“零投诉”为工作目标，以规范便民服务为工作重点，实行“一个中心对外、一个窗口受理、一条龙服务、一站式办结”的服务体制，转变干部作风，强化服务意识，提高办事效率，在党群干群之间架起了一座“连心桥”。</w:t>
            </w:r>
          </w:p>
        </w:tc>
      </w:tr>
      <w:tr w14:paraId="1D75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1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C80588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便民服务运行工作还存在专职人员不足，个别工作人员重视不够，服务群众质量不理想，群众满意度还有一定的差距</w:t>
            </w:r>
          </w:p>
        </w:tc>
      </w:tr>
      <w:tr w14:paraId="6916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B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14B19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1、加排高素质的便民服务专职管理人员，提高便民服务工作质量。</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2、教育便民服务工作人员，虚心询问群众需求，耐心听取群众诉求，提高服务办结事项质量。</w:t>
            </w:r>
          </w:p>
        </w:tc>
      </w:tr>
      <w:tr w14:paraId="2541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0B86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A9E8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14C7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929405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D382698">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8780B9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59A108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6E0048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956D0E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F71B59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3ABEFF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9ABEEB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EF3D1B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4800FB3D">
            <w:pPr>
              <w:rPr>
                <w:rFonts w:hint="eastAsia" w:ascii="宋体" w:hAnsi="宋体" w:eastAsia="宋体" w:cs="宋体"/>
                <w:i w:val="0"/>
                <w:iCs w:val="0"/>
                <w:color w:val="000000"/>
                <w:sz w:val="18"/>
                <w:szCs w:val="18"/>
                <w:u w:val="none"/>
              </w:rPr>
            </w:pPr>
          </w:p>
        </w:tc>
      </w:tr>
      <w:tr w14:paraId="3CB6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CFB021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264A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30B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20B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51172523T000008461886-2023年基层人防工作经费</w:t>
            </w:r>
          </w:p>
        </w:tc>
      </w:tr>
      <w:tr w14:paraId="04DA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70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D702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70B01C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13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62FB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8E8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8BA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832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852B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E8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71C4">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965A">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A01B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1制定可行的方案，确保人口疏散有序进行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2设立标识牌，加强对村民因引导</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加强人防政策和人防知识培训，有效增强广大群众人防观念和意识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A8A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1制定可行的方案，确保人口疏散有序进行</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2设立标识牌，加强对村民因引导</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加强人防政策和人防知识培训，有效增强广大群众人防观念和意识</w:t>
            </w:r>
          </w:p>
        </w:tc>
      </w:tr>
      <w:tr w14:paraId="29AB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64A0">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3A3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7140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严格操作流程，规范政策执行；部门详细制定了资金补助操作流程，明确了各级工作职责，建立“谁办理、谁负责、谁核实、谁签字”的责任追究制度。设立“黑名单”制度，补助对象弄虚作假的，取消补助资格。二是重点核查监管，助理风险防控。对群众举报的、电话投诉的立即核查，对面上存在问题的重点核查，确保聚焦隐患集镇地带，及早发现存在问题。</w:t>
            </w:r>
          </w:p>
        </w:tc>
      </w:tr>
      <w:tr w14:paraId="4540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AC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BF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A0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8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D0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A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D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0B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91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E031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36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35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A1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5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65A1C">
            <w:pPr>
              <w:rPr>
                <w:rFonts w:hint="eastAsia" w:ascii="黑体" w:hAnsi="黑体" w:eastAsia="黑体" w:cs="黑体"/>
                <w:i/>
                <w:iCs/>
                <w:color w:val="000000"/>
                <w:sz w:val="18"/>
                <w:szCs w:val="18"/>
                <w:u w:val="none"/>
              </w:rPr>
            </w:pPr>
          </w:p>
        </w:tc>
      </w:tr>
      <w:tr w14:paraId="4139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E79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8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D5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41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3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5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212F">
            <w:pPr>
              <w:rPr>
                <w:rFonts w:hint="eastAsia" w:ascii="黑体" w:hAnsi="黑体" w:eastAsia="黑体" w:cs="黑体"/>
                <w:i/>
                <w:iCs/>
                <w:color w:val="000000"/>
                <w:sz w:val="18"/>
                <w:szCs w:val="18"/>
                <w:u w:val="none"/>
              </w:rPr>
            </w:pPr>
          </w:p>
        </w:tc>
      </w:tr>
      <w:tr w14:paraId="71DB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DC7B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6B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B6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2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BF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DA1D">
            <w:pPr>
              <w:rPr>
                <w:rFonts w:hint="eastAsia" w:ascii="黑体" w:hAnsi="黑体" w:eastAsia="黑体" w:cs="黑体"/>
                <w:i/>
                <w:iCs/>
                <w:color w:val="000000"/>
                <w:sz w:val="18"/>
                <w:szCs w:val="18"/>
                <w:u w:val="none"/>
              </w:rPr>
            </w:pPr>
          </w:p>
        </w:tc>
      </w:tr>
      <w:tr w14:paraId="1612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AC1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CC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A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A3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E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5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A66F">
            <w:pPr>
              <w:rPr>
                <w:rFonts w:hint="eastAsia" w:ascii="黑体" w:hAnsi="黑体" w:eastAsia="黑体" w:cs="黑体"/>
                <w:i/>
                <w:iCs/>
                <w:color w:val="000000"/>
                <w:sz w:val="18"/>
                <w:szCs w:val="18"/>
                <w:u w:val="none"/>
              </w:rPr>
            </w:pPr>
          </w:p>
        </w:tc>
      </w:tr>
      <w:tr w14:paraId="2EBC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343E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BD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9AEA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33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28CC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E1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F883">
            <w:pPr>
              <w:rPr>
                <w:rFonts w:hint="eastAsia" w:ascii="黑体" w:hAnsi="黑体" w:eastAsia="黑体" w:cs="黑体"/>
                <w:i/>
                <w:iCs/>
                <w:color w:val="000000"/>
                <w:sz w:val="18"/>
                <w:szCs w:val="18"/>
                <w:u w:val="none"/>
              </w:rPr>
            </w:pPr>
          </w:p>
        </w:tc>
      </w:tr>
      <w:tr w14:paraId="4DB2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8A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40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AF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1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7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F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1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2A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A102">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D0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20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2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B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F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1B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D050">
            <w:pPr>
              <w:jc w:val="center"/>
              <w:rPr>
                <w:rFonts w:hint="eastAsia" w:ascii="微软雅黑" w:hAnsi="微软雅黑" w:eastAsia="微软雅黑" w:cs="微软雅黑"/>
                <w:i/>
                <w:iCs/>
                <w:color w:val="000000"/>
                <w:sz w:val="16"/>
                <w:szCs w:val="16"/>
                <w:u w:val="none"/>
              </w:rPr>
            </w:pPr>
          </w:p>
        </w:tc>
      </w:tr>
      <w:tr w14:paraId="48EC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979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828B">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A19E">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人防演练次数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8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987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F368">
            <w:pPr>
              <w:jc w:val="center"/>
              <w:rPr>
                <w:rFonts w:hint="eastAsia" w:ascii="微软雅黑" w:hAnsi="微软雅黑" w:eastAsia="微软雅黑" w:cs="微软雅黑"/>
                <w:i/>
                <w:iCs/>
                <w:color w:val="000000"/>
                <w:sz w:val="16"/>
                <w:szCs w:val="16"/>
                <w:u w:val="none"/>
              </w:rPr>
            </w:pPr>
          </w:p>
        </w:tc>
      </w:tr>
      <w:tr w14:paraId="6206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AE9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64414">
            <w:pPr>
              <w:jc w:val="center"/>
              <w:rPr>
                <w:rFonts w:hint="eastAsia" w:ascii="宋体" w:hAnsi="宋体" w:eastAsia="宋体" w:cs="宋体"/>
                <w:i w:val="0"/>
                <w:iCs w:val="0"/>
                <w:color w:val="000000"/>
                <w:sz w:val="18"/>
                <w:szCs w:val="18"/>
                <w:u w:val="none"/>
              </w:rPr>
            </w:pP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05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F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参训人员到位率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1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F5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2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C1311">
            <w:pPr>
              <w:jc w:val="center"/>
              <w:rPr>
                <w:rFonts w:hint="eastAsia" w:ascii="微软雅黑" w:hAnsi="微软雅黑" w:eastAsia="微软雅黑" w:cs="微软雅黑"/>
                <w:i/>
                <w:iCs/>
                <w:color w:val="000000"/>
                <w:sz w:val="16"/>
                <w:szCs w:val="16"/>
                <w:u w:val="none"/>
              </w:rPr>
            </w:pPr>
          </w:p>
        </w:tc>
      </w:tr>
      <w:tr w14:paraId="704B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FA2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7FD9">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F5B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培新达标率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9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0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529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E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2D7C">
            <w:pPr>
              <w:jc w:val="center"/>
              <w:rPr>
                <w:rFonts w:hint="eastAsia" w:ascii="微软雅黑" w:hAnsi="微软雅黑" w:eastAsia="微软雅黑" w:cs="微软雅黑"/>
                <w:i/>
                <w:iCs/>
                <w:color w:val="000000"/>
                <w:sz w:val="16"/>
                <w:szCs w:val="16"/>
                <w:u w:val="none"/>
              </w:rPr>
            </w:pPr>
          </w:p>
        </w:tc>
      </w:tr>
      <w:tr w14:paraId="6206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6C9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658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6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6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6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E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86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1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0BDB0">
            <w:pPr>
              <w:jc w:val="center"/>
              <w:rPr>
                <w:rFonts w:hint="eastAsia" w:ascii="微软雅黑" w:hAnsi="微软雅黑" w:eastAsia="微软雅黑" w:cs="微软雅黑"/>
                <w:i/>
                <w:iCs/>
                <w:color w:val="000000"/>
                <w:sz w:val="16"/>
                <w:szCs w:val="16"/>
                <w:u w:val="none"/>
              </w:rPr>
            </w:pPr>
          </w:p>
        </w:tc>
      </w:tr>
      <w:tr w14:paraId="1A76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5ED6E">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9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9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提升人民群众财产安全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8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C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09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36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824B5">
            <w:pPr>
              <w:jc w:val="center"/>
              <w:rPr>
                <w:rFonts w:hint="eastAsia" w:ascii="微软雅黑" w:hAnsi="微软雅黑" w:eastAsia="微软雅黑" w:cs="微软雅黑"/>
                <w:i/>
                <w:iCs/>
                <w:color w:val="000000"/>
                <w:sz w:val="16"/>
                <w:szCs w:val="16"/>
                <w:u w:val="none"/>
              </w:rPr>
            </w:pPr>
          </w:p>
        </w:tc>
      </w:tr>
      <w:tr w14:paraId="02AC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682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ADE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C6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增强群众安全意识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5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913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97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0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9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D4710">
            <w:pPr>
              <w:jc w:val="center"/>
              <w:rPr>
                <w:rFonts w:hint="eastAsia" w:ascii="微软雅黑" w:hAnsi="微软雅黑" w:eastAsia="微软雅黑" w:cs="微软雅黑"/>
                <w:i/>
                <w:iCs/>
                <w:color w:val="000000"/>
                <w:sz w:val="16"/>
                <w:szCs w:val="16"/>
                <w:u w:val="none"/>
              </w:rPr>
            </w:pPr>
          </w:p>
        </w:tc>
      </w:tr>
      <w:tr w14:paraId="2CB4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BAB4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F8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87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E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2E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8659E">
            <w:pPr>
              <w:jc w:val="center"/>
              <w:rPr>
                <w:rFonts w:hint="eastAsia" w:ascii="微软雅黑" w:hAnsi="微软雅黑" w:eastAsia="微软雅黑" w:cs="微软雅黑"/>
                <w:i/>
                <w:iCs/>
                <w:color w:val="000000"/>
                <w:sz w:val="16"/>
                <w:szCs w:val="16"/>
                <w:u w:val="none"/>
              </w:rPr>
            </w:pPr>
          </w:p>
        </w:tc>
      </w:tr>
      <w:tr w14:paraId="607E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40D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E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5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5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9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5D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A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5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66E77">
            <w:pPr>
              <w:jc w:val="center"/>
              <w:rPr>
                <w:rFonts w:hint="eastAsia" w:ascii="微软雅黑" w:hAnsi="微软雅黑" w:eastAsia="微软雅黑" w:cs="微软雅黑"/>
                <w:i/>
                <w:iCs/>
                <w:color w:val="000000"/>
                <w:sz w:val="16"/>
                <w:szCs w:val="16"/>
                <w:u w:val="none"/>
              </w:rPr>
            </w:pPr>
          </w:p>
        </w:tc>
      </w:tr>
      <w:tr w14:paraId="4F49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50A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D7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7D48C">
            <w:pPr>
              <w:rPr>
                <w:rFonts w:hint="eastAsia" w:ascii="宋体" w:hAnsi="宋体" w:eastAsia="宋体" w:cs="宋体"/>
                <w:i w:val="0"/>
                <w:iCs w:val="0"/>
                <w:color w:val="000000"/>
                <w:sz w:val="18"/>
                <w:szCs w:val="18"/>
                <w:u w:val="none"/>
              </w:rPr>
            </w:pPr>
          </w:p>
        </w:tc>
      </w:tr>
      <w:tr w14:paraId="49D1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9B613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本项目得分100分，人防工程维护费专项资金支出规划目标明确，实施方案和流程符合相关规定；在资金使用与管理上能够做到专户专帐管理，管理规范。</w:t>
            </w:r>
          </w:p>
        </w:tc>
      </w:tr>
      <w:tr w14:paraId="7F03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6AF7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一是政策宣传力度有待加强。二是在工作开展过程中部分环节繁琐，多次反复检查，牵扯太多精力。三是年初预算有待提高标准。</w:t>
            </w:r>
          </w:p>
        </w:tc>
      </w:tr>
      <w:tr w14:paraId="0118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63C9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加强政策的宣传力度，明确有关事项；创新工作方法，优化工作流程，提高工作效率，在防控矛盾和提高受益对象满意度上再下功夫，把这项惠民政策办好办实，这项惠民政策更上新的台阶。</w:t>
            </w:r>
          </w:p>
        </w:tc>
      </w:tr>
      <w:tr w14:paraId="0065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070D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4177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388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468ED92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25730F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227C5EE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D54B30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820040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76C85D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55208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7D2C35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B94FF5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D981850">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0026D07E">
            <w:pPr>
              <w:rPr>
                <w:rFonts w:hint="eastAsia" w:ascii="宋体" w:hAnsi="宋体" w:eastAsia="宋体" w:cs="宋体"/>
                <w:i w:val="0"/>
                <w:iCs w:val="0"/>
                <w:color w:val="000000"/>
                <w:sz w:val="18"/>
                <w:szCs w:val="18"/>
                <w:u w:val="none"/>
              </w:rPr>
            </w:pPr>
          </w:p>
        </w:tc>
      </w:tr>
      <w:tr w14:paraId="189A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F18C69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2CDF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A59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EE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51172523T000008461948-2023年法律顾问经费</w:t>
            </w:r>
          </w:p>
        </w:tc>
      </w:tr>
      <w:tr w14:paraId="5C49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92F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6E74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752489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BB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0ADF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090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FAB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E8E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062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60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5689">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09A5">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FA41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"为全镇居民提供法律服务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844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按照上级要求，村社区聘请法律顾问，及时为群众办理涉法咨询和涉法案件，积极宣传法律法规，协助开展普法教育。</w:t>
            </w:r>
          </w:p>
        </w:tc>
      </w:tr>
      <w:tr w14:paraId="4C8E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584A">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DE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458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对政府制定出台的、部门起草以政府名义出台的、镇制定出台的规范性文件进行了认真清理，实现了规范性文件“大瘦身”</w:t>
            </w:r>
          </w:p>
        </w:tc>
      </w:tr>
      <w:tr w14:paraId="1FA4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A8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AC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5A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A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47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C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0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93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163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7072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1C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7F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04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A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2AC9C">
            <w:pPr>
              <w:rPr>
                <w:rFonts w:hint="eastAsia" w:ascii="黑体" w:hAnsi="黑体" w:eastAsia="黑体" w:cs="黑体"/>
                <w:i/>
                <w:iCs/>
                <w:color w:val="000000"/>
                <w:sz w:val="18"/>
                <w:szCs w:val="18"/>
                <w:u w:val="none"/>
              </w:rPr>
            </w:pPr>
          </w:p>
        </w:tc>
      </w:tr>
      <w:tr w14:paraId="46FC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F69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64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B2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0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15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5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3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1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F8C6">
            <w:pPr>
              <w:rPr>
                <w:rFonts w:hint="eastAsia" w:ascii="黑体" w:hAnsi="黑体" w:eastAsia="黑体" w:cs="黑体"/>
                <w:i/>
                <w:iCs/>
                <w:color w:val="000000"/>
                <w:sz w:val="18"/>
                <w:szCs w:val="18"/>
                <w:u w:val="none"/>
              </w:rPr>
            </w:pPr>
          </w:p>
        </w:tc>
      </w:tr>
      <w:tr w14:paraId="7677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AF8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F5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D8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FE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7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8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25F8">
            <w:pPr>
              <w:rPr>
                <w:rFonts w:hint="eastAsia" w:ascii="黑体" w:hAnsi="黑体" w:eastAsia="黑体" w:cs="黑体"/>
                <w:i/>
                <w:iCs/>
                <w:color w:val="000000"/>
                <w:sz w:val="18"/>
                <w:szCs w:val="18"/>
                <w:u w:val="none"/>
              </w:rPr>
            </w:pPr>
          </w:p>
        </w:tc>
      </w:tr>
      <w:tr w14:paraId="2A00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B7D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C1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E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4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8F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8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A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3866">
            <w:pPr>
              <w:rPr>
                <w:rFonts w:hint="eastAsia" w:ascii="黑体" w:hAnsi="黑体" w:eastAsia="黑体" w:cs="黑体"/>
                <w:i/>
                <w:iCs/>
                <w:color w:val="000000"/>
                <w:sz w:val="18"/>
                <w:szCs w:val="18"/>
                <w:u w:val="none"/>
              </w:rPr>
            </w:pPr>
          </w:p>
        </w:tc>
      </w:tr>
      <w:tr w14:paraId="35F8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4BC6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BC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36D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182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D45C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CB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59B8">
            <w:pPr>
              <w:rPr>
                <w:rFonts w:hint="eastAsia" w:ascii="黑体" w:hAnsi="黑体" w:eastAsia="黑体" w:cs="黑体"/>
                <w:i/>
                <w:iCs/>
                <w:color w:val="000000"/>
                <w:sz w:val="18"/>
                <w:szCs w:val="18"/>
                <w:u w:val="none"/>
              </w:rPr>
            </w:pPr>
          </w:p>
        </w:tc>
      </w:tr>
      <w:tr w14:paraId="480C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1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10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23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C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6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9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3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DB2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8103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69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B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开展法律宣传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2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0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22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B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D23DE">
            <w:pPr>
              <w:jc w:val="center"/>
              <w:rPr>
                <w:rFonts w:hint="eastAsia" w:ascii="微软雅黑" w:hAnsi="微软雅黑" w:eastAsia="微软雅黑" w:cs="微软雅黑"/>
                <w:i/>
                <w:iCs/>
                <w:color w:val="000000"/>
                <w:sz w:val="16"/>
                <w:szCs w:val="16"/>
                <w:u w:val="none"/>
              </w:rPr>
            </w:pPr>
          </w:p>
        </w:tc>
      </w:tr>
      <w:tr w14:paraId="7FE0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8E7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BB0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62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解决法律宣传覆盖率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4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9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EF4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1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6BE4">
            <w:pPr>
              <w:jc w:val="center"/>
              <w:rPr>
                <w:rFonts w:hint="eastAsia" w:ascii="微软雅黑" w:hAnsi="微软雅黑" w:eastAsia="微软雅黑" w:cs="微软雅黑"/>
                <w:i/>
                <w:iCs/>
                <w:color w:val="000000"/>
                <w:sz w:val="16"/>
                <w:szCs w:val="16"/>
                <w:u w:val="none"/>
              </w:rPr>
            </w:pPr>
          </w:p>
        </w:tc>
      </w:tr>
      <w:tr w14:paraId="60DE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80F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C63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C2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B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开展法律咨询业务时限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A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A4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5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04AC4">
            <w:pPr>
              <w:jc w:val="center"/>
              <w:rPr>
                <w:rFonts w:hint="eastAsia" w:ascii="微软雅黑" w:hAnsi="微软雅黑" w:eastAsia="微软雅黑" w:cs="微软雅黑"/>
                <w:i/>
                <w:iCs/>
                <w:color w:val="000000"/>
                <w:sz w:val="16"/>
                <w:szCs w:val="16"/>
                <w:u w:val="none"/>
              </w:rPr>
            </w:pPr>
          </w:p>
        </w:tc>
      </w:tr>
      <w:tr w14:paraId="1A1A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EB1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62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8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基本法律常识知晓度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3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7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98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5F0A4">
            <w:pPr>
              <w:jc w:val="center"/>
              <w:rPr>
                <w:rFonts w:hint="eastAsia" w:ascii="微软雅黑" w:hAnsi="微软雅黑" w:eastAsia="微软雅黑" w:cs="微软雅黑"/>
                <w:i/>
                <w:iCs/>
                <w:color w:val="000000"/>
                <w:sz w:val="16"/>
                <w:szCs w:val="16"/>
                <w:u w:val="none"/>
              </w:rPr>
            </w:pPr>
          </w:p>
        </w:tc>
      </w:tr>
      <w:tr w14:paraId="498D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FC0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78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F8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9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D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2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BE28">
            <w:pPr>
              <w:jc w:val="center"/>
              <w:rPr>
                <w:rFonts w:hint="eastAsia" w:ascii="微软雅黑" w:hAnsi="微软雅黑" w:eastAsia="微软雅黑" w:cs="微软雅黑"/>
                <w:i/>
                <w:iCs/>
                <w:color w:val="000000"/>
                <w:sz w:val="16"/>
                <w:szCs w:val="16"/>
                <w:u w:val="none"/>
              </w:rPr>
            </w:pPr>
          </w:p>
        </w:tc>
      </w:tr>
      <w:tr w14:paraId="1903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8AF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37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7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C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法律宣传工作经费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F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23500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C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FCDC4">
            <w:pPr>
              <w:jc w:val="center"/>
              <w:rPr>
                <w:rFonts w:hint="eastAsia" w:ascii="微软雅黑" w:hAnsi="微软雅黑" w:eastAsia="微软雅黑" w:cs="微软雅黑"/>
                <w:i/>
                <w:iCs/>
                <w:color w:val="000000"/>
                <w:sz w:val="16"/>
                <w:szCs w:val="16"/>
                <w:u w:val="none"/>
              </w:rPr>
            </w:pPr>
          </w:p>
        </w:tc>
      </w:tr>
      <w:tr w14:paraId="6866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B9E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FFA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77DC9">
            <w:pPr>
              <w:rPr>
                <w:rFonts w:hint="eastAsia" w:ascii="宋体" w:hAnsi="宋体" w:eastAsia="宋体" w:cs="宋体"/>
                <w:i w:val="0"/>
                <w:iCs w:val="0"/>
                <w:color w:val="000000"/>
                <w:sz w:val="18"/>
                <w:szCs w:val="18"/>
                <w:u w:val="none"/>
              </w:rPr>
            </w:pPr>
          </w:p>
        </w:tc>
      </w:tr>
      <w:tr w14:paraId="25AF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B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72B84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严格按照有关政府法律顾问专项经费的使用管理规定，通过对政府法律顾问专项经费的监督管理，做到专款专用，保障司法正常业务开支需求。执行绩效评价报告编报要求，对项目资金投入使用进行监督管理。</w:t>
            </w:r>
          </w:p>
        </w:tc>
      </w:tr>
      <w:tr w14:paraId="31E0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4BD1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 基本法律常识知晓度有待提高</w:t>
            </w:r>
          </w:p>
        </w:tc>
      </w:tr>
      <w:tr w14:paraId="0F91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3A6A5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继续坚持良好的工作作风，做好普法、法律援助工作，为人民群众服务，提高基本法律常识知晓度</w:t>
            </w:r>
          </w:p>
        </w:tc>
      </w:tr>
      <w:tr w14:paraId="6A9B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84F7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142B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37DA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CB8F35B">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D1FEEB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13B457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41792F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A1CC1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996A4A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46985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8A7A6B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E5786F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8F6303E">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0C02D10E">
            <w:pPr>
              <w:rPr>
                <w:rFonts w:hint="eastAsia" w:ascii="宋体" w:hAnsi="宋体" w:eastAsia="宋体" w:cs="宋体"/>
                <w:i w:val="0"/>
                <w:iCs w:val="0"/>
                <w:color w:val="000000"/>
                <w:sz w:val="18"/>
                <w:szCs w:val="18"/>
                <w:u w:val="none"/>
              </w:rPr>
            </w:pPr>
          </w:p>
        </w:tc>
      </w:tr>
      <w:tr w14:paraId="2434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912418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3707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09E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2F1F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51172523T000008462118-2023年乡村振兴村工作经费</w:t>
            </w:r>
          </w:p>
        </w:tc>
      </w:tr>
      <w:tr w14:paraId="236E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EAA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075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2E2674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6C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7521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B0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25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2D3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6EB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57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BDB4">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501A">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50CE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"巩固脱坡难攻坚成果，按时完成乡村振兴工作任务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r>
              <w:rPr>
                <w:rStyle w:val="29"/>
                <w:lang w:val="en-US" w:eastAsia="zh-CN" w:bidi="ar"/>
              </w:rPr>
              <w:br w:type="textWrapping"/>
            </w:r>
            <w:r>
              <w:rPr>
                <w:rStyle w:val="28"/>
                <w:rFonts w:eastAsia="宋体"/>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D13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"巩固脱坡难攻坚成果，按时完成乡村振兴工作任务</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5EB8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FD37">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6C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EC54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巩固脱坡难攻坚成果，按时完成乡村振兴工作任务</w:t>
            </w:r>
          </w:p>
        </w:tc>
      </w:tr>
      <w:tr w14:paraId="76D3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C9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FE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A1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97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A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B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2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53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ACA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03E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50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E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1C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F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F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676B3">
            <w:pPr>
              <w:rPr>
                <w:rFonts w:hint="eastAsia" w:ascii="黑体" w:hAnsi="黑体" w:eastAsia="黑体" w:cs="黑体"/>
                <w:i/>
                <w:iCs/>
                <w:color w:val="000000"/>
                <w:sz w:val="18"/>
                <w:szCs w:val="18"/>
                <w:u w:val="none"/>
              </w:rPr>
            </w:pPr>
          </w:p>
        </w:tc>
      </w:tr>
      <w:tr w14:paraId="3A0C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EE4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16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9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3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DC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2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C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A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2AF1">
            <w:pPr>
              <w:rPr>
                <w:rFonts w:hint="eastAsia" w:ascii="黑体" w:hAnsi="黑体" w:eastAsia="黑体" w:cs="黑体"/>
                <w:i/>
                <w:iCs/>
                <w:color w:val="000000"/>
                <w:sz w:val="18"/>
                <w:szCs w:val="18"/>
                <w:u w:val="none"/>
              </w:rPr>
            </w:pPr>
          </w:p>
        </w:tc>
      </w:tr>
      <w:tr w14:paraId="25C0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72F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D9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7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4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11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1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0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CE19">
            <w:pPr>
              <w:rPr>
                <w:rFonts w:hint="eastAsia" w:ascii="黑体" w:hAnsi="黑体" w:eastAsia="黑体" w:cs="黑体"/>
                <w:i/>
                <w:iCs/>
                <w:color w:val="000000"/>
                <w:sz w:val="18"/>
                <w:szCs w:val="18"/>
                <w:u w:val="none"/>
              </w:rPr>
            </w:pPr>
          </w:p>
        </w:tc>
      </w:tr>
      <w:tr w14:paraId="4848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E20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F9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A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C8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3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A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4120C">
            <w:pPr>
              <w:rPr>
                <w:rFonts w:hint="eastAsia" w:ascii="黑体" w:hAnsi="黑体" w:eastAsia="黑体" w:cs="黑体"/>
                <w:i/>
                <w:iCs/>
                <w:color w:val="000000"/>
                <w:sz w:val="18"/>
                <w:szCs w:val="18"/>
                <w:u w:val="none"/>
              </w:rPr>
            </w:pPr>
          </w:p>
        </w:tc>
      </w:tr>
      <w:tr w14:paraId="6994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963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81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327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385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AA98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C43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2410">
            <w:pPr>
              <w:rPr>
                <w:rFonts w:hint="eastAsia" w:ascii="黑体" w:hAnsi="黑体" w:eastAsia="黑体" w:cs="黑体"/>
                <w:i/>
                <w:iCs/>
                <w:color w:val="000000"/>
                <w:sz w:val="18"/>
                <w:szCs w:val="18"/>
                <w:u w:val="none"/>
              </w:rPr>
            </w:pPr>
          </w:p>
        </w:tc>
      </w:tr>
      <w:tr w14:paraId="7C49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BF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7B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B6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C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E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E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3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0A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F4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1BCB0">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54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ED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C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巩固脱贫攻坚成果村个数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0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09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F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E113">
            <w:pPr>
              <w:jc w:val="center"/>
              <w:rPr>
                <w:rFonts w:hint="eastAsia" w:ascii="微软雅黑" w:hAnsi="微软雅黑" w:eastAsia="微软雅黑" w:cs="微软雅黑"/>
                <w:i/>
                <w:iCs/>
                <w:color w:val="000000"/>
                <w:sz w:val="16"/>
                <w:szCs w:val="16"/>
                <w:u w:val="none"/>
              </w:rPr>
            </w:pPr>
          </w:p>
        </w:tc>
      </w:tr>
      <w:tr w14:paraId="15EA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B3AD">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852B">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E5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B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村容村貌明显改善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8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1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E3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8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A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65FE">
            <w:pPr>
              <w:jc w:val="center"/>
              <w:rPr>
                <w:rFonts w:hint="eastAsia" w:ascii="微软雅黑" w:hAnsi="微软雅黑" w:eastAsia="微软雅黑" w:cs="微软雅黑"/>
                <w:i/>
                <w:iCs/>
                <w:color w:val="000000"/>
                <w:sz w:val="16"/>
                <w:szCs w:val="16"/>
                <w:u w:val="none"/>
              </w:rPr>
            </w:pPr>
          </w:p>
        </w:tc>
      </w:tr>
      <w:tr w14:paraId="12E3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EE8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2FF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20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乡村振兴建设时限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431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CDBA1">
            <w:pPr>
              <w:jc w:val="center"/>
              <w:rPr>
                <w:rFonts w:hint="eastAsia" w:ascii="微软雅黑" w:hAnsi="微软雅黑" w:eastAsia="微软雅黑" w:cs="微软雅黑"/>
                <w:i/>
                <w:iCs/>
                <w:color w:val="000000"/>
                <w:sz w:val="16"/>
                <w:szCs w:val="16"/>
                <w:u w:val="none"/>
              </w:rPr>
            </w:pPr>
          </w:p>
        </w:tc>
      </w:tr>
      <w:tr w14:paraId="2C07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FA42">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9F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72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户居环境改善率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9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A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7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3D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6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EFE12">
            <w:pPr>
              <w:jc w:val="center"/>
              <w:rPr>
                <w:rFonts w:hint="eastAsia" w:ascii="微软雅黑" w:hAnsi="微软雅黑" w:eastAsia="微软雅黑" w:cs="微软雅黑"/>
                <w:i/>
                <w:iCs/>
                <w:color w:val="000000"/>
                <w:sz w:val="16"/>
                <w:szCs w:val="16"/>
                <w:u w:val="none"/>
              </w:rPr>
            </w:pPr>
          </w:p>
        </w:tc>
      </w:tr>
      <w:tr w14:paraId="6459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119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F99B">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99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群众生活质量好转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C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A55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2042">
            <w:pPr>
              <w:jc w:val="center"/>
              <w:rPr>
                <w:rFonts w:hint="eastAsia" w:ascii="微软雅黑" w:hAnsi="微软雅黑" w:eastAsia="微软雅黑" w:cs="微软雅黑"/>
                <w:i/>
                <w:iCs/>
                <w:color w:val="000000"/>
                <w:sz w:val="16"/>
                <w:szCs w:val="16"/>
                <w:u w:val="none"/>
              </w:rPr>
            </w:pPr>
          </w:p>
        </w:tc>
      </w:tr>
      <w:tr w14:paraId="2352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B90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5D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19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C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E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8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4595C">
            <w:pPr>
              <w:jc w:val="center"/>
              <w:rPr>
                <w:rFonts w:hint="eastAsia" w:ascii="微软雅黑" w:hAnsi="微软雅黑" w:eastAsia="微软雅黑" w:cs="微软雅黑"/>
                <w:i/>
                <w:iCs/>
                <w:color w:val="000000"/>
                <w:sz w:val="16"/>
                <w:szCs w:val="16"/>
                <w:u w:val="none"/>
              </w:rPr>
            </w:pPr>
          </w:p>
        </w:tc>
      </w:tr>
      <w:tr w14:paraId="10EB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D9F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CA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07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5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乡村振兴工作经费投入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1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F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9B6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E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0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6836">
            <w:pPr>
              <w:jc w:val="center"/>
              <w:rPr>
                <w:rFonts w:hint="eastAsia" w:ascii="微软雅黑" w:hAnsi="微软雅黑" w:eastAsia="微软雅黑" w:cs="微软雅黑"/>
                <w:i/>
                <w:iCs/>
                <w:color w:val="000000"/>
                <w:sz w:val="16"/>
                <w:szCs w:val="16"/>
                <w:u w:val="none"/>
              </w:rPr>
            </w:pPr>
          </w:p>
        </w:tc>
      </w:tr>
      <w:tr w14:paraId="0188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C63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1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5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FCE1">
            <w:pPr>
              <w:rPr>
                <w:rFonts w:hint="eastAsia" w:ascii="宋体" w:hAnsi="宋体" w:eastAsia="宋体" w:cs="宋体"/>
                <w:i w:val="0"/>
                <w:iCs w:val="0"/>
                <w:color w:val="000000"/>
                <w:sz w:val="18"/>
                <w:szCs w:val="18"/>
                <w:u w:val="none"/>
              </w:rPr>
            </w:pPr>
          </w:p>
        </w:tc>
      </w:tr>
      <w:tr w14:paraId="101E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34603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该项目得分98分，脱贫村巩固脱贫攻坚成果</w:t>
            </w:r>
          </w:p>
        </w:tc>
      </w:tr>
      <w:tr w14:paraId="0F5F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5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FF4E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有个别地方有返贫现象</w:t>
            </w:r>
          </w:p>
        </w:tc>
      </w:tr>
      <w:tr w14:paraId="6443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91E54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继续巩固脱贫攻坚成果</w:t>
            </w:r>
          </w:p>
        </w:tc>
      </w:tr>
      <w:tr w14:paraId="01F7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C886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0BA2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4D4F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D0BBA6D">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AEAB00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01303D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0467C8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EA3120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224084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1E992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D31693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5E670A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A8EB4E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9F32FD1">
            <w:pPr>
              <w:rPr>
                <w:rFonts w:hint="eastAsia" w:ascii="宋体" w:hAnsi="宋体" w:eastAsia="宋体" w:cs="宋体"/>
                <w:i w:val="0"/>
                <w:iCs w:val="0"/>
                <w:color w:val="000000"/>
                <w:sz w:val="18"/>
                <w:szCs w:val="18"/>
                <w:u w:val="none"/>
              </w:rPr>
            </w:pPr>
          </w:p>
        </w:tc>
      </w:tr>
      <w:tr w14:paraId="73A2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F31170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53AE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525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AEF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51172523T000008462141-2023年村(社区)党建工作经费</w:t>
            </w:r>
          </w:p>
        </w:tc>
      </w:tr>
      <w:tr w14:paraId="58A0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9EA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0176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371726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5DE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61CD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99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2E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7B7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9249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583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DF9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9A92">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0C6D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1确保各村（社区）党建工作经费投入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2促进各村(社区）党建工作有序开展。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5F1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1确保各村（社区）党建工作经费投入</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2促进各村(社区）党建工作有序开展。</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3DC6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AF4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2D8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4111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培训党员、入党积极分子、发展对象和党务工作者等；2.订阅或购买用于开展党员教育的报刊、资料、音像制品和设备；3.表彰先进基层党组织、优秀共产党员和优秀党务工作者；4.走访慰问困难党员；5.党员活动阵地建设与党组织规范化建设，维护党组织活动场所及设施；6.召开党内会议，开展党的组织生活、主题活动和专项活动；7.确保所属基层党组织正常开展工作和活动的必要支出；8.其他有关村（社区）党建工作的必要支出</w:t>
            </w:r>
          </w:p>
        </w:tc>
      </w:tr>
      <w:tr w14:paraId="014E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0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35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99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A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9A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8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4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3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1A3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86F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C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3B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3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C9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0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F24F0">
            <w:pPr>
              <w:rPr>
                <w:rFonts w:hint="eastAsia" w:ascii="黑体" w:hAnsi="黑体" w:eastAsia="黑体" w:cs="黑体"/>
                <w:i/>
                <w:iCs/>
                <w:color w:val="000000"/>
                <w:sz w:val="18"/>
                <w:szCs w:val="18"/>
                <w:u w:val="none"/>
              </w:rPr>
            </w:pPr>
          </w:p>
        </w:tc>
      </w:tr>
      <w:tr w14:paraId="0827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37F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D3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A7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2E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5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B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A74B">
            <w:pPr>
              <w:rPr>
                <w:rFonts w:hint="eastAsia" w:ascii="黑体" w:hAnsi="黑体" w:eastAsia="黑体" w:cs="黑体"/>
                <w:i/>
                <w:iCs/>
                <w:color w:val="000000"/>
                <w:sz w:val="18"/>
                <w:szCs w:val="18"/>
                <w:u w:val="none"/>
              </w:rPr>
            </w:pPr>
          </w:p>
        </w:tc>
      </w:tr>
      <w:tr w14:paraId="1A1D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CB7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9A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45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45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4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2BA1">
            <w:pPr>
              <w:rPr>
                <w:rFonts w:hint="eastAsia" w:ascii="黑体" w:hAnsi="黑体" w:eastAsia="黑体" w:cs="黑体"/>
                <w:i/>
                <w:iCs/>
                <w:color w:val="000000"/>
                <w:sz w:val="18"/>
                <w:szCs w:val="18"/>
                <w:u w:val="none"/>
              </w:rPr>
            </w:pPr>
          </w:p>
        </w:tc>
      </w:tr>
      <w:tr w14:paraId="544D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66D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6B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4A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A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9A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3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D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0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A936">
            <w:pPr>
              <w:rPr>
                <w:rFonts w:hint="eastAsia" w:ascii="黑体" w:hAnsi="黑体" w:eastAsia="黑体" w:cs="黑体"/>
                <w:i/>
                <w:iCs/>
                <w:color w:val="000000"/>
                <w:sz w:val="18"/>
                <w:szCs w:val="18"/>
                <w:u w:val="none"/>
              </w:rPr>
            </w:pPr>
          </w:p>
        </w:tc>
      </w:tr>
      <w:tr w14:paraId="07F6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C7E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FC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E4C5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DB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B5DF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0F3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3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B0C8">
            <w:pPr>
              <w:rPr>
                <w:rFonts w:hint="eastAsia" w:ascii="黑体" w:hAnsi="黑体" w:eastAsia="黑体" w:cs="黑体"/>
                <w:i/>
                <w:iCs/>
                <w:color w:val="000000"/>
                <w:sz w:val="18"/>
                <w:szCs w:val="18"/>
                <w:u w:val="none"/>
              </w:rPr>
            </w:pPr>
          </w:p>
        </w:tc>
      </w:tr>
      <w:tr w14:paraId="6909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69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13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D7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A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8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A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62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D1D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53799">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F6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7A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开展上党课，党员教育活动日组织生活会次数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A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B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1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DE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2EAE7">
            <w:pPr>
              <w:jc w:val="center"/>
              <w:rPr>
                <w:rFonts w:hint="eastAsia" w:ascii="微软雅黑" w:hAnsi="微软雅黑" w:eastAsia="微软雅黑" w:cs="微软雅黑"/>
                <w:i/>
                <w:iCs/>
                <w:color w:val="000000"/>
                <w:sz w:val="16"/>
                <w:szCs w:val="16"/>
                <w:u w:val="none"/>
              </w:rPr>
            </w:pPr>
          </w:p>
        </w:tc>
      </w:tr>
      <w:tr w14:paraId="1178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AD2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AFF7D">
            <w:pPr>
              <w:jc w:val="center"/>
              <w:rPr>
                <w:rFonts w:hint="eastAsia" w:ascii="宋体" w:hAnsi="宋体" w:eastAsia="宋体" w:cs="宋体"/>
                <w:i w:val="0"/>
                <w:iCs w:val="0"/>
                <w:color w:val="000000"/>
                <w:sz w:val="18"/>
                <w:szCs w:val="18"/>
                <w:u w:val="none"/>
              </w:rPr>
            </w:pP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CC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9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开展党员大学习，大讨论活动次数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D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3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11C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9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2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99D78">
            <w:pPr>
              <w:jc w:val="center"/>
              <w:rPr>
                <w:rFonts w:hint="eastAsia" w:ascii="微软雅黑" w:hAnsi="微软雅黑" w:eastAsia="微软雅黑" w:cs="微软雅黑"/>
                <w:i/>
                <w:iCs/>
                <w:color w:val="000000"/>
                <w:sz w:val="16"/>
                <w:szCs w:val="16"/>
                <w:u w:val="none"/>
              </w:rPr>
            </w:pPr>
          </w:p>
        </w:tc>
      </w:tr>
      <w:tr w14:paraId="6187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7E1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EF9F">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A048">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2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党员干部政治思想合格率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4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E2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7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766B1">
            <w:pPr>
              <w:jc w:val="center"/>
              <w:rPr>
                <w:rFonts w:hint="eastAsia" w:ascii="微软雅黑" w:hAnsi="微软雅黑" w:eastAsia="微软雅黑" w:cs="微软雅黑"/>
                <w:i/>
                <w:iCs/>
                <w:color w:val="000000"/>
                <w:sz w:val="16"/>
                <w:szCs w:val="16"/>
                <w:u w:val="none"/>
              </w:rPr>
            </w:pPr>
          </w:p>
        </w:tc>
      </w:tr>
      <w:tr w14:paraId="67EA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8BD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E43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E9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活动开展完成时限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0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E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DC3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A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D42CC">
            <w:pPr>
              <w:jc w:val="center"/>
              <w:rPr>
                <w:rFonts w:hint="eastAsia" w:ascii="微软雅黑" w:hAnsi="微软雅黑" w:eastAsia="微软雅黑" w:cs="微软雅黑"/>
                <w:i/>
                <w:iCs/>
                <w:color w:val="000000"/>
                <w:sz w:val="16"/>
                <w:szCs w:val="16"/>
                <w:u w:val="none"/>
              </w:rPr>
            </w:pPr>
          </w:p>
        </w:tc>
      </w:tr>
      <w:tr w14:paraId="522E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74F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A7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B8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3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发展党组织战斗堡垒作用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E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D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B3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5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147B5">
            <w:pPr>
              <w:jc w:val="center"/>
              <w:rPr>
                <w:rFonts w:hint="eastAsia" w:ascii="微软雅黑" w:hAnsi="微软雅黑" w:eastAsia="微软雅黑" w:cs="微软雅黑"/>
                <w:i/>
                <w:iCs/>
                <w:color w:val="000000"/>
                <w:sz w:val="16"/>
                <w:szCs w:val="16"/>
                <w:u w:val="none"/>
              </w:rPr>
            </w:pPr>
          </w:p>
        </w:tc>
      </w:tr>
      <w:tr w14:paraId="3A88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449F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B36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E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党员干部受益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7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56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5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E425E">
            <w:pPr>
              <w:jc w:val="center"/>
              <w:rPr>
                <w:rFonts w:hint="eastAsia" w:ascii="微软雅黑" w:hAnsi="微软雅黑" w:eastAsia="微软雅黑" w:cs="微软雅黑"/>
                <w:i/>
                <w:iCs/>
                <w:color w:val="000000"/>
                <w:sz w:val="16"/>
                <w:szCs w:val="16"/>
                <w:u w:val="none"/>
              </w:rPr>
            </w:pPr>
          </w:p>
        </w:tc>
      </w:tr>
      <w:tr w14:paraId="798B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DE59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70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84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C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B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5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1C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F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2710C">
            <w:pPr>
              <w:jc w:val="center"/>
              <w:rPr>
                <w:rFonts w:hint="eastAsia" w:ascii="微软雅黑" w:hAnsi="微软雅黑" w:eastAsia="微软雅黑" w:cs="微软雅黑"/>
                <w:i/>
                <w:iCs/>
                <w:color w:val="000000"/>
                <w:sz w:val="16"/>
                <w:szCs w:val="16"/>
                <w:u w:val="none"/>
              </w:rPr>
            </w:pPr>
          </w:p>
        </w:tc>
      </w:tr>
      <w:tr w14:paraId="6C77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554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43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5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6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1AE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3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75433">
            <w:pPr>
              <w:jc w:val="center"/>
              <w:rPr>
                <w:rFonts w:hint="eastAsia" w:ascii="微软雅黑" w:hAnsi="微软雅黑" w:eastAsia="微软雅黑" w:cs="微软雅黑"/>
                <w:i/>
                <w:iCs/>
                <w:color w:val="000000"/>
                <w:sz w:val="16"/>
                <w:szCs w:val="16"/>
                <w:u w:val="none"/>
              </w:rPr>
            </w:pPr>
          </w:p>
        </w:tc>
      </w:tr>
      <w:tr w14:paraId="550C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DAB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0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C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D703">
            <w:pPr>
              <w:rPr>
                <w:rFonts w:hint="eastAsia" w:ascii="宋体" w:hAnsi="宋体" w:eastAsia="宋体" w:cs="宋体"/>
                <w:i w:val="0"/>
                <w:iCs w:val="0"/>
                <w:color w:val="000000"/>
                <w:sz w:val="18"/>
                <w:szCs w:val="18"/>
                <w:u w:val="none"/>
              </w:rPr>
            </w:pPr>
          </w:p>
        </w:tc>
      </w:tr>
      <w:tr w14:paraId="7B7D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BCA4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得分98分，各个项目均按照上级相关部门要求进行，项目决策正确、项目管理合理、项目完成符合要求、项目的完成效果良好；项目按规范化建设标准及时解决社区办公场所缺乏的问题，确保为民服务各项工作正常开展，辖区群众对社区的服务满意度大幅提高</w:t>
            </w:r>
          </w:p>
        </w:tc>
      </w:tr>
      <w:tr w14:paraId="2098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7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A85B7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村（社区）党建工作还存在农村党员党性不足，个别党员干部模范带头作用差，深入开展大学习大讨论活动还不全面，党员干部违纪违规现象在一些地方和领域时有发现，党风廉政建设群众满意度还有一定的差距</w:t>
            </w:r>
          </w:p>
        </w:tc>
      </w:tr>
      <w:tr w14:paraId="5D7D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5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A1367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1、进一步加强村（社区）农村党员党性教育，提高他们的模范带头作用，</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2、进一步开展大学习大讨论活动，改造党员干部为人民服务的世界观，</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3，全面深入开展党群、干群一家亲活动，密切党群、干群关系，进一步提高社会和群众的满意度。</w:t>
            </w:r>
          </w:p>
        </w:tc>
      </w:tr>
      <w:tr w14:paraId="472F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FF19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9D66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467D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DD413F4">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E38925E">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508FC8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3AC9C6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657D1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13259F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53C512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9C2198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872F1E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8D7712C">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5A9EB2F2">
            <w:pPr>
              <w:rPr>
                <w:rFonts w:hint="eastAsia" w:ascii="宋体" w:hAnsi="宋体" w:eastAsia="宋体" w:cs="宋体"/>
                <w:i w:val="0"/>
                <w:iCs w:val="0"/>
                <w:color w:val="000000"/>
                <w:sz w:val="18"/>
                <w:szCs w:val="18"/>
                <w:u w:val="none"/>
              </w:rPr>
            </w:pPr>
          </w:p>
        </w:tc>
      </w:tr>
      <w:tr w14:paraId="37FD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A67747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53DA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FBF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A3FE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51172523T000008462269-2023年服务群众专项工作经费</w:t>
            </w:r>
          </w:p>
        </w:tc>
      </w:tr>
      <w:tr w14:paraId="3A07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3BA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10E3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3CD28A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CF1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59EC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B61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A42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176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3ED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D7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6940">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E250">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98C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确保各类为民服务活动开展，确保一些公共设施和服务设施维护，保障村社区服务群众工作正常运行，确保各村社区道路畅通，环境干净整洁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D859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确保各类为民服务活动开展，确保一些公共设施和服务设施维护，保障村社区服务群众工作正常运行，确保各村社区道路畅通，环境干净整洁</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3349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5D6B">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18A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6F14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渠县人民政府等上级机关关于村（社区）服务群众工作安排，为群众办实事、解决难题，具体包括村（社区）公共设施建设维护，开展各类为民服务活动，确保便民服务场所、服务设施的正常使用、维护，解决好村社区群众迫切需要解决的各类服务事项，保障村（社区）服务群众工作正常运行，确保各村（社区）安全、安定、道路通畅、环境干净优美、村民办事方便快捷。</w:t>
            </w:r>
          </w:p>
        </w:tc>
      </w:tr>
      <w:tr w14:paraId="7F22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7B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08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BB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80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4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C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7E9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EBC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D6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0C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2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8E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A9AB7">
            <w:pPr>
              <w:rPr>
                <w:rFonts w:hint="eastAsia" w:ascii="黑体" w:hAnsi="黑体" w:eastAsia="黑体" w:cs="黑体"/>
                <w:i/>
                <w:iCs/>
                <w:color w:val="000000"/>
                <w:sz w:val="18"/>
                <w:szCs w:val="18"/>
                <w:u w:val="none"/>
              </w:rPr>
            </w:pPr>
          </w:p>
        </w:tc>
      </w:tr>
      <w:tr w14:paraId="448E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4B53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73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B7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89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02485">
            <w:pPr>
              <w:rPr>
                <w:rFonts w:hint="eastAsia" w:ascii="黑体" w:hAnsi="黑体" w:eastAsia="黑体" w:cs="黑体"/>
                <w:i/>
                <w:iCs/>
                <w:color w:val="000000"/>
                <w:sz w:val="18"/>
                <w:szCs w:val="18"/>
                <w:u w:val="none"/>
              </w:rPr>
            </w:pPr>
          </w:p>
        </w:tc>
      </w:tr>
      <w:tr w14:paraId="41CD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4B3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EB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DA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D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0B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54DC">
            <w:pPr>
              <w:rPr>
                <w:rFonts w:hint="eastAsia" w:ascii="黑体" w:hAnsi="黑体" w:eastAsia="黑体" w:cs="黑体"/>
                <w:i/>
                <w:iCs/>
                <w:color w:val="000000"/>
                <w:sz w:val="18"/>
                <w:szCs w:val="18"/>
                <w:u w:val="none"/>
              </w:rPr>
            </w:pPr>
          </w:p>
        </w:tc>
      </w:tr>
      <w:tr w14:paraId="4996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785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31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78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7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14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1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8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D4FB">
            <w:pPr>
              <w:rPr>
                <w:rFonts w:hint="eastAsia" w:ascii="黑体" w:hAnsi="黑体" w:eastAsia="黑体" w:cs="黑体"/>
                <w:i/>
                <w:iCs/>
                <w:color w:val="000000"/>
                <w:sz w:val="18"/>
                <w:szCs w:val="18"/>
                <w:u w:val="none"/>
              </w:rPr>
            </w:pPr>
          </w:p>
        </w:tc>
      </w:tr>
      <w:tr w14:paraId="5F05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183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E2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99C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7DD">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186A2">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F7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8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BC33C">
            <w:pPr>
              <w:rPr>
                <w:rFonts w:hint="eastAsia" w:ascii="黑体" w:hAnsi="黑体" w:eastAsia="黑体" w:cs="黑体"/>
                <w:i/>
                <w:iCs/>
                <w:color w:val="000000"/>
                <w:sz w:val="18"/>
                <w:szCs w:val="18"/>
                <w:u w:val="none"/>
              </w:rPr>
            </w:pPr>
          </w:p>
        </w:tc>
      </w:tr>
      <w:tr w14:paraId="516F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4F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F0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77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D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5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5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E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6B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BB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AEFD">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83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DA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聘请管理人员人数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0C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B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C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0829C">
            <w:pPr>
              <w:jc w:val="center"/>
              <w:rPr>
                <w:rFonts w:hint="eastAsia" w:ascii="微软雅黑" w:hAnsi="微软雅黑" w:eastAsia="微软雅黑" w:cs="微软雅黑"/>
                <w:i/>
                <w:iCs/>
                <w:color w:val="000000"/>
                <w:sz w:val="16"/>
                <w:szCs w:val="16"/>
                <w:u w:val="none"/>
              </w:rPr>
            </w:pPr>
          </w:p>
        </w:tc>
      </w:tr>
      <w:tr w14:paraId="3E10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97822">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D86A">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2C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6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聘请人员的办事效率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0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7B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6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D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1640F">
            <w:pPr>
              <w:jc w:val="center"/>
              <w:rPr>
                <w:rFonts w:hint="eastAsia" w:ascii="微软雅黑" w:hAnsi="微软雅黑" w:eastAsia="微软雅黑" w:cs="微软雅黑"/>
                <w:i/>
                <w:iCs/>
                <w:color w:val="000000"/>
                <w:sz w:val="16"/>
                <w:szCs w:val="16"/>
                <w:u w:val="none"/>
              </w:rPr>
            </w:pPr>
          </w:p>
        </w:tc>
      </w:tr>
      <w:tr w14:paraId="32B8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CD7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05C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27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群众需求办事项的办理及时率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B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D1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8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00CBA">
            <w:pPr>
              <w:jc w:val="center"/>
              <w:rPr>
                <w:rFonts w:hint="eastAsia" w:ascii="微软雅黑" w:hAnsi="微软雅黑" w:eastAsia="微软雅黑" w:cs="微软雅黑"/>
                <w:i/>
                <w:iCs/>
                <w:color w:val="000000"/>
                <w:sz w:val="16"/>
                <w:szCs w:val="16"/>
                <w:u w:val="none"/>
              </w:rPr>
            </w:pPr>
          </w:p>
        </w:tc>
      </w:tr>
      <w:tr w14:paraId="4D08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FFCE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E2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1E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解决群众办事不出村，社，户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B0A0">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85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优良中低差</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E41BB">
            <w:pPr>
              <w:jc w:val="center"/>
              <w:rPr>
                <w:rFonts w:hint="eastAsia" w:ascii="微软雅黑" w:hAnsi="微软雅黑" w:eastAsia="微软雅黑" w:cs="微软雅黑"/>
                <w:i/>
                <w:iCs/>
                <w:color w:val="000000"/>
                <w:sz w:val="16"/>
                <w:szCs w:val="16"/>
                <w:u w:val="none"/>
              </w:rPr>
            </w:pPr>
          </w:p>
        </w:tc>
      </w:tr>
      <w:tr w14:paraId="7C73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C666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18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83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9C4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E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B922F">
            <w:pPr>
              <w:jc w:val="center"/>
              <w:rPr>
                <w:rFonts w:hint="eastAsia" w:ascii="微软雅黑" w:hAnsi="微软雅黑" w:eastAsia="微软雅黑" w:cs="微软雅黑"/>
                <w:i/>
                <w:iCs/>
                <w:color w:val="000000"/>
                <w:sz w:val="16"/>
                <w:szCs w:val="16"/>
                <w:u w:val="none"/>
              </w:rPr>
            </w:pPr>
          </w:p>
        </w:tc>
      </w:tr>
      <w:tr w14:paraId="3639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AFF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8A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35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6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9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47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C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676CD">
            <w:pPr>
              <w:jc w:val="center"/>
              <w:rPr>
                <w:rFonts w:hint="eastAsia" w:ascii="微软雅黑" w:hAnsi="微软雅黑" w:eastAsia="微软雅黑" w:cs="微软雅黑"/>
                <w:i/>
                <w:iCs/>
                <w:color w:val="000000"/>
                <w:sz w:val="16"/>
                <w:szCs w:val="16"/>
                <w:u w:val="none"/>
              </w:rPr>
            </w:pPr>
          </w:p>
        </w:tc>
      </w:tr>
      <w:tr w14:paraId="16C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D5E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44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44AB4">
            <w:pPr>
              <w:rPr>
                <w:rFonts w:hint="eastAsia" w:ascii="宋体" w:hAnsi="宋体" w:eastAsia="宋体" w:cs="宋体"/>
                <w:i w:val="0"/>
                <w:iCs w:val="0"/>
                <w:color w:val="000000"/>
                <w:sz w:val="18"/>
                <w:szCs w:val="18"/>
                <w:u w:val="none"/>
              </w:rPr>
            </w:pPr>
          </w:p>
        </w:tc>
      </w:tr>
      <w:tr w14:paraId="7EC9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B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4DD372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本项目自评得分98分，严格控制成本，提高了村（社区）服务群众工作效益，保质保量按时完成了村（社区）服务群众任务，安全安定、道路畅通、环境干净优美、村民办事方便快捷，</w:t>
            </w:r>
          </w:p>
        </w:tc>
      </w:tr>
      <w:tr w14:paraId="6833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5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19D66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还存在专职管理人员不足，村（社区）服务群众工作个别地方程序不规范、资料不齐全、项目实施不准确、资金使用不够对路，监督力度还需进一步提高，项目政策宣传不理想，群众满意度还有一定的差距。</w:t>
            </w:r>
          </w:p>
        </w:tc>
      </w:tr>
      <w:tr w14:paraId="386E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7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E7572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1、加排高素质的专职管理人员，提高项目实施的管理力度。</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2、加强村组干部服务群众项目实施的业务培训，提高项目资金的使用水平。</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3、进一步加大服务群众项目实施的检查力度，降低项目资金违纪违规率。4、全面深入开展党群、干群一家亲活动，把村（社区）服务群众项目政策宣传到位，进一步提高社会和群众的满意度</w:t>
            </w:r>
          </w:p>
        </w:tc>
      </w:tr>
      <w:tr w14:paraId="15DD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B58E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9A50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1D57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DEEED24">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BAE6CC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0E6533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BE0B54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9ABB8C0">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F29B52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450F80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AD1E4D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22A3C5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7537801">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C00E93C">
            <w:pPr>
              <w:rPr>
                <w:rFonts w:hint="eastAsia" w:ascii="宋体" w:hAnsi="宋体" w:eastAsia="宋体" w:cs="宋体"/>
                <w:i w:val="0"/>
                <w:iCs w:val="0"/>
                <w:color w:val="000000"/>
                <w:sz w:val="18"/>
                <w:szCs w:val="18"/>
                <w:u w:val="none"/>
              </w:rPr>
            </w:pPr>
          </w:p>
        </w:tc>
      </w:tr>
      <w:tr w14:paraId="0575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5BA0E6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4E8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F89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2B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51172523T000008462314-2023年农村公路日常养护经费</w:t>
            </w:r>
          </w:p>
        </w:tc>
      </w:tr>
      <w:tr w14:paraId="40DC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B8B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9F12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639CE3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570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37DA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3FF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74C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574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DF3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D0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A45FF">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E02DB">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468A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深化农村公路管理养护体制改革，加强农村公路与农村经济社会发展统筹协调，推动“四好农村路”高质量发展，为广大农民群众致富奔小康、加快推进农业农村现代化提供更好保障。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11A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深化农村公路管理养护体制改革，加强农村公路与农村经济社会发展统筹协调，推动“四好农村路”高质量发展，为广大农民群众致富奔小康、加快推进农业农村现代化提供更好保障。</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04EA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A6F2">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B67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16C7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各村社区对辖区内公路进行日常维修维护，保障群众正常出行及交通通行。</w:t>
            </w:r>
          </w:p>
        </w:tc>
      </w:tr>
      <w:tr w14:paraId="49CE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C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C5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FB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E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1F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C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B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E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44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E6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C27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40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6A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2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EE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47B5">
            <w:pPr>
              <w:jc w:val="center"/>
              <w:rPr>
                <w:rFonts w:hint="eastAsia" w:ascii="宋体" w:hAnsi="宋体" w:eastAsia="宋体" w:cs="宋体"/>
                <w:i w:val="0"/>
                <w:iCs w:val="0"/>
                <w:color w:val="000000"/>
                <w:sz w:val="18"/>
                <w:szCs w:val="18"/>
                <w:u w:val="none"/>
              </w:rPr>
            </w:pP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4718">
            <w:pPr>
              <w:rPr>
                <w:rFonts w:hint="eastAsia" w:ascii="黑体" w:hAnsi="黑体" w:eastAsia="黑体" w:cs="黑体"/>
                <w:i/>
                <w:iCs/>
                <w:color w:val="000000"/>
                <w:sz w:val="18"/>
                <w:szCs w:val="18"/>
                <w:u w:val="none"/>
              </w:rPr>
            </w:pPr>
          </w:p>
        </w:tc>
      </w:tr>
      <w:tr w14:paraId="4729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150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47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A2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8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0B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D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8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EA76">
            <w:pPr>
              <w:rPr>
                <w:rFonts w:hint="eastAsia" w:ascii="黑体" w:hAnsi="黑体" w:eastAsia="黑体" w:cs="黑体"/>
                <w:i/>
                <w:iCs/>
                <w:color w:val="000000"/>
                <w:sz w:val="18"/>
                <w:szCs w:val="18"/>
                <w:u w:val="none"/>
              </w:rPr>
            </w:pPr>
          </w:p>
        </w:tc>
      </w:tr>
      <w:tr w14:paraId="00E5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89C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6A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1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F8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D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52A3">
            <w:pPr>
              <w:rPr>
                <w:rFonts w:hint="eastAsia" w:ascii="黑体" w:hAnsi="黑体" w:eastAsia="黑体" w:cs="黑体"/>
                <w:i/>
                <w:iCs/>
                <w:color w:val="000000"/>
                <w:sz w:val="18"/>
                <w:szCs w:val="18"/>
                <w:u w:val="none"/>
              </w:rPr>
            </w:pPr>
          </w:p>
        </w:tc>
      </w:tr>
      <w:tr w14:paraId="6A34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9B1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67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C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F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69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5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1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D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7D122">
            <w:pPr>
              <w:rPr>
                <w:rFonts w:hint="eastAsia" w:ascii="黑体" w:hAnsi="黑体" w:eastAsia="黑体" w:cs="黑体"/>
                <w:i/>
                <w:iCs/>
                <w:color w:val="000000"/>
                <w:sz w:val="18"/>
                <w:szCs w:val="18"/>
                <w:u w:val="none"/>
              </w:rPr>
            </w:pPr>
          </w:p>
        </w:tc>
      </w:tr>
      <w:tr w14:paraId="663C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27C4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FF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9447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8CAB">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42A3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4A4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D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9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B4FB6">
            <w:pPr>
              <w:rPr>
                <w:rFonts w:hint="eastAsia" w:ascii="黑体" w:hAnsi="黑体" w:eastAsia="黑体" w:cs="黑体"/>
                <w:i/>
                <w:iCs/>
                <w:color w:val="000000"/>
                <w:sz w:val="18"/>
                <w:szCs w:val="18"/>
                <w:u w:val="none"/>
              </w:rPr>
            </w:pPr>
          </w:p>
        </w:tc>
      </w:tr>
      <w:tr w14:paraId="6EC8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F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0E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7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6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D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9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5E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50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E14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77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F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1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道路维护涉及村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4D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0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D24D1">
            <w:pPr>
              <w:jc w:val="center"/>
              <w:rPr>
                <w:rFonts w:hint="eastAsia" w:ascii="微软雅黑" w:hAnsi="微软雅黑" w:eastAsia="微软雅黑" w:cs="微软雅黑"/>
                <w:i/>
                <w:iCs/>
                <w:color w:val="000000"/>
                <w:sz w:val="16"/>
                <w:szCs w:val="16"/>
                <w:u w:val="none"/>
              </w:rPr>
            </w:pPr>
          </w:p>
        </w:tc>
      </w:tr>
      <w:tr w14:paraId="31B6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89AE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AB58">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98DFA">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C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道路维护次数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E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C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51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3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C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14D34">
            <w:pPr>
              <w:jc w:val="center"/>
              <w:rPr>
                <w:rFonts w:hint="eastAsia" w:ascii="微软雅黑" w:hAnsi="微软雅黑" w:eastAsia="微软雅黑" w:cs="微软雅黑"/>
                <w:i/>
                <w:iCs/>
                <w:color w:val="000000"/>
                <w:sz w:val="16"/>
                <w:szCs w:val="16"/>
                <w:u w:val="none"/>
              </w:rPr>
            </w:pPr>
          </w:p>
        </w:tc>
      </w:tr>
      <w:tr w14:paraId="140D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9247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F7B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8B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7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交通安全畅通率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C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B46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73304">
            <w:pPr>
              <w:jc w:val="center"/>
              <w:rPr>
                <w:rFonts w:hint="eastAsia" w:ascii="微软雅黑" w:hAnsi="微软雅黑" w:eastAsia="微软雅黑" w:cs="微软雅黑"/>
                <w:i/>
                <w:iCs/>
                <w:color w:val="000000"/>
                <w:sz w:val="16"/>
                <w:szCs w:val="16"/>
                <w:u w:val="none"/>
              </w:rPr>
            </w:pPr>
          </w:p>
        </w:tc>
      </w:tr>
      <w:tr w14:paraId="79D9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345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2A7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2B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农村道路养护时限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6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D0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E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027A8">
            <w:pPr>
              <w:jc w:val="center"/>
              <w:rPr>
                <w:rFonts w:hint="eastAsia" w:ascii="微软雅黑" w:hAnsi="微软雅黑" w:eastAsia="微软雅黑" w:cs="微软雅黑"/>
                <w:i/>
                <w:iCs/>
                <w:color w:val="000000"/>
                <w:sz w:val="16"/>
                <w:szCs w:val="16"/>
                <w:u w:val="none"/>
              </w:rPr>
            </w:pPr>
          </w:p>
        </w:tc>
      </w:tr>
      <w:tr w14:paraId="4C0F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8CC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49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12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C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提升道路通行效率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E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6D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E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A0D90">
            <w:pPr>
              <w:jc w:val="center"/>
              <w:rPr>
                <w:rFonts w:hint="eastAsia" w:ascii="微软雅黑" w:hAnsi="微软雅黑" w:eastAsia="微软雅黑" w:cs="微软雅黑"/>
                <w:i/>
                <w:iCs/>
                <w:color w:val="000000"/>
                <w:sz w:val="16"/>
                <w:szCs w:val="16"/>
                <w:u w:val="none"/>
              </w:rPr>
            </w:pPr>
          </w:p>
        </w:tc>
      </w:tr>
      <w:tr w14:paraId="624E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ADF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0A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DC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0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C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22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0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5AFCA">
            <w:pPr>
              <w:jc w:val="center"/>
              <w:rPr>
                <w:rFonts w:hint="eastAsia" w:ascii="微软雅黑" w:hAnsi="微软雅黑" w:eastAsia="微软雅黑" w:cs="微软雅黑"/>
                <w:i/>
                <w:iCs/>
                <w:color w:val="000000"/>
                <w:sz w:val="16"/>
                <w:szCs w:val="16"/>
                <w:u w:val="none"/>
              </w:rPr>
            </w:pPr>
          </w:p>
        </w:tc>
      </w:tr>
      <w:tr w14:paraId="2DF7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51D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04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E6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成本费用控制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1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28C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5347">
            <w:pPr>
              <w:jc w:val="center"/>
              <w:rPr>
                <w:rFonts w:hint="eastAsia" w:ascii="微软雅黑" w:hAnsi="微软雅黑" w:eastAsia="微软雅黑" w:cs="微软雅黑"/>
                <w:i/>
                <w:iCs/>
                <w:color w:val="000000"/>
                <w:sz w:val="16"/>
                <w:szCs w:val="16"/>
                <w:u w:val="none"/>
              </w:rPr>
            </w:pPr>
          </w:p>
        </w:tc>
      </w:tr>
      <w:tr w14:paraId="330D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16E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1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A66EE">
            <w:pPr>
              <w:rPr>
                <w:rFonts w:hint="eastAsia" w:ascii="宋体" w:hAnsi="宋体" w:eastAsia="宋体" w:cs="宋体"/>
                <w:i w:val="0"/>
                <w:iCs w:val="0"/>
                <w:color w:val="000000"/>
                <w:sz w:val="18"/>
                <w:szCs w:val="18"/>
                <w:u w:val="none"/>
              </w:rPr>
            </w:pPr>
          </w:p>
        </w:tc>
      </w:tr>
      <w:tr w14:paraId="67B9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0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1F5A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本项目得分98分，通过对农村公路日常巡查，维修维护，保障群众正常出行及交通通行。</w:t>
            </w:r>
          </w:p>
        </w:tc>
      </w:tr>
      <w:tr w14:paraId="573D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0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B0C1A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部分道路因经费不足，维修维护不到位。</w:t>
            </w:r>
          </w:p>
        </w:tc>
      </w:tr>
      <w:tr w14:paraId="02AB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1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8DD11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加大经费投入，保障日常公路维修维护力度。</w:t>
            </w:r>
          </w:p>
        </w:tc>
      </w:tr>
      <w:tr w14:paraId="74C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6D8D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3B48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7815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F2A87F7">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D93104A">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E747EB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0521B4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60C922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6AA7911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46FD88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882341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18246A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41D1799">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13A80C2B">
            <w:pPr>
              <w:rPr>
                <w:rFonts w:hint="eastAsia" w:ascii="宋体" w:hAnsi="宋体" w:eastAsia="宋体" w:cs="宋体"/>
                <w:i w:val="0"/>
                <w:iCs w:val="0"/>
                <w:color w:val="000000"/>
                <w:sz w:val="18"/>
                <w:szCs w:val="18"/>
                <w:u w:val="none"/>
              </w:rPr>
            </w:pPr>
          </w:p>
        </w:tc>
      </w:tr>
      <w:tr w14:paraId="5F66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87F84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694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9B64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1A0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51172523T000008463226-2023年天鹅村粮食折现</w:t>
            </w:r>
          </w:p>
        </w:tc>
      </w:tr>
      <w:tr w14:paraId="5E20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409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A65F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31424A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B8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5E85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610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CA6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A6A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1969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5B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723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D24B">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9D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解决天鹅村失地农民生活困难问题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599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解决了天鹅村失地农民生活困难问题</w:t>
            </w:r>
            <w:r>
              <w:rPr>
                <w:rFonts w:hint="eastAsia" w:ascii="黑体" w:hAnsi="黑体" w:eastAsia="黑体" w:cs="黑体"/>
                <w:i w:val="0"/>
                <w:iCs w:val="0"/>
                <w:color w:val="000000"/>
                <w:kern w:val="0"/>
                <w:sz w:val="18"/>
                <w:szCs w:val="18"/>
                <w:u w:val="none"/>
                <w:lang w:val="en-US" w:eastAsia="zh-CN" w:bidi="ar"/>
              </w:rPr>
              <w:br w:type="textWrapping"/>
            </w:r>
            <w:r>
              <w:rPr>
                <w:rStyle w:val="28"/>
                <w:rFonts w:eastAsia="黑体"/>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Style w:val="28"/>
                <w:rFonts w:eastAsia="黑体"/>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Style w:val="28"/>
                <w:rFonts w:eastAsia="黑体"/>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Style w:val="28"/>
                <w:rFonts w:eastAsia="黑体"/>
                <w:lang w:val="en-US" w:eastAsia="zh-CN" w:bidi="ar"/>
              </w:rPr>
              <w:t xml:space="preserve">       </w:t>
            </w:r>
          </w:p>
        </w:tc>
      </w:tr>
      <w:tr w14:paraId="5DBF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3AA78">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1EF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8AB6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解决了天鹅村失地农户缺粮问题，粮食折现资金96959元按时发放到缺粮户</w:t>
            </w:r>
          </w:p>
        </w:tc>
      </w:tr>
      <w:tr w14:paraId="3F39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1D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17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16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0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CC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C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F7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08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916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B8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A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33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0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BE9ED">
            <w:pPr>
              <w:rPr>
                <w:rFonts w:hint="eastAsia" w:ascii="黑体" w:hAnsi="黑体" w:eastAsia="黑体" w:cs="黑体"/>
                <w:i/>
                <w:iCs/>
                <w:color w:val="000000"/>
                <w:sz w:val="18"/>
                <w:szCs w:val="18"/>
                <w:u w:val="none"/>
              </w:rPr>
            </w:pPr>
          </w:p>
        </w:tc>
      </w:tr>
      <w:tr w14:paraId="6911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5042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E5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97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6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57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0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0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7527">
            <w:pPr>
              <w:rPr>
                <w:rFonts w:hint="eastAsia" w:ascii="黑体" w:hAnsi="黑体" w:eastAsia="黑体" w:cs="黑体"/>
                <w:i/>
                <w:iCs/>
                <w:color w:val="000000"/>
                <w:sz w:val="18"/>
                <w:szCs w:val="18"/>
                <w:u w:val="none"/>
              </w:rPr>
            </w:pPr>
          </w:p>
        </w:tc>
      </w:tr>
      <w:tr w14:paraId="4A3A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6F5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8E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28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AE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A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2A67">
            <w:pPr>
              <w:rPr>
                <w:rFonts w:hint="eastAsia" w:ascii="黑体" w:hAnsi="黑体" w:eastAsia="黑体" w:cs="黑体"/>
                <w:i/>
                <w:iCs/>
                <w:color w:val="000000"/>
                <w:sz w:val="18"/>
                <w:szCs w:val="18"/>
                <w:u w:val="none"/>
              </w:rPr>
            </w:pPr>
          </w:p>
        </w:tc>
      </w:tr>
      <w:tr w14:paraId="586F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703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71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1E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0A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E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9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8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F711">
            <w:pPr>
              <w:rPr>
                <w:rFonts w:hint="eastAsia" w:ascii="黑体" w:hAnsi="黑体" w:eastAsia="黑体" w:cs="黑体"/>
                <w:i/>
                <w:iCs/>
                <w:color w:val="000000"/>
                <w:sz w:val="18"/>
                <w:szCs w:val="18"/>
                <w:u w:val="none"/>
              </w:rPr>
            </w:pPr>
          </w:p>
        </w:tc>
      </w:tr>
      <w:tr w14:paraId="48F0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884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DC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13D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3ED">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D775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81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9C16">
            <w:pPr>
              <w:rPr>
                <w:rFonts w:hint="eastAsia" w:ascii="黑体" w:hAnsi="黑体" w:eastAsia="黑体" w:cs="黑体"/>
                <w:i/>
                <w:iCs/>
                <w:color w:val="000000"/>
                <w:sz w:val="18"/>
                <w:szCs w:val="18"/>
                <w:u w:val="none"/>
              </w:rPr>
            </w:pPr>
          </w:p>
        </w:tc>
      </w:tr>
      <w:tr w14:paraId="04DF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C8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A9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1C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4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0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B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4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2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526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D04E">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1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14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折现稻谷斤数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C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5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70260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7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70260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7D80">
            <w:pPr>
              <w:jc w:val="center"/>
              <w:rPr>
                <w:rFonts w:hint="eastAsia" w:ascii="微软雅黑" w:hAnsi="微软雅黑" w:eastAsia="微软雅黑" w:cs="微软雅黑"/>
                <w:i/>
                <w:iCs/>
                <w:color w:val="000000"/>
                <w:sz w:val="16"/>
                <w:szCs w:val="16"/>
                <w:u w:val="none"/>
              </w:rPr>
            </w:pPr>
          </w:p>
        </w:tc>
      </w:tr>
      <w:tr w14:paraId="7D0C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C0C5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D270">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9348">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6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B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C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4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3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7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6EEC0">
            <w:pPr>
              <w:jc w:val="center"/>
              <w:rPr>
                <w:rFonts w:hint="eastAsia" w:ascii="微软雅黑" w:hAnsi="微软雅黑" w:eastAsia="微软雅黑" w:cs="微软雅黑"/>
                <w:i/>
                <w:iCs/>
                <w:color w:val="000000"/>
                <w:sz w:val="16"/>
                <w:szCs w:val="16"/>
                <w:u w:val="none"/>
              </w:rPr>
            </w:pPr>
          </w:p>
        </w:tc>
      </w:tr>
      <w:tr w14:paraId="6D8D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905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46F7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0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9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5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60E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9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0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5B8D">
            <w:pPr>
              <w:jc w:val="center"/>
              <w:rPr>
                <w:rFonts w:hint="eastAsia" w:ascii="微软雅黑" w:hAnsi="微软雅黑" w:eastAsia="微软雅黑" w:cs="微软雅黑"/>
                <w:i/>
                <w:iCs/>
                <w:color w:val="000000"/>
                <w:sz w:val="16"/>
                <w:szCs w:val="16"/>
                <w:u w:val="none"/>
              </w:rPr>
            </w:pPr>
          </w:p>
        </w:tc>
      </w:tr>
      <w:tr w14:paraId="21FB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1E8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588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E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兑现时限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2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CF3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A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A1865">
            <w:pPr>
              <w:jc w:val="center"/>
              <w:rPr>
                <w:rFonts w:hint="eastAsia" w:ascii="微软雅黑" w:hAnsi="微软雅黑" w:eastAsia="微软雅黑" w:cs="微软雅黑"/>
                <w:i/>
                <w:iCs/>
                <w:color w:val="000000"/>
                <w:sz w:val="16"/>
                <w:szCs w:val="16"/>
                <w:u w:val="none"/>
              </w:rPr>
            </w:pPr>
          </w:p>
        </w:tc>
      </w:tr>
      <w:tr w14:paraId="6495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60E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8F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5D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提高缺地农民生活保障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7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D3BB">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E5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高中低</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7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EFDE7">
            <w:pPr>
              <w:jc w:val="center"/>
              <w:rPr>
                <w:rFonts w:hint="eastAsia" w:ascii="微软雅黑" w:hAnsi="微软雅黑" w:eastAsia="微软雅黑" w:cs="微软雅黑"/>
                <w:i/>
                <w:iCs/>
                <w:color w:val="000000"/>
                <w:sz w:val="16"/>
                <w:szCs w:val="16"/>
                <w:u w:val="none"/>
              </w:rPr>
            </w:pPr>
          </w:p>
        </w:tc>
      </w:tr>
      <w:tr w14:paraId="69CB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B92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E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A4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2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67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50482">
            <w:pPr>
              <w:jc w:val="center"/>
              <w:rPr>
                <w:rFonts w:hint="eastAsia" w:ascii="微软雅黑" w:hAnsi="微软雅黑" w:eastAsia="微软雅黑" w:cs="微软雅黑"/>
                <w:i/>
                <w:iCs/>
                <w:color w:val="000000"/>
                <w:sz w:val="16"/>
                <w:szCs w:val="16"/>
                <w:u w:val="none"/>
              </w:rPr>
            </w:pPr>
          </w:p>
        </w:tc>
      </w:tr>
      <w:tr w14:paraId="6CC1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CD7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43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A1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粮食折现金额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B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0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96959</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1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EBC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96959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B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0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91E94">
            <w:pPr>
              <w:jc w:val="center"/>
              <w:rPr>
                <w:rFonts w:hint="eastAsia" w:ascii="微软雅黑" w:hAnsi="微软雅黑" w:eastAsia="微软雅黑" w:cs="微软雅黑"/>
                <w:i/>
                <w:iCs/>
                <w:color w:val="000000"/>
                <w:sz w:val="16"/>
                <w:szCs w:val="16"/>
                <w:u w:val="none"/>
              </w:rPr>
            </w:pPr>
          </w:p>
        </w:tc>
      </w:tr>
      <w:tr w14:paraId="3549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DFB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A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22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E409">
            <w:pPr>
              <w:rPr>
                <w:rFonts w:hint="eastAsia" w:ascii="宋体" w:hAnsi="宋体" w:eastAsia="宋体" w:cs="宋体"/>
                <w:i w:val="0"/>
                <w:iCs w:val="0"/>
                <w:color w:val="000000"/>
                <w:sz w:val="18"/>
                <w:szCs w:val="18"/>
                <w:u w:val="none"/>
              </w:rPr>
            </w:pPr>
          </w:p>
        </w:tc>
      </w:tr>
      <w:tr w14:paraId="3D98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C073F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按时发放粮食折现资金，解决缺粮户温饱问题</w:t>
            </w:r>
          </w:p>
        </w:tc>
      </w:tr>
      <w:tr w14:paraId="253C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F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74535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随着物价提高，折现金额偏低</w:t>
            </w:r>
          </w:p>
        </w:tc>
      </w:tr>
      <w:tr w14:paraId="1B4E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3069B2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向上级部门反映，提高折现金额</w:t>
            </w:r>
          </w:p>
        </w:tc>
      </w:tr>
      <w:tr w14:paraId="5755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F0B6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8014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3BDE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8025AB0">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1ACCE1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81D224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E4E842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A14743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D87AC1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2128E9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A44DC3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0E8341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A8E65CD">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8250650">
            <w:pPr>
              <w:rPr>
                <w:rFonts w:hint="eastAsia" w:ascii="宋体" w:hAnsi="宋体" w:eastAsia="宋体" w:cs="宋体"/>
                <w:i w:val="0"/>
                <w:iCs w:val="0"/>
                <w:color w:val="000000"/>
                <w:sz w:val="18"/>
                <w:szCs w:val="18"/>
                <w:u w:val="none"/>
              </w:rPr>
            </w:pPr>
          </w:p>
        </w:tc>
      </w:tr>
      <w:tr w14:paraId="5367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45A33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72B2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E76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A2B9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51172523T000008537265-2023年困难群众特困人员丧葬补助金</w:t>
            </w:r>
          </w:p>
        </w:tc>
      </w:tr>
      <w:tr w14:paraId="79F8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33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D04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57C85C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6DA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50D4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726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7C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72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09AE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61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61038">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B9AA">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51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对符合条件的特困人员发放一次性丧葬补助金</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144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特困人员死亡后的丧葬得到保障，对符合条件的特困人员发放一次性丧葬补助金，促进社会和谐稳定。</w:t>
            </w:r>
          </w:p>
        </w:tc>
      </w:tr>
      <w:tr w14:paraId="4F6E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CFE4">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E7D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C78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为确保特困人员丧葬补助金的办理及其发放，向财政申请预算0.51万元，严格按照资金管理办法使用，结合实际情况发放一次性特困人员丧葬补助金0.51万元。</w:t>
            </w:r>
          </w:p>
        </w:tc>
      </w:tr>
      <w:tr w14:paraId="64F9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56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6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6D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2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A8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8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8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8A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30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8DA2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E9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F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2F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2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3DAC8">
            <w:pPr>
              <w:rPr>
                <w:rFonts w:hint="eastAsia" w:ascii="黑体" w:hAnsi="黑体" w:eastAsia="黑体" w:cs="黑体"/>
                <w:i/>
                <w:iCs/>
                <w:color w:val="000000"/>
                <w:sz w:val="18"/>
                <w:szCs w:val="18"/>
                <w:u w:val="none"/>
              </w:rPr>
            </w:pPr>
          </w:p>
        </w:tc>
      </w:tr>
      <w:tr w14:paraId="7600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FBC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5A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85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F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9A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9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6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07A5">
            <w:pPr>
              <w:rPr>
                <w:rFonts w:hint="eastAsia" w:ascii="黑体" w:hAnsi="黑体" w:eastAsia="黑体" w:cs="黑体"/>
                <w:i/>
                <w:iCs/>
                <w:color w:val="000000"/>
                <w:sz w:val="18"/>
                <w:szCs w:val="18"/>
                <w:u w:val="none"/>
              </w:rPr>
            </w:pPr>
          </w:p>
        </w:tc>
      </w:tr>
      <w:tr w14:paraId="41C9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0BE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88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3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9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A3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4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703F">
            <w:pPr>
              <w:rPr>
                <w:rFonts w:hint="eastAsia" w:ascii="黑体" w:hAnsi="黑体" w:eastAsia="黑体" w:cs="黑体"/>
                <w:i/>
                <w:iCs/>
                <w:color w:val="000000"/>
                <w:sz w:val="18"/>
                <w:szCs w:val="18"/>
                <w:u w:val="none"/>
              </w:rPr>
            </w:pPr>
          </w:p>
        </w:tc>
      </w:tr>
      <w:tr w14:paraId="60A9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B1B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1B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A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D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7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4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6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7410">
            <w:pPr>
              <w:rPr>
                <w:rFonts w:hint="eastAsia" w:ascii="黑体" w:hAnsi="黑体" w:eastAsia="黑体" w:cs="黑体"/>
                <w:i/>
                <w:iCs/>
                <w:color w:val="000000"/>
                <w:sz w:val="18"/>
                <w:szCs w:val="18"/>
                <w:u w:val="none"/>
              </w:rPr>
            </w:pPr>
          </w:p>
        </w:tc>
      </w:tr>
      <w:tr w14:paraId="4820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55B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5D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AE58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5D1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6D1CC">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DBA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7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E196">
            <w:pPr>
              <w:rPr>
                <w:rFonts w:hint="eastAsia" w:ascii="黑体" w:hAnsi="黑体" w:eastAsia="黑体" w:cs="黑体"/>
                <w:i/>
                <w:iCs/>
                <w:color w:val="000000"/>
                <w:sz w:val="18"/>
                <w:szCs w:val="18"/>
                <w:u w:val="none"/>
              </w:rPr>
            </w:pPr>
          </w:p>
        </w:tc>
      </w:tr>
      <w:tr w14:paraId="7285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F0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6B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29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7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7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D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9A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120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9709">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E7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B6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丧葬补助金发放人数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BF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9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E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5A1FA">
            <w:pPr>
              <w:jc w:val="center"/>
              <w:rPr>
                <w:rFonts w:hint="eastAsia" w:ascii="微软雅黑" w:hAnsi="微软雅黑" w:eastAsia="微软雅黑" w:cs="微软雅黑"/>
                <w:i/>
                <w:iCs/>
                <w:color w:val="000000"/>
                <w:sz w:val="16"/>
                <w:szCs w:val="16"/>
                <w:u w:val="none"/>
              </w:rPr>
            </w:pPr>
          </w:p>
        </w:tc>
      </w:tr>
      <w:tr w14:paraId="585B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5E7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CAD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2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F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丧葬补助金发放到位率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3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4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C03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7924">
            <w:pPr>
              <w:jc w:val="center"/>
              <w:rPr>
                <w:rFonts w:hint="eastAsia" w:ascii="微软雅黑" w:hAnsi="微软雅黑" w:eastAsia="微软雅黑" w:cs="微软雅黑"/>
                <w:i/>
                <w:iCs/>
                <w:color w:val="000000"/>
                <w:sz w:val="16"/>
                <w:szCs w:val="16"/>
                <w:u w:val="none"/>
              </w:rPr>
            </w:pPr>
          </w:p>
        </w:tc>
      </w:tr>
      <w:tr w14:paraId="0C87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ECBB">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5CD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36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D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C5D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A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B2D8B">
            <w:pPr>
              <w:jc w:val="center"/>
              <w:rPr>
                <w:rFonts w:hint="eastAsia" w:ascii="微软雅黑" w:hAnsi="微软雅黑" w:eastAsia="微软雅黑" w:cs="微软雅黑"/>
                <w:i/>
                <w:iCs/>
                <w:color w:val="000000"/>
                <w:sz w:val="16"/>
                <w:szCs w:val="16"/>
                <w:u w:val="none"/>
              </w:rPr>
            </w:pPr>
          </w:p>
        </w:tc>
      </w:tr>
      <w:tr w14:paraId="467E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E11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A6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07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保障特困人员权益</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D4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E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A11E0">
            <w:pPr>
              <w:jc w:val="center"/>
              <w:rPr>
                <w:rFonts w:hint="eastAsia" w:ascii="微软雅黑" w:hAnsi="微软雅黑" w:eastAsia="微软雅黑" w:cs="微软雅黑"/>
                <w:i/>
                <w:iCs/>
                <w:color w:val="000000"/>
                <w:sz w:val="16"/>
                <w:szCs w:val="16"/>
                <w:u w:val="none"/>
              </w:rPr>
            </w:pPr>
          </w:p>
        </w:tc>
      </w:tr>
      <w:tr w14:paraId="1BCF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568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0B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2E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补助家庭满意度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C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04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D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BDDAE">
            <w:pPr>
              <w:jc w:val="center"/>
              <w:rPr>
                <w:rFonts w:hint="eastAsia" w:ascii="微软雅黑" w:hAnsi="微软雅黑" w:eastAsia="微软雅黑" w:cs="微软雅黑"/>
                <w:i/>
                <w:iCs/>
                <w:color w:val="000000"/>
                <w:sz w:val="16"/>
                <w:szCs w:val="16"/>
                <w:u w:val="none"/>
              </w:rPr>
            </w:pPr>
          </w:p>
        </w:tc>
      </w:tr>
      <w:tr w14:paraId="5E42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2BF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2E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1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9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1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8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A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5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1E14">
            <w:pPr>
              <w:jc w:val="center"/>
              <w:rPr>
                <w:rFonts w:hint="eastAsia" w:ascii="微软雅黑" w:hAnsi="微软雅黑" w:eastAsia="微软雅黑" w:cs="微软雅黑"/>
                <w:i/>
                <w:iCs/>
                <w:color w:val="000000"/>
                <w:sz w:val="16"/>
                <w:szCs w:val="16"/>
                <w:u w:val="none"/>
              </w:rPr>
            </w:pPr>
          </w:p>
        </w:tc>
      </w:tr>
      <w:tr w14:paraId="633B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22E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E5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08100">
            <w:pPr>
              <w:rPr>
                <w:rFonts w:hint="eastAsia" w:ascii="宋体" w:hAnsi="宋体" w:eastAsia="宋体" w:cs="宋体"/>
                <w:i w:val="0"/>
                <w:iCs w:val="0"/>
                <w:color w:val="000000"/>
                <w:sz w:val="18"/>
                <w:szCs w:val="18"/>
                <w:u w:val="none"/>
              </w:rPr>
            </w:pPr>
          </w:p>
        </w:tc>
      </w:tr>
      <w:tr w14:paraId="0969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0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410B0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本项目得分98分，对符合条件的特困人员发放一次性丧葬补助金，体现了国家对死者及其家属的关怀和尊重。确保群众领取抚恤金补助、提高群众对政策知晓率。</w:t>
            </w:r>
          </w:p>
        </w:tc>
      </w:tr>
      <w:tr w14:paraId="08EA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023D9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需进一步提升群众政策知晓度</w:t>
            </w:r>
          </w:p>
        </w:tc>
      </w:tr>
      <w:tr w14:paraId="0928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878698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继续坚持良好的工作作风，缓解特困人员经济压力，大力宣传相关政策，体现政府的关怀。</w:t>
            </w:r>
          </w:p>
        </w:tc>
      </w:tr>
      <w:tr w14:paraId="3B43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8205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D0FF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6FF6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6FCFD31D">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45AF7EF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1EF33A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D936BA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F014A0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4D53E7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12C38A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538E62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873285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2EB98C0">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767BE980">
            <w:pPr>
              <w:rPr>
                <w:rFonts w:hint="eastAsia" w:ascii="宋体" w:hAnsi="宋体" w:eastAsia="宋体" w:cs="宋体"/>
                <w:i w:val="0"/>
                <w:iCs w:val="0"/>
                <w:color w:val="000000"/>
                <w:sz w:val="18"/>
                <w:szCs w:val="18"/>
                <w:u w:val="none"/>
              </w:rPr>
            </w:pPr>
          </w:p>
        </w:tc>
      </w:tr>
      <w:tr w14:paraId="16E8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32B905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23DDBF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57211A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706EB0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AE7B44F">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8D4F2E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2AFAC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7BE05D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110AAB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D1E17F1">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340FDF14">
            <w:pPr>
              <w:rPr>
                <w:rFonts w:hint="eastAsia" w:ascii="宋体" w:hAnsi="宋体" w:eastAsia="宋体" w:cs="宋体"/>
                <w:i w:val="0"/>
                <w:iCs w:val="0"/>
                <w:color w:val="000000"/>
                <w:sz w:val="18"/>
                <w:szCs w:val="18"/>
                <w:u w:val="none"/>
              </w:rPr>
            </w:pPr>
          </w:p>
        </w:tc>
      </w:tr>
      <w:tr w14:paraId="5825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E552BD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107D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397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258B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51172523T000008986396-项目资金（渠财预2023-16）</w:t>
            </w:r>
          </w:p>
        </w:tc>
      </w:tr>
      <w:tr w14:paraId="747C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6B3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7C6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42E678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AD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5D37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36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0B3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11A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17B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B0F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0920">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C7EA">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FEB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根据渠财预(2022)-16号文件要求进行项目建设，项目竣工后你将有效保障群众生活需求，提升群众生活质量，环境质量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C43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根据渠财预(2022)-16号文件要求进行项目建设，项目竣工后你将有效保障群众生活需求，提升群众生活质量，环境质量</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0B10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7867">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114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E009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根据渠财预[2023]-16号文件要求开展各项工作任务，确实有效保障群众生活需求，提升群众生活质量、环境质量</w:t>
            </w:r>
          </w:p>
        </w:tc>
      </w:tr>
      <w:tr w14:paraId="524C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13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5C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E0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82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B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62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C7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4AB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A0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0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CE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D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9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8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CEF2E">
            <w:pPr>
              <w:rPr>
                <w:rFonts w:hint="eastAsia" w:ascii="黑体" w:hAnsi="黑体" w:eastAsia="黑体" w:cs="黑体"/>
                <w:i/>
                <w:iCs/>
                <w:color w:val="000000"/>
                <w:sz w:val="18"/>
                <w:szCs w:val="18"/>
                <w:u w:val="none"/>
              </w:rPr>
            </w:pPr>
          </w:p>
        </w:tc>
      </w:tr>
      <w:tr w14:paraId="38AB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50BE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B5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20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1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95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9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D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0325">
            <w:pPr>
              <w:rPr>
                <w:rFonts w:hint="eastAsia" w:ascii="黑体" w:hAnsi="黑体" w:eastAsia="黑体" w:cs="黑体"/>
                <w:i/>
                <w:iCs/>
                <w:color w:val="000000"/>
                <w:sz w:val="18"/>
                <w:szCs w:val="18"/>
                <w:u w:val="none"/>
              </w:rPr>
            </w:pPr>
          </w:p>
        </w:tc>
      </w:tr>
      <w:tr w14:paraId="31B1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198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99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D5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13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7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E99B">
            <w:pPr>
              <w:rPr>
                <w:rFonts w:hint="eastAsia" w:ascii="黑体" w:hAnsi="黑体" w:eastAsia="黑体" w:cs="黑体"/>
                <w:i/>
                <w:iCs/>
                <w:color w:val="000000"/>
                <w:sz w:val="18"/>
                <w:szCs w:val="18"/>
                <w:u w:val="none"/>
              </w:rPr>
            </w:pPr>
          </w:p>
        </w:tc>
      </w:tr>
      <w:tr w14:paraId="4DAB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A65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63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18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66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C1944">
            <w:pPr>
              <w:rPr>
                <w:rFonts w:hint="eastAsia" w:ascii="黑体" w:hAnsi="黑体" w:eastAsia="黑体" w:cs="黑体"/>
                <w:i/>
                <w:iCs/>
                <w:color w:val="000000"/>
                <w:sz w:val="18"/>
                <w:szCs w:val="18"/>
                <w:u w:val="none"/>
              </w:rPr>
            </w:pPr>
          </w:p>
        </w:tc>
      </w:tr>
      <w:tr w14:paraId="0EAD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FF1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CE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4D4C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A01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9B21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2CC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A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6B95">
            <w:pPr>
              <w:rPr>
                <w:rFonts w:hint="eastAsia" w:ascii="黑体" w:hAnsi="黑体" w:eastAsia="黑体" w:cs="黑体"/>
                <w:i/>
                <w:iCs/>
                <w:color w:val="000000"/>
                <w:sz w:val="18"/>
                <w:szCs w:val="18"/>
                <w:u w:val="none"/>
              </w:rPr>
            </w:pPr>
          </w:p>
        </w:tc>
      </w:tr>
      <w:tr w14:paraId="7264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7C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C8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4F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C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5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F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3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61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DAAB">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4F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DD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2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E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2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4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CF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466A2">
            <w:pPr>
              <w:jc w:val="center"/>
              <w:rPr>
                <w:rFonts w:hint="eastAsia" w:ascii="微软雅黑" w:hAnsi="微软雅黑" w:eastAsia="微软雅黑" w:cs="微软雅黑"/>
                <w:i/>
                <w:iCs/>
                <w:color w:val="000000"/>
                <w:sz w:val="16"/>
                <w:szCs w:val="16"/>
                <w:u w:val="none"/>
              </w:rPr>
            </w:pPr>
          </w:p>
        </w:tc>
      </w:tr>
      <w:tr w14:paraId="6842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08A9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CEF1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D3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项目竣工验收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3AF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1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E7D35">
            <w:pPr>
              <w:jc w:val="center"/>
              <w:rPr>
                <w:rFonts w:hint="eastAsia" w:ascii="微软雅黑" w:hAnsi="微软雅黑" w:eastAsia="微软雅黑" w:cs="微软雅黑"/>
                <w:i/>
                <w:iCs/>
                <w:color w:val="000000"/>
                <w:sz w:val="16"/>
                <w:szCs w:val="16"/>
                <w:u w:val="none"/>
              </w:rPr>
            </w:pPr>
          </w:p>
        </w:tc>
      </w:tr>
      <w:tr w14:paraId="7CE8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22F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D691">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04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2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43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3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F3232">
            <w:pPr>
              <w:jc w:val="center"/>
              <w:rPr>
                <w:rFonts w:hint="eastAsia" w:ascii="微软雅黑" w:hAnsi="微软雅黑" w:eastAsia="微软雅黑" w:cs="微软雅黑"/>
                <w:i/>
                <w:iCs/>
                <w:color w:val="000000"/>
                <w:sz w:val="16"/>
                <w:szCs w:val="16"/>
                <w:u w:val="none"/>
              </w:rPr>
            </w:pPr>
          </w:p>
        </w:tc>
      </w:tr>
      <w:tr w14:paraId="609D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DD921">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72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04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1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带动当地经济发展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9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FC2">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0E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明显提升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3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FD0A9">
            <w:pPr>
              <w:jc w:val="center"/>
              <w:rPr>
                <w:rFonts w:hint="eastAsia" w:ascii="微软雅黑" w:hAnsi="微软雅黑" w:eastAsia="微软雅黑" w:cs="微软雅黑"/>
                <w:i/>
                <w:iCs/>
                <w:color w:val="000000"/>
                <w:sz w:val="16"/>
                <w:szCs w:val="16"/>
                <w:u w:val="none"/>
              </w:rPr>
            </w:pPr>
          </w:p>
        </w:tc>
      </w:tr>
      <w:tr w14:paraId="5349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9930">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ACA3">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39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6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有效保障群众生活需求，提升群众生活质量，环境质量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5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8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CC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5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EC75B">
            <w:pPr>
              <w:jc w:val="center"/>
              <w:rPr>
                <w:rFonts w:hint="eastAsia" w:ascii="微软雅黑" w:hAnsi="微软雅黑" w:eastAsia="微软雅黑" w:cs="微软雅黑"/>
                <w:i/>
                <w:iCs/>
                <w:color w:val="000000"/>
                <w:sz w:val="16"/>
                <w:szCs w:val="16"/>
                <w:u w:val="none"/>
              </w:rPr>
            </w:pPr>
          </w:p>
        </w:tc>
      </w:tr>
      <w:tr w14:paraId="5AE7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80B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CE0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88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带动群众增收，有效保障群众生活需求，提升群众生活质量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4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7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3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83F43">
            <w:pPr>
              <w:jc w:val="center"/>
              <w:rPr>
                <w:rFonts w:hint="eastAsia" w:ascii="微软雅黑" w:hAnsi="微软雅黑" w:eastAsia="微软雅黑" w:cs="微软雅黑"/>
                <w:i/>
                <w:iCs/>
                <w:color w:val="000000"/>
                <w:sz w:val="16"/>
                <w:szCs w:val="16"/>
                <w:u w:val="none"/>
              </w:rPr>
            </w:pPr>
          </w:p>
        </w:tc>
      </w:tr>
      <w:tr w14:paraId="7A87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808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BD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DF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76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7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8E1C1">
            <w:pPr>
              <w:jc w:val="center"/>
              <w:rPr>
                <w:rFonts w:hint="eastAsia" w:ascii="微软雅黑" w:hAnsi="微软雅黑" w:eastAsia="微软雅黑" w:cs="微软雅黑"/>
                <w:i/>
                <w:iCs/>
                <w:color w:val="000000"/>
                <w:sz w:val="16"/>
                <w:szCs w:val="16"/>
                <w:u w:val="none"/>
              </w:rPr>
            </w:pPr>
          </w:p>
        </w:tc>
      </w:tr>
      <w:tr w14:paraId="0C60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8C9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30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58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项目竣工验收项目建设总投资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8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6B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3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C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4BF8">
            <w:pPr>
              <w:jc w:val="center"/>
              <w:rPr>
                <w:rFonts w:hint="eastAsia" w:ascii="微软雅黑" w:hAnsi="微软雅黑" w:eastAsia="微软雅黑" w:cs="微软雅黑"/>
                <w:i/>
                <w:iCs/>
                <w:color w:val="000000"/>
                <w:sz w:val="16"/>
                <w:szCs w:val="16"/>
                <w:u w:val="none"/>
              </w:rPr>
            </w:pPr>
          </w:p>
        </w:tc>
      </w:tr>
      <w:tr w14:paraId="6398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9D1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C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4A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68908">
            <w:pPr>
              <w:rPr>
                <w:rFonts w:hint="eastAsia" w:ascii="宋体" w:hAnsi="宋体" w:eastAsia="宋体" w:cs="宋体"/>
                <w:i w:val="0"/>
                <w:iCs w:val="0"/>
                <w:color w:val="000000"/>
                <w:sz w:val="18"/>
                <w:szCs w:val="18"/>
                <w:u w:val="none"/>
              </w:rPr>
            </w:pPr>
          </w:p>
        </w:tc>
      </w:tr>
      <w:tr w14:paraId="6BDD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4F042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本项目得分98分，有效保障群众生活需求，提升群众生活质量、环境质量</w:t>
            </w:r>
          </w:p>
        </w:tc>
      </w:tr>
      <w:tr w14:paraId="3323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9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E9D87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资金测算预算制度还不够完善</w:t>
            </w:r>
          </w:p>
        </w:tc>
      </w:tr>
      <w:tr w14:paraId="36EA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4AE1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加强资金测算预算管理制度，确实提高资金测算能力。</w:t>
            </w:r>
          </w:p>
        </w:tc>
      </w:tr>
      <w:tr w14:paraId="1AE6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5E51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D29E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262C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E74BCBA">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35916F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362B3A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CA3F5A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C6FE3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EBF5E4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153CB1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EE645C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EA946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B4B436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1236BBBF">
            <w:pPr>
              <w:rPr>
                <w:rFonts w:hint="eastAsia" w:ascii="宋体" w:hAnsi="宋体" w:eastAsia="宋体" w:cs="宋体"/>
                <w:i w:val="0"/>
                <w:iCs w:val="0"/>
                <w:color w:val="000000"/>
                <w:sz w:val="18"/>
                <w:szCs w:val="18"/>
                <w:u w:val="none"/>
              </w:rPr>
            </w:pPr>
          </w:p>
        </w:tc>
      </w:tr>
      <w:tr w14:paraId="3139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9D30E3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6672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395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7FBE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51172523T000009240426-2023年村（社区）综合服务设施补短板</w:t>
            </w:r>
          </w:p>
        </w:tc>
      </w:tr>
      <w:tr w14:paraId="5722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7EC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19F8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7B2E35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89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32B9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F02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14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E5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A65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6A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A3FA">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7708">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007E20">
            <w:pPr>
              <w:keepNext w:val="0"/>
              <w:keepLines w:val="0"/>
              <w:widowControl/>
              <w:suppressLineNumbers w:val="0"/>
              <w:spacing w:after="180" w:afterAutospacing="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在1年的时间内完成李馥社区的综合服务设施补短板建设任务，全面提升李馥社区服务群众的能力水平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6F7B1">
            <w:pPr>
              <w:keepNext w:val="0"/>
              <w:keepLines w:val="0"/>
              <w:widowControl/>
              <w:suppressLineNumbers w:val="0"/>
              <w:spacing w:after="180" w:afterAutospacing="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在1年的时间内完成李馥社区的综合服务设施补短板建设任务，全面提升李馥社区服务群众的能力水平</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1F96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CF4E">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A56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D53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村（社区）便民服务中心建设及一站式服务大厅的内外装修，水电安装，办公桌椅、电脑及打印设备、资料柜等办公实施的购置，公示栏、标示、标牌等的设置。</w:t>
            </w:r>
          </w:p>
        </w:tc>
      </w:tr>
      <w:tr w14:paraId="5C88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8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74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75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4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3E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9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E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6A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CC06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79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1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3C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9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BCC96">
            <w:pPr>
              <w:rPr>
                <w:rFonts w:hint="eastAsia" w:ascii="黑体" w:hAnsi="黑体" w:eastAsia="黑体" w:cs="黑体"/>
                <w:i/>
                <w:iCs/>
                <w:color w:val="000000"/>
                <w:sz w:val="18"/>
                <w:szCs w:val="18"/>
                <w:u w:val="none"/>
              </w:rPr>
            </w:pPr>
          </w:p>
        </w:tc>
      </w:tr>
      <w:tr w14:paraId="2A76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C754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8A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8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A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EE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C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2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6983F">
            <w:pPr>
              <w:rPr>
                <w:rFonts w:hint="eastAsia" w:ascii="黑体" w:hAnsi="黑体" w:eastAsia="黑体" w:cs="黑体"/>
                <w:i/>
                <w:iCs/>
                <w:color w:val="000000"/>
                <w:sz w:val="18"/>
                <w:szCs w:val="18"/>
                <w:u w:val="none"/>
              </w:rPr>
            </w:pPr>
          </w:p>
        </w:tc>
      </w:tr>
      <w:tr w14:paraId="4E4F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E2E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19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74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4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C0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D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0AD9">
            <w:pPr>
              <w:rPr>
                <w:rFonts w:hint="eastAsia" w:ascii="黑体" w:hAnsi="黑体" w:eastAsia="黑体" w:cs="黑体"/>
                <w:i/>
                <w:iCs/>
                <w:color w:val="000000"/>
                <w:sz w:val="18"/>
                <w:szCs w:val="18"/>
                <w:u w:val="none"/>
              </w:rPr>
            </w:pPr>
          </w:p>
        </w:tc>
      </w:tr>
      <w:tr w14:paraId="1FC0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B11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4B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F5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B3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E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A6FE">
            <w:pPr>
              <w:rPr>
                <w:rFonts w:hint="eastAsia" w:ascii="黑体" w:hAnsi="黑体" w:eastAsia="黑体" w:cs="黑体"/>
                <w:i/>
                <w:iCs/>
                <w:color w:val="000000"/>
                <w:sz w:val="18"/>
                <w:szCs w:val="18"/>
                <w:u w:val="none"/>
              </w:rPr>
            </w:pPr>
          </w:p>
        </w:tc>
      </w:tr>
      <w:tr w14:paraId="6246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C75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F5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E82A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A8E">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665B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90E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7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67B2">
            <w:pPr>
              <w:rPr>
                <w:rFonts w:hint="eastAsia" w:ascii="黑体" w:hAnsi="黑体" w:eastAsia="黑体" w:cs="黑体"/>
                <w:i/>
                <w:iCs/>
                <w:color w:val="000000"/>
                <w:sz w:val="18"/>
                <w:szCs w:val="18"/>
                <w:u w:val="none"/>
              </w:rPr>
            </w:pPr>
          </w:p>
        </w:tc>
      </w:tr>
      <w:tr w14:paraId="0721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46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35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5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F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91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88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F64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88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D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开展综合服务设施补短板社区数量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5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8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2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85CB">
            <w:pPr>
              <w:jc w:val="center"/>
              <w:rPr>
                <w:rFonts w:hint="eastAsia" w:ascii="微软雅黑" w:hAnsi="微软雅黑" w:eastAsia="微软雅黑" w:cs="微软雅黑"/>
                <w:i/>
                <w:iCs/>
                <w:color w:val="000000"/>
                <w:sz w:val="16"/>
                <w:szCs w:val="16"/>
                <w:u w:val="none"/>
              </w:rPr>
            </w:pPr>
          </w:p>
        </w:tc>
      </w:tr>
      <w:tr w14:paraId="0A56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6B3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6666">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F9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A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补短板项目完工率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0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B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4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28DD9">
            <w:pPr>
              <w:jc w:val="center"/>
              <w:rPr>
                <w:rFonts w:hint="eastAsia" w:ascii="微软雅黑" w:hAnsi="微软雅黑" w:eastAsia="微软雅黑" w:cs="微软雅黑"/>
                <w:i/>
                <w:iCs/>
                <w:color w:val="000000"/>
                <w:sz w:val="16"/>
                <w:szCs w:val="16"/>
                <w:u w:val="none"/>
              </w:rPr>
            </w:pPr>
          </w:p>
        </w:tc>
      </w:tr>
      <w:tr w14:paraId="183D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D9C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320A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B6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经费拨付符合规定时间比率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4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C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7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B236">
            <w:pPr>
              <w:jc w:val="center"/>
              <w:rPr>
                <w:rFonts w:hint="eastAsia" w:ascii="微软雅黑" w:hAnsi="微软雅黑" w:eastAsia="微软雅黑" w:cs="微软雅黑"/>
                <w:i/>
                <w:iCs/>
                <w:color w:val="000000"/>
                <w:sz w:val="16"/>
                <w:szCs w:val="16"/>
                <w:u w:val="none"/>
              </w:rPr>
            </w:pPr>
          </w:p>
        </w:tc>
      </w:tr>
      <w:tr w14:paraId="254E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AA6C">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CB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30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社区便民惠民服务水平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B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1FF">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5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F456">
            <w:pPr>
              <w:jc w:val="center"/>
              <w:rPr>
                <w:rFonts w:hint="eastAsia" w:ascii="微软雅黑" w:hAnsi="微软雅黑" w:eastAsia="微软雅黑" w:cs="微软雅黑"/>
                <w:i/>
                <w:iCs/>
                <w:color w:val="000000"/>
                <w:sz w:val="16"/>
                <w:szCs w:val="16"/>
                <w:u w:val="none"/>
              </w:rPr>
            </w:pPr>
          </w:p>
        </w:tc>
      </w:tr>
      <w:tr w14:paraId="70FD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D640">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1E78">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DE34">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9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村社区服务设施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A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3CE">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7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C31D">
            <w:pPr>
              <w:jc w:val="center"/>
              <w:rPr>
                <w:rFonts w:hint="eastAsia" w:ascii="微软雅黑" w:hAnsi="微软雅黑" w:eastAsia="微软雅黑" w:cs="微软雅黑"/>
                <w:i/>
                <w:iCs/>
                <w:color w:val="000000"/>
                <w:sz w:val="16"/>
                <w:szCs w:val="16"/>
                <w:u w:val="none"/>
              </w:rPr>
            </w:pPr>
          </w:p>
        </w:tc>
      </w:tr>
      <w:tr w14:paraId="2C3A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71A7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639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9D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社区治理水平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9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D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显著增强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B7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7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显著增强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8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2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DD8E">
            <w:pPr>
              <w:jc w:val="center"/>
              <w:rPr>
                <w:rFonts w:hint="eastAsia" w:ascii="微软雅黑" w:hAnsi="微软雅黑" w:eastAsia="微软雅黑" w:cs="微软雅黑"/>
                <w:i/>
                <w:iCs/>
                <w:color w:val="000000"/>
                <w:sz w:val="16"/>
                <w:szCs w:val="16"/>
                <w:u w:val="none"/>
              </w:rPr>
            </w:pPr>
          </w:p>
        </w:tc>
      </w:tr>
      <w:tr w14:paraId="2942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358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FC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A3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1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社区工作服务对象满意度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E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D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2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5FE82">
            <w:pPr>
              <w:jc w:val="center"/>
              <w:rPr>
                <w:rFonts w:hint="eastAsia" w:ascii="微软雅黑" w:hAnsi="微软雅黑" w:eastAsia="微软雅黑" w:cs="微软雅黑"/>
                <w:i/>
                <w:iCs/>
                <w:color w:val="000000"/>
                <w:sz w:val="16"/>
                <w:szCs w:val="16"/>
                <w:u w:val="none"/>
              </w:rPr>
            </w:pPr>
          </w:p>
        </w:tc>
      </w:tr>
      <w:tr w14:paraId="5805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499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DF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34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社区综合服务设施补短板投入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B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A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B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16250">
            <w:pPr>
              <w:jc w:val="center"/>
              <w:rPr>
                <w:rFonts w:hint="eastAsia" w:ascii="微软雅黑" w:hAnsi="微软雅黑" w:eastAsia="微软雅黑" w:cs="微软雅黑"/>
                <w:i/>
                <w:iCs/>
                <w:color w:val="000000"/>
                <w:sz w:val="16"/>
                <w:szCs w:val="16"/>
                <w:u w:val="none"/>
              </w:rPr>
            </w:pPr>
          </w:p>
        </w:tc>
      </w:tr>
      <w:tr w14:paraId="2ADB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3B8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A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C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0EAE">
            <w:pPr>
              <w:rPr>
                <w:rFonts w:hint="eastAsia" w:ascii="宋体" w:hAnsi="宋体" w:eastAsia="宋体" w:cs="宋体"/>
                <w:i w:val="0"/>
                <w:iCs w:val="0"/>
                <w:color w:val="000000"/>
                <w:sz w:val="18"/>
                <w:szCs w:val="18"/>
                <w:u w:val="none"/>
              </w:rPr>
            </w:pPr>
          </w:p>
        </w:tc>
      </w:tr>
      <w:tr w14:paraId="309D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5F12B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本项目得分98分，村(社区)综合服务设施"补短板"资金项目运行正常，保质保量按时完成了治理任务，建立健全相关制度，重点关注了群众关注的涉及社区治理方面政策落实情况</w:t>
            </w:r>
          </w:p>
        </w:tc>
      </w:tr>
      <w:tr w14:paraId="7695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00F890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1、资金量不足，</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2、规章制度需进一步完善,管理需进一步规范。</w:t>
            </w:r>
          </w:p>
        </w:tc>
      </w:tr>
      <w:tr w14:paraId="2DFE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9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8983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(一)规范账务管理,提高财务信息质量。</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(二)落实管理制度,进一步加强资产管理。</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(三)加大资金投入,建立长效机制。</w:t>
            </w:r>
          </w:p>
        </w:tc>
      </w:tr>
      <w:tr w14:paraId="0447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DCF6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E5FC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3021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6F28FEA">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D4D3BE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F6EC4A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8DA720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28E692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04E461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59F615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3CC69E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D1F662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E3B83D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ABD3C0E">
            <w:pPr>
              <w:rPr>
                <w:rFonts w:hint="eastAsia" w:ascii="宋体" w:hAnsi="宋体" w:eastAsia="宋体" w:cs="宋体"/>
                <w:i w:val="0"/>
                <w:iCs w:val="0"/>
                <w:color w:val="000000"/>
                <w:sz w:val="18"/>
                <w:szCs w:val="18"/>
                <w:u w:val="none"/>
              </w:rPr>
            </w:pPr>
          </w:p>
        </w:tc>
      </w:tr>
      <w:tr w14:paraId="5E36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53B0A84">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43C0E22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EB4DD1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2D8697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677032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8BF81B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1B43C0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706117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EEF4D7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362E1FC">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4CD1C4D1">
            <w:pPr>
              <w:rPr>
                <w:rFonts w:hint="eastAsia" w:ascii="宋体" w:hAnsi="宋体" w:eastAsia="宋体" w:cs="宋体"/>
                <w:i w:val="0"/>
                <w:iCs w:val="0"/>
                <w:color w:val="000000"/>
                <w:sz w:val="18"/>
                <w:szCs w:val="18"/>
                <w:u w:val="none"/>
              </w:rPr>
            </w:pPr>
          </w:p>
        </w:tc>
      </w:tr>
      <w:tr w14:paraId="01E6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A5A983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63FD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D35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1373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51172523T000009652176-李馥镇政府污水处理厂建设项目</w:t>
            </w:r>
          </w:p>
        </w:tc>
      </w:tr>
      <w:tr w14:paraId="3E64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9EF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C2A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0D1401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4E6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30C0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3F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2F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A8F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E7A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B4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4FBA">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0801E">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C61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解决农村突出环境问题，改善人居环境质量，加强农村厕所和生活污水治理，建立长效运行机制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E03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解决农村突出环境问题，改善人居环境质量，加强农村厕所和生活污水治理，建立长效运行机制</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 xml:space="preserve">       </w:t>
            </w:r>
          </w:p>
        </w:tc>
      </w:tr>
      <w:tr w14:paraId="7A11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440D">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6AB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219B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解决农村突出环境问题，改善人居环境质量，加强农村厕所和生活污水治理，建立长效运行机制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w:t>
            </w:r>
          </w:p>
        </w:tc>
      </w:tr>
      <w:tr w14:paraId="3EAB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13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08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63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DE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E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7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3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1C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315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D9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D0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48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1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8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A5B69">
            <w:pPr>
              <w:rPr>
                <w:rFonts w:hint="eastAsia" w:ascii="黑体" w:hAnsi="黑体" w:eastAsia="黑体" w:cs="黑体"/>
                <w:i/>
                <w:iCs/>
                <w:color w:val="000000"/>
                <w:sz w:val="18"/>
                <w:szCs w:val="18"/>
                <w:u w:val="none"/>
              </w:rPr>
            </w:pPr>
          </w:p>
        </w:tc>
      </w:tr>
      <w:tr w14:paraId="56A4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E9A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F7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80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13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1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0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38439">
            <w:pPr>
              <w:rPr>
                <w:rFonts w:hint="eastAsia" w:ascii="黑体" w:hAnsi="黑体" w:eastAsia="黑体" w:cs="黑体"/>
                <w:i/>
                <w:iCs/>
                <w:color w:val="000000"/>
                <w:sz w:val="18"/>
                <w:szCs w:val="18"/>
                <w:u w:val="none"/>
              </w:rPr>
            </w:pPr>
          </w:p>
        </w:tc>
      </w:tr>
      <w:tr w14:paraId="0DFE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EC3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C0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05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4F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7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D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EA0C">
            <w:pPr>
              <w:rPr>
                <w:rFonts w:hint="eastAsia" w:ascii="黑体" w:hAnsi="黑体" w:eastAsia="黑体" w:cs="黑体"/>
                <w:i/>
                <w:iCs/>
                <w:color w:val="000000"/>
                <w:sz w:val="18"/>
                <w:szCs w:val="18"/>
                <w:u w:val="none"/>
              </w:rPr>
            </w:pPr>
          </w:p>
        </w:tc>
      </w:tr>
      <w:tr w14:paraId="673B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406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B7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F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47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C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6A90">
            <w:pPr>
              <w:rPr>
                <w:rFonts w:hint="eastAsia" w:ascii="黑体" w:hAnsi="黑体" w:eastAsia="黑体" w:cs="黑体"/>
                <w:i/>
                <w:iCs/>
                <w:color w:val="000000"/>
                <w:sz w:val="18"/>
                <w:szCs w:val="18"/>
                <w:u w:val="none"/>
              </w:rPr>
            </w:pPr>
          </w:p>
        </w:tc>
      </w:tr>
      <w:tr w14:paraId="1D19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64D1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E5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C295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09C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C0F6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1D0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F02B">
            <w:pPr>
              <w:rPr>
                <w:rFonts w:hint="eastAsia" w:ascii="黑体" w:hAnsi="黑体" w:eastAsia="黑体" w:cs="黑体"/>
                <w:i/>
                <w:iCs/>
                <w:color w:val="000000"/>
                <w:sz w:val="18"/>
                <w:szCs w:val="18"/>
                <w:u w:val="none"/>
              </w:rPr>
            </w:pPr>
          </w:p>
        </w:tc>
      </w:tr>
      <w:tr w14:paraId="1A0C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02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63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97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E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2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5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0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7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57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21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CAC5">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93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49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污水管道长度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9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9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D9875">
            <w:pPr>
              <w:jc w:val="center"/>
              <w:rPr>
                <w:rFonts w:hint="eastAsia" w:ascii="微软雅黑" w:hAnsi="微软雅黑" w:eastAsia="微软雅黑" w:cs="微软雅黑"/>
                <w:i/>
                <w:iCs/>
                <w:color w:val="000000"/>
                <w:sz w:val="16"/>
                <w:szCs w:val="16"/>
                <w:u w:val="none"/>
              </w:rPr>
            </w:pPr>
          </w:p>
        </w:tc>
      </w:tr>
      <w:tr w14:paraId="7FF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51A7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1171">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D3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3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B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E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97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12A70">
            <w:pPr>
              <w:jc w:val="center"/>
              <w:rPr>
                <w:rFonts w:hint="eastAsia" w:ascii="微软雅黑" w:hAnsi="微软雅黑" w:eastAsia="微软雅黑" w:cs="微软雅黑"/>
                <w:i/>
                <w:iCs/>
                <w:color w:val="000000"/>
                <w:sz w:val="16"/>
                <w:szCs w:val="16"/>
                <w:u w:val="none"/>
              </w:rPr>
            </w:pPr>
          </w:p>
        </w:tc>
      </w:tr>
      <w:tr w14:paraId="0E9F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E4FF">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C76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66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项目完成及时发放率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540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A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F9F66">
            <w:pPr>
              <w:jc w:val="center"/>
              <w:rPr>
                <w:rFonts w:hint="eastAsia" w:ascii="微软雅黑" w:hAnsi="微软雅黑" w:eastAsia="微软雅黑" w:cs="微软雅黑"/>
                <w:i/>
                <w:iCs/>
                <w:color w:val="000000"/>
                <w:sz w:val="16"/>
                <w:szCs w:val="16"/>
                <w:u w:val="none"/>
              </w:rPr>
            </w:pPr>
          </w:p>
        </w:tc>
      </w:tr>
      <w:tr w14:paraId="329B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A91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E7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D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2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提高人民生活水平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9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E71E">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FE2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6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656AB">
            <w:pPr>
              <w:jc w:val="center"/>
              <w:rPr>
                <w:rFonts w:hint="eastAsia" w:ascii="微软雅黑" w:hAnsi="微软雅黑" w:eastAsia="微软雅黑" w:cs="微软雅黑"/>
                <w:i/>
                <w:iCs/>
                <w:color w:val="000000"/>
                <w:sz w:val="16"/>
                <w:szCs w:val="16"/>
                <w:u w:val="none"/>
              </w:rPr>
            </w:pPr>
          </w:p>
        </w:tc>
      </w:tr>
      <w:tr w14:paraId="18E9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CF7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67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C2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0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5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86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5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CA3DB">
            <w:pPr>
              <w:jc w:val="center"/>
              <w:rPr>
                <w:rFonts w:hint="eastAsia" w:ascii="微软雅黑" w:hAnsi="微软雅黑" w:eastAsia="微软雅黑" w:cs="微软雅黑"/>
                <w:i/>
                <w:iCs/>
                <w:color w:val="000000"/>
                <w:sz w:val="16"/>
                <w:szCs w:val="16"/>
                <w:u w:val="none"/>
              </w:rPr>
            </w:pPr>
          </w:p>
        </w:tc>
      </w:tr>
      <w:tr w14:paraId="48C3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57A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91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81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项目经费成本控制数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0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9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2B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93DE">
            <w:pPr>
              <w:jc w:val="center"/>
              <w:rPr>
                <w:rFonts w:hint="eastAsia" w:ascii="微软雅黑" w:hAnsi="微软雅黑" w:eastAsia="微软雅黑" w:cs="微软雅黑"/>
                <w:i/>
                <w:iCs/>
                <w:color w:val="000000"/>
                <w:sz w:val="16"/>
                <w:szCs w:val="16"/>
                <w:u w:val="none"/>
              </w:rPr>
            </w:pPr>
          </w:p>
        </w:tc>
      </w:tr>
      <w:tr w14:paraId="5A93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91F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1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00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4E75C">
            <w:pPr>
              <w:rPr>
                <w:rFonts w:hint="eastAsia" w:ascii="宋体" w:hAnsi="宋体" w:eastAsia="宋体" w:cs="宋体"/>
                <w:i w:val="0"/>
                <w:iCs w:val="0"/>
                <w:color w:val="000000"/>
                <w:sz w:val="18"/>
                <w:szCs w:val="18"/>
                <w:u w:val="none"/>
              </w:rPr>
            </w:pPr>
          </w:p>
        </w:tc>
      </w:tr>
      <w:tr w14:paraId="3898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8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CFEA8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解决农村突出环境问题，改善人居环境质量，加强农村厕所和生活污水治理，建立长效运行机制</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 xml:space="preserve">      </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 xml:space="preserve">       </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 xml:space="preserve">       </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 xml:space="preserve">       </w:t>
            </w:r>
          </w:p>
        </w:tc>
      </w:tr>
      <w:tr w14:paraId="4CF5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CB2E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资金预算不足</w:t>
            </w:r>
          </w:p>
        </w:tc>
      </w:tr>
      <w:tr w14:paraId="540D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3BC43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提交上级部门增加预算</w:t>
            </w:r>
          </w:p>
        </w:tc>
      </w:tr>
      <w:tr w14:paraId="5BDD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45B2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B15D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18A3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C0C8896">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020609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A85DAB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39E13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B1F476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43B7B7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426575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073E6F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0F0B8A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027676F">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382D6A4">
            <w:pPr>
              <w:rPr>
                <w:rFonts w:hint="eastAsia" w:ascii="宋体" w:hAnsi="宋体" w:eastAsia="宋体" w:cs="宋体"/>
                <w:i w:val="0"/>
                <w:iCs w:val="0"/>
                <w:color w:val="000000"/>
                <w:sz w:val="18"/>
                <w:szCs w:val="18"/>
                <w:u w:val="none"/>
              </w:rPr>
            </w:pPr>
          </w:p>
        </w:tc>
      </w:tr>
      <w:tr w14:paraId="683C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D2E77C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510A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C57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251A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51172523T000009725135-国有企业退休人员社会化管理补助</w:t>
            </w:r>
          </w:p>
        </w:tc>
      </w:tr>
      <w:tr w14:paraId="70FE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991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33E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0C56BF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16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6133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53A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6CE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728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8A0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E57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3329D">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32FF">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B72E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根据渠财资产（2023）年17号文件规定，做好县上下达我镇国有企业退休人员社会化管理补助资金分配使用</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E8D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根据渠财资产（2023）年17号文件规定，做好县上下达我镇国有企业退休人员社会化管理补助资金分配使用</w:t>
            </w:r>
          </w:p>
        </w:tc>
      </w:tr>
      <w:tr w14:paraId="6D29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9E70">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D4F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8161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确保国有企业退休人员管理服务工作与原企业分离，国有企业不承担移交后的退休人员社会化管理服务费用，新办理退休人员管理服务工作与原企业分离。</w:t>
            </w:r>
          </w:p>
        </w:tc>
      </w:tr>
      <w:tr w14:paraId="4D69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56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98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0E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1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B8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AA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B5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486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60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E4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F8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0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2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F464E">
            <w:pPr>
              <w:rPr>
                <w:rFonts w:hint="eastAsia" w:ascii="黑体" w:hAnsi="黑体" w:eastAsia="黑体" w:cs="黑体"/>
                <w:i/>
                <w:iCs/>
                <w:color w:val="000000"/>
                <w:sz w:val="18"/>
                <w:szCs w:val="18"/>
                <w:u w:val="none"/>
              </w:rPr>
            </w:pPr>
          </w:p>
        </w:tc>
      </w:tr>
      <w:tr w14:paraId="4BBC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31A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9A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3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20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4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E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A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2E91">
            <w:pPr>
              <w:rPr>
                <w:rFonts w:hint="eastAsia" w:ascii="黑体" w:hAnsi="黑体" w:eastAsia="黑体" w:cs="黑体"/>
                <w:i/>
                <w:iCs/>
                <w:color w:val="000000"/>
                <w:sz w:val="18"/>
                <w:szCs w:val="18"/>
                <w:u w:val="none"/>
              </w:rPr>
            </w:pPr>
          </w:p>
        </w:tc>
      </w:tr>
      <w:tr w14:paraId="1126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627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38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03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0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43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9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3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8A4E1">
            <w:pPr>
              <w:rPr>
                <w:rFonts w:hint="eastAsia" w:ascii="黑体" w:hAnsi="黑体" w:eastAsia="黑体" w:cs="黑体"/>
                <w:i/>
                <w:iCs/>
                <w:color w:val="000000"/>
                <w:sz w:val="18"/>
                <w:szCs w:val="18"/>
                <w:u w:val="none"/>
              </w:rPr>
            </w:pPr>
          </w:p>
        </w:tc>
      </w:tr>
      <w:tr w14:paraId="6202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7B43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EA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BA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92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D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3025">
            <w:pPr>
              <w:rPr>
                <w:rFonts w:hint="eastAsia" w:ascii="黑体" w:hAnsi="黑体" w:eastAsia="黑体" w:cs="黑体"/>
                <w:i/>
                <w:iCs/>
                <w:color w:val="000000"/>
                <w:sz w:val="18"/>
                <w:szCs w:val="18"/>
                <w:u w:val="none"/>
              </w:rPr>
            </w:pPr>
          </w:p>
        </w:tc>
      </w:tr>
      <w:tr w14:paraId="390A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29A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3E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7867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8A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6569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6B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56CC">
            <w:pPr>
              <w:rPr>
                <w:rFonts w:hint="eastAsia" w:ascii="黑体" w:hAnsi="黑体" w:eastAsia="黑体" w:cs="黑体"/>
                <w:i/>
                <w:iCs/>
                <w:color w:val="000000"/>
                <w:sz w:val="18"/>
                <w:szCs w:val="18"/>
                <w:u w:val="none"/>
              </w:rPr>
            </w:pPr>
          </w:p>
        </w:tc>
      </w:tr>
      <w:tr w14:paraId="07FC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54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71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98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6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A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3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B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30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ED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35E3">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B4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93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接受国有企业退休人数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C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BD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7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1BE4D">
            <w:pPr>
              <w:jc w:val="center"/>
              <w:rPr>
                <w:rFonts w:hint="eastAsia" w:ascii="微软雅黑" w:hAnsi="微软雅黑" w:eastAsia="微软雅黑" w:cs="微软雅黑"/>
                <w:i/>
                <w:iCs/>
                <w:color w:val="000000"/>
                <w:sz w:val="16"/>
                <w:szCs w:val="16"/>
                <w:u w:val="none"/>
              </w:rPr>
            </w:pPr>
          </w:p>
        </w:tc>
      </w:tr>
      <w:tr w14:paraId="7378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B4F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79C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44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按照对国有企业退休人员社会化管理的要求，做好对退休人员的各项服务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7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F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E62">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09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有效保障</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D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60EB">
            <w:pPr>
              <w:jc w:val="center"/>
              <w:rPr>
                <w:rFonts w:hint="eastAsia" w:ascii="微软雅黑" w:hAnsi="微软雅黑" w:eastAsia="微软雅黑" w:cs="微软雅黑"/>
                <w:i/>
                <w:iCs/>
                <w:color w:val="000000"/>
                <w:sz w:val="16"/>
                <w:szCs w:val="16"/>
                <w:u w:val="none"/>
              </w:rPr>
            </w:pPr>
          </w:p>
        </w:tc>
      </w:tr>
      <w:tr w14:paraId="2399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7BA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3C4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3F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对国有企业退休人员服务时间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9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6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0A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BADC">
            <w:pPr>
              <w:jc w:val="center"/>
              <w:rPr>
                <w:rFonts w:hint="eastAsia" w:ascii="微软雅黑" w:hAnsi="微软雅黑" w:eastAsia="微软雅黑" w:cs="微软雅黑"/>
                <w:i/>
                <w:iCs/>
                <w:color w:val="000000"/>
                <w:sz w:val="16"/>
                <w:szCs w:val="16"/>
                <w:u w:val="none"/>
              </w:rPr>
            </w:pPr>
          </w:p>
        </w:tc>
      </w:tr>
      <w:tr w14:paraId="3C5F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095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61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AA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增强对国有企业退休人员的关爱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2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EAF9">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75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F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CB876">
            <w:pPr>
              <w:jc w:val="center"/>
              <w:rPr>
                <w:rFonts w:hint="eastAsia" w:ascii="微软雅黑" w:hAnsi="微软雅黑" w:eastAsia="微软雅黑" w:cs="微软雅黑"/>
                <w:i/>
                <w:iCs/>
                <w:color w:val="000000"/>
                <w:sz w:val="16"/>
                <w:szCs w:val="16"/>
                <w:u w:val="none"/>
              </w:rPr>
            </w:pPr>
          </w:p>
        </w:tc>
      </w:tr>
      <w:tr w14:paraId="29E9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D323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4C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B8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国有企业退休人员对档案和各项服务的满意度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9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0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86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2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00076">
            <w:pPr>
              <w:jc w:val="center"/>
              <w:rPr>
                <w:rFonts w:hint="eastAsia" w:ascii="微软雅黑" w:hAnsi="微软雅黑" w:eastAsia="微软雅黑" w:cs="微软雅黑"/>
                <w:i/>
                <w:iCs/>
                <w:color w:val="000000"/>
                <w:sz w:val="16"/>
                <w:szCs w:val="16"/>
                <w:u w:val="none"/>
              </w:rPr>
            </w:pPr>
          </w:p>
        </w:tc>
      </w:tr>
      <w:tr w14:paraId="54D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64FF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48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22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E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对国有企业退休人员档案管理和各项社会化服务费用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8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6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A0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8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1539">
            <w:pPr>
              <w:jc w:val="center"/>
              <w:rPr>
                <w:rFonts w:hint="eastAsia" w:ascii="微软雅黑" w:hAnsi="微软雅黑" w:eastAsia="微软雅黑" w:cs="微软雅黑"/>
                <w:i/>
                <w:iCs/>
                <w:color w:val="000000"/>
                <w:sz w:val="16"/>
                <w:szCs w:val="16"/>
                <w:u w:val="none"/>
              </w:rPr>
            </w:pPr>
          </w:p>
        </w:tc>
      </w:tr>
      <w:tr w14:paraId="22E7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1FC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DE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C5229">
            <w:pPr>
              <w:rPr>
                <w:rFonts w:hint="eastAsia" w:ascii="宋体" w:hAnsi="宋体" w:eastAsia="宋体" w:cs="宋体"/>
                <w:i w:val="0"/>
                <w:iCs w:val="0"/>
                <w:color w:val="000000"/>
                <w:sz w:val="18"/>
                <w:szCs w:val="18"/>
                <w:u w:val="none"/>
              </w:rPr>
            </w:pPr>
          </w:p>
        </w:tc>
      </w:tr>
      <w:tr w14:paraId="4953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8738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本项目得分100分，国有企业退休人员实现社会化管理。</w:t>
            </w:r>
          </w:p>
        </w:tc>
      </w:tr>
      <w:tr w14:paraId="0B34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C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E7563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国有企业退休人员的社会化管理上还需要优化</w:t>
            </w:r>
          </w:p>
        </w:tc>
      </w:tr>
      <w:tr w14:paraId="25FC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B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0A6D0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不断提高社会化管理工作质量，服务好每一位国有企业退休人员。</w:t>
            </w:r>
          </w:p>
        </w:tc>
      </w:tr>
      <w:tr w14:paraId="7EBC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AEE9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8A50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r w14:paraId="5470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5438E1C">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D3736D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8DB66C0">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9390DF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93F68A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2A0A05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BFF2A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98144E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836D0A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A46D3D3">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709357E3">
            <w:pPr>
              <w:rPr>
                <w:rFonts w:hint="eastAsia" w:ascii="宋体" w:hAnsi="宋体" w:eastAsia="宋体" w:cs="宋体"/>
                <w:i w:val="0"/>
                <w:iCs w:val="0"/>
                <w:color w:val="000000"/>
                <w:sz w:val="18"/>
                <w:szCs w:val="18"/>
                <w:u w:val="none"/>
              </w:rPr>
            </w:pPr>
          </w:p>
        </w:tc>
      </w:tr>
      <w:tr w14:paraId="6F31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FBB6CC1">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738F08F">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B2C6C2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73E429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5EB17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EFFE5D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575C7D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9E4406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82E058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E708A8B">
            <w:pPr>
              <w:rPr>
                <w:rFonts w:hint="eastAsia" w:ascii="宋体" w:hAnsi="宋体" w:eastAsia="宋体" w:cs="宋体"/>
                <w:i w:val="0"/>
                <w:iCs w:val="0"/>
                <w:color w:val="000000"/>
                <w:sz w:val="18"/>
                <w:szCs w:val="18"/>
                <w:u w:val="none"/>
              </w:rPr>
            </w:pPr>
          </w:p>
        </w:tc>
        <w:tc>
          <w:tcPr>
            <w:tcW w:w="2557" w:type="dxa"/>
            <w:gridSpan w:val="2"/>
            <w:tcBorders>
              <w:top w:val="nil"/>
              <w:left w:val="nil"/>
              <w:bottom w:val="nil"/>
              <w:right w:val="nil"/>
            </w:tcBorders>
            <w:shd w:val="clear" w:color="auto" w:fill="auto"/>
            <w:vAlign w:val="center"/>
          </w:tcPr>
          <w:p w14:paraId="699195F6">
            <w:pPr>
              <w:rPr>
                <w:rFonts w:hint="eastAsia" w:ascii="宋体" w:hAnsi="宋体" w:eastAsia="宋体" w:cs="宋体"/>
                <w:i w:val="0"/>
                <w:iCs w:val="0"/>
                <w:color w:val="000000"/>
                <w:sz w:val="18"/>
                <w:szCs w:val="18"/>
                <w:u w:val="none"/>
              </w:rPr>
            </w:pPr>
          </w:p>
        </w:tc>
      </w:tr>
      <w:tr w14:paraId="3955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012903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部门预算项目支出完成情况绩效自评表（2023年度）</w:t>
            </w:r>
          </w:p>
        </w:tc>
      </w:tr>
      <w:tr w14:paraId="098B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B67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0863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51172524T000010125767-铁牛村堰塘清淤维修资金</w:t>
            </w:r>
          </w:p>
        </w:tc>
      </w:tr>
      <w:tr w14:paraId="6D98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55B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5249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渠县李馥镇人民政府</w:t>
            </w:r>
          </w:p>
        </w:tc>
        <w:tc>
          <w:tcPr>
            <w:tcW w:w="1091" w:type="dxa"/>
            <w:tcBorders>
              <w:top w:val="nil"/>
              <w:left w:val="nil"/>
              <w:bottom w:val="nil"/>
              <w:right w:val="nil"/>
            </w:tcBorders>
            <w:shd w:val="clear" w:color="auto" w:fill="auto"/>
            <w:vAlign w:val="center"/>
          </w:tcPr>
          <w:p w14:paraId="109A91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12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渠县李馥镇财政所</w:t>
            </w:r>
          </w:p>
        </w:tc>
      </w:tr>
      <w:tr w14:paraId="61B7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D6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7C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2CE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2AD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80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AAA5">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DAD3">
            <w:pPr>
              <w:rPr>
                <w:rFonts w:hint="eastAsia" w:ascii="宋体" w:hAnsi="宋体" w:eastAsia="宋体" w:cs="宋体"/>
                <w:i w:val="0"/>
                <w:iCs w:val="0"/>
                <w:color w:val="000000"/>
                <w:sz w:val="18"/>
                <w:szCs w:val="18"/>
                <w:u w:val="none"/>
              </w:rPr>
            </w:pPr>
          </w:p>
        </w:tc>
        <w:tc>
          <w:tcPr>
            <w:tcW w:w="67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462D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提高农田水利灌溉能力，改善村民农业灌溉条件，实现增产增收</w:t>
            </w:r>
          </w:p>
        </w:tc>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424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提高农田水利灌溉能力，改善村民农业灌溉条件，实现增产增收</w:t>
            </w:r>
          </w:p>
        </w:tc>
      </w:tr>
      <w:tr w14:paraId="01E3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C77A">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72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3BC0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对铁牛村6组堰塘进行了清淤维修，改善村民灌溉条件</w:t>
            </w:r>
          </w:p>
        </w:tc>
      </w:tr>
      <w:tr w14:paraId="39F3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77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18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B7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9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7E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4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9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E9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71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7638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F0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2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18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D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71DDA">
            <w:pPr>
              <w:rPr>
                <w:rFonts w:hint="eastAsia" w:ascii="黑体" w:hAnsi="黑体" w:eastAsia="黑体" w:cs="黑体"/>
                <w:i/>
                <w:iCs/>
                <w:color w:val="000000"/>
                <w:sz w:val="18"/>
                <w:szCs w:val="18"/>
                <w:u w:val="none"/>
              </w:rPr>
            </w:pPr>
          </w:p>
        </w:tc>
      </w:tr>
      <w:tr w14:paraId="312B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66C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91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AE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7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97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2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4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E331">
            <w:pPr>
              <w:rPr>
                <w:rFonts w:hint="eastAsia" w:ascii="黑体" w:hAnsi="黑体" w:eastAsia="黑体" w:cs="黑体"/>
                <w:i/>
                <w:iCs/>
                <w:color w:val="000000"/>
                <w:sz w:val="18"/>
                <w:szCs w:val="18"/>
                <w:u w:val="none"/>
              </w:rPr>
            </w:pPr>
          </w:p>
        </w:tc>
      </w:tr>
      <w:tr w14:paraId="56D6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F08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DE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30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4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D6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D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8BB57">
            <w:pPr>
              <w:rPr>
                <w:rFonts w:hint="eastAsia" w:ascii="黑体" w:hAnsi="黑体" w:eastAsia="黑体" w:cs="黑体"/>
                <w:i/>
                <w:iCs/>
                <w:color w:val="000000"/>
                <w:sz w:val="18"/>
                <w:szCs w:val="18"/>
                <w:u w:val="none"/>
              </w:rPr>
            </w:pPr>
          </w:p>
        </w:tc>
      </w:tr>
      <w:tr w14:paraId="645E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350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0E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9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A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E6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E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A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84ED0">
            <w:pPr>
              <w:rPr>
                <w:rFonts w:hint="eastAsia" w:ascii="黑体" w:hAnsi="黑体" w:eastAsia="黑体" w:cs="黑体"/>
                <w:i/>
                <w:iCs/>
                <w:color w:val="000000"/>
                <w:sz w:val="18"/>
                <w:szCs w:val="18"/>
                <w:u w:val="none"/>
              </w:rPr>
            </w:pPr>
          </w:p>
        </w:tc>
      </w:tr>
      <w:tr w14:paraId="458A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C05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06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8B4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DB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D938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9B3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C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C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CE528">
            <w:pPr>
              <w:rPr>
                <w:rFonts w:hint="eastAsia" w:ascii="黑体" w:hAnsi="黑体" w:eastAsia="黑体" w:cs="黑体"/>
                <w:i/>
                <w:iCs/>
                <w:color w:val="000000"/>
                <w:sz w:val="18"/>
                <w:szCs w:val="18"/>
                <w:u w:val="none"/>
              </w:rPr>
            </w:pPr>
          </w:p>
        </w:tc>
      </w:tr>
      <w:tr w14:paraId="444D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66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06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9E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B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C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C3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33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8E5D">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3A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B9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堰塘清淤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84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0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C5FF8">
            <w:pPr>
              <w:jc w:val="center"/>
              <w:rPr>
                <w:rFonts w:hint="eastAsia" w:ascii="微软雅黑" w:hAnsi="微软雅黑" w:eastAsia="微软雅黑" w:cs="微软雅黑"/>
                <w:i/>
                <w:iCs/>
                <w:color w:val="000000"/>
                <w:sz w:val="16"/>
                <w:szCs w:val="16"/>
                <w:u w:val="none"/>
              </w:rPr>
            </w:pPr>
          </w:p>
        </w:tc>
      </w:tr>
      <w:tr w14:paraId="0382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DBB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1D43">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12B4">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A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堰坎铺设浆砌条石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3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140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5EAF">
            <w:pPr>
              <w:jc w:val="center"/>
              <w:rPr>
                <w:rFonts w:hint="eastAsia" w:ascii="微软雅黑" w:hAnsi="微软雅黑" w:eastAsia="微软雅黑" w:cs="微软雅黑"/>
                <w:i/>
                <w:iCs/>
                <w:color w:val="000000"/>
                <w:sz w:val="16"/>
                <w:szCs w:val="16"/>
                <w:u w:val="none"/>
              </w:rPr>
            </w:pPr>
          </w:p>
        </w:tc>
      </w:tr>
      <w:tr w14:paraId="4F6C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C15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E26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CA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9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8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8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2B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1F022">
            <w:pPr>
              <w:jc w:val="center"/>
              <w:rPr>
                <w:rFonts w:hint="eastAsia" w:ascii="微软雅黑" w:hAnsi="微软雅黑" w:eastAsia="微软雅黑" w:cs="微软雅黑"/>
                <w:i/>
                <w:iCs/>
                <w:color w:val="000000"/>
                <w:sz w:val="16"/>
                <w:szCs w:val="16"/>
                <w:u w:val="none"/>
              </w:rPr>
            </w:pPr>
          </w:p>
        </w:tc>
      </w:tr>
      <w:tr w14:paraId="67BB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0AF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617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0D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A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552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F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BEF7">
            <w:pPr>
              <w:jc w:val="center"/>
              <w:rPr>
                <w:rFonts w:hint="eastAsia" w:ascii="微软雅黑" w:hAnsi="微软雅黑" w:eastAsia="微软雅黑" w:cs="微软雅黑"/>
                <w:i/>
                <w:iCs/>
                <w:color w:val="000000"/>
                <w:sz w:val="16"/>
                <w:szCs w:val="16"/>
                <w:u w:val="none"/>
              </w:rPr>
            </w:pPr>
          </w:p>
        </w:tc>
      </w:tr>
      <w:tr w14:paraId="1653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B7E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8B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9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提高农田水利灌溉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1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622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E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8D629">
            <w:pPr>
              <w:jc w:val="center"/>
              <w:rPr>
                <w:rFonts w:hint="eastAsia" w:ascii="微软雅黑" w:hAnsi="微软雅黑" w:eastAsia="微软雅黑" w:cs="微软雅黑"/>
                <w:i/>
                <w:iCs/>
                <w:color w:val="000000"/>
                <w:sz w:val="16"/>
                <w:szCs w:val="16"/>
                <w:u w:val="none"/>
              </w:rPr>
            </w:pPr>
          </w:p>
        </w:tc>
      </w:tr>
      <w:tr w14:paraId="4360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A497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3A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A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C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F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C1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2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A9C44">
            <w:pPr>
              <w:jc w:val="center"/>
              <w:rPr>
                <w:rFonts w:hint="eastAsia" w:ascii="微软雅黑" w:hAnsi="微软雅黑" w:eastAsia="微软雅黑" w:cs="微软雅黑"/>
                <w:i/>
                <w:iCs/>
                <w:color w:val="000000"/>
                <w:sz w:val="16"/>
                <w:szCs w:val="16"/>
                <w:u w:val="none"/>
              </w:rPr>
            </w:pPr>
          </w:p>
        </w:tc>
      </w:tr>
      <w:tr w14:paraId="3861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F1F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C5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60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6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堰塘清淤投入成本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A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9F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F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3B77D">
            <w:pPr>
              <w:jc w:val="center"/>
              <w:rPr>
                <w:rFonts w:hint="eastAsia" w:ascii="微软雅黑" w:hAnsi="微软雅黑" w:eastAsia="微软雅黑" w:cs="微软雅黑"/>
                <w:i/>
                <w:iCs/>
                <w:color w:val="000000"/>
                <w:sz w:val="16"/>
                <w:szCs w:val="16"/>
                <w:u w:val="none"/>
              </w:rPr>
            </w:pPr>
          </w:p>
        </w:tc>
      </w:tr>
      <w:tr w14:paraId="3240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972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7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F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0D26D">
            <w:pPr>
              <w:rPr>
                <w:rFonts w:hint="eastAsia" w:ascii="宋体" w:hAnsi="宋体" w:eastAsia="宋体" w:cs="宋体"/>
                <w:i w:val="0"/>
                <w:iCs w:val="0"/>
                <w:color w:val="000000"/>
                <w:sz w:val="18"/>
                <w:szCs w:val="18"/>
                <w:u w:val="none"/>
              </w:rPr>
            </w:pPr>
          </w:p>
        </w:tc>
      </w:tr>
      <w:tr w14:paraId="6D10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BC2F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本项目得分98分，改善村民农业灌溉条件，实现增产增收</w:t>
            </w:r>
          </w:p>
        </w:tc>
      </w:tr>
      <w:tr w14:paraId="3085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1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9121D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资金不足</w:t>
            </w:r>
          </w:p>
        </w:tc>
      </w:tr>
      <w:tr w14:paraId="077C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54C7C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加大资金投入,建立长效机制。</w:t>
            </w:r>
          </w:p>
        </w:tc>
      </w:tr>
      <w:tr w14:paraId="7987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ED29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项目负责人：苏毅</w:t>
            </w:r>
          </w:p>
        </w:tc>
        <w:tc>
          <w:tcPr>
            <w:tcW w:w="6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854D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财务负责人：张松</w:t>
            </w:r>
          </w:p>
        </w:tc>
      </w:tr>
    </w:tbl>
    <w:p w14:paraId="77063705">
      <w:pPr>
        <w:numPr>
          <w:ilvl w:val="0"/>
          <w:numId w:val="0"/>
        </w:numPr>
        <w:ind w:firstLine="2700" w:firstLineChars="900"/>
        <w:rPr>
          <w:rFonts w:hint="eastAsia" w:ascii="黑体" w:hAnsi="黑体" w:eastAsia="黑体" w:cs="黑体"/>
          <w:kern w:val="2"/>
          <w:sz w:val="30"/>
          <w:szCs w:val="30"/>
          <w:highlight w:val="none"/>
          <w:lang w:val="en-US" w:eastAsia="zh-CN" w:bidi="ar-SA"/>
        </w:rPr>
      </w:pPr>
    </w:p>
    <w:p w14:paraId="609DA42F">
      <w:pPr>
        <w:numPr>
          <w:ilvl w:val="0"/>
          <w:numId w:val="0"/>
        </w:numPr>
        <w:rPr>
          <w:rFonts w:hint="eastAsia" w:ascii="黑体" w:hAnsi="黑体" w:eastAsia="黑体" w:cs="黑体"/>
          <w:kern w:val="2"/>
          <w:sz w:val="30"/>
          <w:szCs w:val="30"/>
          <w:highlight w:val="none"/>
          <w:lang w:val="en-US" w:eastAsia="zh-CN" w:bidi="ar-SA"/>
        </w:rPr>
      </w:pPr>
    </w:p>
    <w:p w14:paraId="7B50A9F8">
      <w:pPr>
        <w:numPr>
          <w:ilvl w:val="0"/>
          <w:numId w:val="0"/>
        </w:numPr>
        <w:rPr>
          <w:rFonts w:hint="eastAsia" w:ascii="黑体" w:hAnsi="黑体" w:eastAsia="黑体" w:cs="黑体"/>
          <w:kern w:val="2"/>
          <w:sz w:val="30"/>
          <w:szCs w:val="30"/>
          <w:highlight w:val="none"/>
          <w:lang w:val="en-US" w:eastAsia="zh-CN" w:bidi="ar-SA"/>
        </w:rPr>
      </w:pPr>
    </w:p>
    <w:p w14:paraId="55854685">
      <w:pPr>
        <w:numPr>
          <w:ilvl w:val="0"/>
          <w:numId w:val="0"/>
        </w:numPr>
        <w:rPr>
          <w:rFonts w:hint="eastAsia" w:ascii="黑体" w:hAnsi="黑体" w:eastAsia="黑体" w:cs="黑体"/>
          <w:kern w:val="2"/>
          <w:sz w:val="30"/>
          <w:szCs w:val="30"/>
          <w:highlight w:val="none"/>
          <w:lang w:val="en-US" w:eastAsia="zh-CN" w:bidi="ar-SA"/>
        </w:rPr>
      </w:pPr>
    </w:p>
    <w:p w14:paraId="28245C8B">
      <w:pPr>
        <w:numPr>
          <w:ilvl w:val="0"/>
          <w:numId w:val="0"/>
        </w:numPr>
        <w:rPr>
          <w:rFonts w:hint="eastAsia" w:ascii="黑体" w:hAnsi="黑体" w:eastAsia="黑体" w:cs="黑体"/>
          <w:kern w:val="2"/>
          <w:sz w:val="30"/>
          <w:szCs w:val="30"/>
          <w:highlight w:val="none"/>
          <w:lang w:val="en-US" w:eastAsia="zh-CN" w:bidi="ar-SA"/>
        </w:rPr>
      </w:pPr>
    </w:p>
    <w:p w14:paraId="3633AFF1">
      <w:pPr>
        <w:numPr>
          <w:ilvl w:val="0"/>
          <w:numId w:val="0"/>
        </w:numPr>
        <w:rPr>
          <w:rFonts w:hint="eastAsia" w:ascii="黑体" w:hAnsi="黑体" w:eastAsia="黑体" w:cs="黑体"/>
          <w:kern w:val="2"/>
          <w:sz w:val="30"/>
          <w:szCs w:val="30"/>
          <w:highlight w:val="none"/>
          <w:lang w:val="en-US" w:eastAsia="zh-CN" w:bidi="ar-SA"/>
        </w:rPr>
      </w:pPr>
    </w:p>
    <w:p w14:paraId="60E7C419">
      <w:pPr>
        <w:numPr>
          <w:ilvl w:val="0"/>
          <w:numId w:val="0"/>
        </w:numPr>
        <w:rPr>
          <w:rFonts w:hint="eastAsia" w:ascii="黑体" w:hAnsi="黑体" w:eastAsia="黑体" w:cs="黑体"/>
          <w:kern w:val="2"/>
          <w:sz w:val="30"/>
          <w:szCs w:val="30"/>
          <w:highlight w:val="none"/>
          <w:lang w:val="en-US" w:eastAsia="zh-CN" w:bidi="ar-SA"/>
        </w:rPr>
      </w:pPr>
    </w:p>
    <w:p w14:paraId="368D1141">
      <w:pPr>
        <w:numPr>
          <w:ilvl w:val="0"/>
          <w:numId w:val="0"/>
        </w:numPr>
        <w:rPr>
          <w:rFonts w:hint="eastAsia" w:ascii="黑体" w:hAnsi="黑体" w:eastAsia="黑体" w:cs="黑体"/>
          <w:kern w:val="2"/>
          <w:sz w:val="30"/>
          <w:szCs w:val="30"/>
          <w:highlight w:val="none"/>
          <w:lang w:val="en-US" w:eastAsia="zh-CN" w:bidi="ar-SA"/>
        </w:rPr>
      </w:pPr>
    </w:p>
    <w:p w14:paraId="34FBF2BE">
      <w:pPr>
        <w:numPr>
          <w:ilvl w:val="0"/>
          <w:numId w:val="0"/>
        </w:numPr>
        <w:rPr>
          <w:rFonts w:hint="default" w:ascii="Times New Roman" w:hAnsi="Times New Roman" w:eastAsia="仿宋_GB2312" w:cs="Times New Roman"/>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附表3</w:t>
      </w:r>
    </w:p>
    <w:tbl>
      <w:tblPr>
        <w:tblStyle w:val="12"/>
        <w:tblW w:w="10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717"/>
        <w:gridCol w:w="946"/>
        <w:gridCol w:w="493"/>
        <w:gridCol w:w="1550"/>
        <w:gridCol w:w="912"/>
        <w:gridCol w:w="4492"/>
        <w:gridCol w:w="717"/>
      </w:tblGrid>
      <w:tr w14:paraId="09B4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90" w:type="dxa"/>
            <w:tcBorders>
              <w:top w:val="nil"/>
              <w:left w:val="nil"/>
              <w:bottom w:val="nil"/>
              <w:right w:val="nil"/>
            </w:tcBorders>
            <w:shd w:val="clear" w:color="auto" w:fill="auto"/>
            <w:vAlign w:val="center"/>
          </w:tcPr>
          <w:p w14:paraId="20EAEF57">
            <w:pPr>
              <w:rPr>
                <w:rFonts w:hint="eastAsia" w:ascii="宋体" w:hAnsi="宋体" w:eastAsia="宋体" w:cs="宋体"/>
                <w:i w:val="0"/>
                <w:iCs w:val="0"/>
                <w:color w:val="000000"/>
                <w:sz w:val="20"/>
                <w:szCs w:val="20"/>
                <w:u w:val="none"/>
              </w:rPr>
            </w:pPr>
          </w:p>
        </w:tc>
        <w:tc>
          <w:tcPr>
            <w:tcW w:w="9240" w:type="dxa"/>
            <w:gridSpan w:val="6"/>
            <w:tcBorders>
              <w:top w:val="nil"/>
              <w:left w:val="nil"/>
              <w:bottom w:val="nil"/>
              <w:right w:val="nil"/>
            </w:tcBorders>
            <w:shd w:val="clear" w:color="auto" w:fill="auto"/>
            <w:vAlign w:val="center"/>
          </w:tcPr>
          <w:p w14:paraId="26A389F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黑体" w:hAnsi="宋体" w:eastAsia="黑体" w:cs="黑体"/>
                <w:i w:val="0"/>
                <w:iCs w:val="0"/>
                <w:color w:val="000000"/>
                <w:kern w:val="0"/>
                <w:sz w:val="30"/>
                <w:szCs w:val="30"/>
                <w:u w:val="none"/>
                <w:lang w:val="en-US" w:eastAsia="zh-CN" w:bidi="ar"/>
              </w:rPr>
              <w:t>2023年部门整体支出绩效评价指标体系</w:t>
            </w:r>
          </w:p>
        </w:tc>
        <w:tc>
          <w:tcPr>
            <w:tcW w:w="585" w:type="dxa"/>
            <w:tcBorders>
              <w:top w:val="nil"/>
              <w:left w:val="nil"/>
              <w:bottom w:val="nil"/>
              <w:right w:val="nil"/>
            </w:tcBorders>
            <w:shd w:val="clear" w:color="auto" w:fill="auto"/>
            <w:vAlign w:val="center"/>
          </w:tcPr>
          <w:p w14:paraId="1AB77F3A">
            <w:pPr>
              <w:jc w:val="center"/>
              <w:rPr>
                <w:rFonts w:hint="default" w:ascii="方正小标宋简体" w:hAnsi="方正小标宋简体" w:eastAsia="方正小标宋简体" w:cs="方正小标宋简体"/>
                <w:i w:val="0"/>
                <w:iCs w:val="0"/>
                <w:color w:val="000000"/>
                <w:sz w:val="20"/>
                <w:szCs w:val="20"/>
                <w:u w:val="none"/>
              </w:rPr>
            </w:pPr>
          </w:p>
        </w:tc>
      </w:tr>
      <w:tr w14:paraId="3C6E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0" w:type="dxa"/>
            <w:tcBorders>
              <w:top w:val="nil"/>
              <w:left w:val="nil"/>
              <w:bottom w:val="nil"/>
              <w:right w:val="nil"/>
            </w:tcBorders>
            <w:shd w:val="clear" w:color="auto" w:fill="auto"/>
            <w:vAlign w:val="center"/>
          </w:tcPr>
          <w:p w14:paraId="30BD4A1C">
            <w:pPr>
              <w:rPr>
                <w:rFonts w:hint="eastAsia" w:ascii="宋体" w:hAnsi="宋体" w:eastAsia="宋体" w:cs="宋体"/>
                <w:i w:val="0"/>
                <w:iCs w:val="0"/>
                <w:color w:val="000000"/>
                <w:sz w:val="20"/>
                <w:szCs w:val="20"/>
                <w:u w:val="none"/>
              </w:rPr>
            </w:pPr>
          </w:p>
        </w:tc>
        <w:tc>
          <w:tcPr>
            <w:tcW w:w="720" w:type="dxa"/>
            <w:tcBorders>
              <w:top w:val="nil"/>
              <w:left w:val="nil"/>
              <w:bottom w:val="nil"/>
              <w:right w:val="nil"/>
            </w:tcBorders>
            <w:shd w:val="clear" w:color="auto" w:fill="auto"/>
            <w:vAlign w:val="center"/>
          </w:tcPr>
          <w:p w14:paraId="25B49E89">
            <w:pPr>
              <w:jc w:val="center"/>
              <w:rPr>
                <w:rFonts w:hint="default" w:ascii="方正小标宋简体" w:hAnsi="方正小标宋简体" w:eastAsia="方正小标宋简体" w:cs="方正小标宋简体"/>
                <w:i w:val="0"/>
                <w:iCs w:val="0"/>
                <w:color w:val="000000"/>
                <w:sz w:val="20"/>
                <w:szCs w:val="20"/>
                <w:u w:val="none"/>
              </w:rPr>
            </w:pPr>
          </w:p>
        </w:tc>
        <w:tc>
          <w:tcPr>
            <w:tcW w:w="960" w:type="dxa"/>
            <w:tcBorders>
              <w:top w:val="nil"/>
              <w:left w:val="nil"/>
              <w:bottom w:val="nil"/>
              <w:right w:val="nil"/>
            </w:tcBorders>
            <w:shd w:val="clear" w:color="auto" w:fill="auto"/>
            <w:vAlign w:val="center"/>
          </w:tcPr>
          <w:p w14:paraId="6483912A">
            <w:pPr>
              <w:jc w:val="center"/>
              <w:rPr>
                <w:rFonts w:hint="default" w:ascii="方正小标宋简体" w:hAnsi="方正小标宋简体" w:eastAsia="方正小标宋简体" w:cs="方正小标宋简体"/>
                <w:i w:val="0"/>
                <w:iCs w:val="0"/>
                <w:color w:val="000000"/>
                <w:sz w:val="20"/>
                <w:szCs w:val="20"/>
                <w:u w:val="none"/>
              </w:rPr>
            </w:pPr>
          </w:p>
        </w:tc>
        <w:tc>
          <w:tcPr>
            <w:tcW w:w="495" w:type="dxa"/>
            <w:tcBorders>
              <w:top w:val="nil"/>
              <w:left w:val="nil"/>
              <w:bottom w:val="nil"/>
              <w:right w:val="nil"/>
            </w:tcBorders>
            <w:shd w:val="clear" w:color="auto" w:fill="auto"/>
            <w:vAlign w:val="center"/>
          </w:tcPr>
          <w:p w14:paraId="6A5CF68A">
            <w:pPr>
              <w:jc w:val="center"/>
              <w:rPr>
                <w:rFonts w:hint="default" w:ascii="方正小标宋简体" w:hAnsi="方正小标宋简体" w:eastAsia="方正小标宋简体" w:cs="方正小标宋简体"/>
                <w:i w:val="0"/>
                <w:iCs w:val="0"/>
                <w:color w:val="000000"/>
                <w:sz w:val="20"/>
                <w:szCs w:val="20"/>
                <w:u w:val="none"/>
              </w:rPr>
            </w:pPr>
          </w:p>
        </w:tc>
        <w:tc>
          <w:tcPr>
            <w:tcW w:w="1575" w:type="dxa"/>
            <w:tcBorders>
              <w:top w:val="nil"/>
              <w:left w:val="nil"/>
              <w:bottom w:val="nil"/>
              <w:right w:val="nil"/>
            </w:tcBorders>
            <w:shd w:val="clear" w:color="auto" w:fill="auto"/>
            <w:vAlign w:val="center"/>
          </w:tcPr>
          <w:p w14:paraId="524B37AD">
            <w:pPr>
              <w:jc w:val="center"/>
              <w:rPr>
                <w:rFonts w:hint="default" w:ascii="方正小标宋简体" w:hAnsi="方正小标宋简体" w:eastAsia="方正小标宋简体" w:cs="方正小标宋简体"/>
                <w:i w:val="0"/>
                <w:iCs w:val="0"/>
                <w:color w:val="000000"/>
                <w:sz w:val="20"/>
                <w:szCs w:val="20"/>
                <w:u w:val="none"/>
              </w:rPr>
            </w:pPr>
          </w:p>
        </w:tc>
        <w:tc>
          <w:tcPr>
            <w:tcW w:w="915" w:type="dxa"/>
            <w:tcBorders>
              <w:top w:val="nil"/>
              <w:left w:val="nil"/>
              <w:bottom w:val="nil"/>
              <w:right w:val="nil"/>
            </w:tcBorders>
            <w:shd w:val="clear" w:color="auto" w:fill="auto"/>
            <w:vAlign w:val="center"/>
          </w:tcPr>
          <w:p w14:paraId="2A947027">
            <w:pPr>
              <w:jc w:val="center"/>
              <w:rPr>
                <w:rFonts w:hint="default" w:ascii="方正小标宋简体" w:hAnsi="方正小标宋简体" w:eastAsia="方正小标宋简体" w:cs="方正小标宋简体"/>
                <w:i w:val="0"/>
                <w:iCs w:val="0"/>
                <w:color w:val="000000"/>
                <w:sz w:val="20"/>
                <w:szCs w:val="20"/>
                <w:u w:val="none"/>
              </w:rPr>
            </w:pPr>
          </w:p>
        </w:tc>
        <w:tc>
          <w:tcPr>
            <w:tcW w:w="4575" w:type="dxa"/>
            <w:tcBorders>
              <w:top w:val="nil"/>
              <w:left w:val="nil"/>
              <w:bottom w:val="nil"/>
              <w:right w:val="nil"/>
            </w:tcBorders>
            <w:shd w:val="clear" w:color="auto" w:fill="auto"/>
            <w:vAlign w:val="center"/>
          </w:tcPr>
          <w:p w14:paraId="1B7D80DE">
            <w:pPr>
              <w:jc w:val="center"/>
              <w:rPr>
                <w:rFonts w:hint="default" w:ascii="方正小标宋简体" w:hAnsi="方正小标宋简体" w:eastAsia="方正小标宋简体" w:cs="方正小标宋简体"/>
                <w:i w:val="0"/>
                <w:iCs w:val="0"/>
                <w:color w:val="000000"/>
                <w:sz w:val="20"/>
                <w:szCs w:val="20"/>
                <w:u w:val="none"/>
              </w:rPr>
            </w:pPr>
          </w:p>
        </w:tc>
        <w:tc>
          <w:tcPr>
            <w:tcW w:w="585" w:type="dxa"/>
            <w:tcBorders>
              <w:top w:val="nil"/>
              <w:left w:val="nil"/>
              <w:bottom w:val="nil"/>
              <w:right w:val="nil"/>
            </w:tcBorders>
            <w:shd w:val="clear" w:color="auto" w:fill="auto"/>
            <w:vAlign w:val="center"/>
          </w:tcPr>
          <w:p w14:paraId="7A6904CD">
            <w:pPr>
              <w:jc w:val="center"/>
              <w:rPr>
                <w:rFonts w:hint="default" w:ascii="方正小标宋简体" w:hAnsi="方正小标宋简体" w:eastAsia="方正小标宋简体" w:cs="方正小标宋简体"/>
                <w:i w:val="0"/>
                <w:iCs w:val="0"/>
                <w:color w:val="000000"/>
                <w:sz w:val="20"/>
                <w:szCs w:val="20"/>
                <w:u w:val="none"/>
              </w:rPr>
            </w:pPr>
          </w:p>
        </w:tc>
      </w:tr>
      <w:tr w14:paraId="34E9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06CA5">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绩效评价指标</w:t>
            </w:r>
          </w:p>
          <w:p w14:paraId="5D865375">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指标分值</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B15C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指标解释</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0A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评分方法</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C6D0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评分说明</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D93F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得分</w:t>
            </w:r>
          </w:p>
        </w:tc>
      </w:tr>
      <w:tr w14:paraId="001F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nil"/>
              <w:right w:val="nil"/>
            </w:tcBorders>
            <w:shd w:val="clear" w:color="auto" w:fill="auto"/>
            <w:vAlign w:val="center"/>
          </w:tcPr>
          <w:p w14:paraId="695CEF4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一级指标</w:t>
            </w:r>
          </w:p>
        </w:tc>
        <w:tc>
          <w:tcPr>
            <w:tcW w:w="720" w:type="dxa"/>
            <w:tcBorders>
              <w:top w:val="single" w:color="000000" w:sz="4" w:space="0"/>
              <w:left w:val="single" w:color="000000" w:sz="4" w:space="0"/>
              <w:bottom w:val="nil"/>
              <w:right w:val="single" w:color="000000" w:sz="4" w:space="0"/>
            </w:tcBorders>
            <w:shd w:val="clear" w:color="auto" w:fill="auto"/>
            <w:vAlign w:val="center"/>
          </w:tcPr>
          <w:p w14:paraId="5AAC929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二级指标</w:t>
            </w:r>
          </w:p>
        </w:tc>
        <w:tc>
          <w:tcPr>
            <w:tcW w:w="960" w:type="dxa"/>
            <w:tcBorders>
              <w:top w:val="single" w:color="000000" w:sz="4" w:space="0"/>
              <w:left w:val="single" w:color="000000" w:sz="4" w:space="0"/>
              <w:bottom w:val="nil"/>
              <w:right w:val="single" w:color="000000" w:sz="4" w:space="0"/>
            </w:tcBorders>
            <w:shd w:val="clear" w:color="auto" w:fill="auto"/>
            <w:vAlign w:val="center"/>
          </w:tcPr>
          <w:p w14:paraId="28FC232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1D8FA96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指标</w:t>
            </w:r>
          </w:p>
          <w:p w14:paraId="66DF2CE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A905">
            <w:pPr>
              <w:jc w:val="center"/>
              <w:rPr>
                <w:rFonts w:hint="eastAsia" w:ascii="黑体" w:hAnsi="宋体" w:eastAsia="黑体" w:cs="黑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4B62">
            <w:pPr>
              <w:jc w:val="center"/>
              <w:rPr>
                <w:rFonts w:hint="eastAsia" w:ascii="黑体" w:hAnsi="宋体" w:eastAsia="黑体" w:cs="黑体"/>
                <w:i w:val="0"/>
                <w:iCs w:val="0"/>
                <w:color w:val="000000"/>
                <w:sz w:val="20"/>
                <w:szCs w:val="20"/>
                <w:u w:val="none"/>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B3BC">
            <w:pPr>
              <w:jc w:val="center"/>
              <w:rPr>
                <w:rFonts w:hint="eastAsia" w:ascii="黑体" w:hAnsi="宋体" w:eastAsia="黑体" w:cs="黑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53E1">
            <w:pPr>
              <w:jc w:val="center"/>
              <w:rPr>
                <w:rFonts w:hint="eastAsia" w:ascii="黑体" w:hAnsi="宋体" w:eastAsia="黑体" w:cs="黑体"/>
                <w:i w:val="0"/>
                <w:iCs w:val="0"/>
                <w:color w:val="000000"/>
                <w:sz w:val="20"/>
                <w:szCs w:val="20"/>
                <w:u w:val="none"/>
              </w:rPr>
            </w:pPr>
          </w:p>
        </w:tc>
      </w:tr>
      <w:tr w14:paraId="414E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611D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评价得分</w:t>
            </w:r>
          </w:p>
        </w:tc>
        <w:tc>
          <w:tcPr>
            <w:tcW w:w="585" w:type="dxa"/>
            <w:tcBorders>
              <w:top w:val="nil"/>
              <w:left w:val="single" w:color="000000" w:sz="4" w:space="0"/>
              <w:bottom w:val="nil"/>
              <w:right w:val="single" w:color="000000" w:sz="4" w:space="0"/>
            </w:tcBorders>
            <w:shd w:val="clear" w:color="auto" w:fill="auto"/>
            <w:vAlign w:val="center"/>
          </w:tcPr>
          <w:p w14:paraId="1979E8CC">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92.14</w:t>
            </w:r>
          </w:p>
        </w:tc>
      </w:tr>
      <w:tr w14:paraId="7FAA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A767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总体绩效</w:t>
            </w:r>
          </w:p>
          <w:p w14:paraId="0828F1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1F3E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履职效能</w:t>
            </w:r>
          </w:p>
          <w:p w14:paraId="6F89E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党建工作履职效果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DD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39D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部门整体绩效目标中选定3-5个核心职能目标，反映该项职能目标完成效果情况</w:t>
            </w:r>
          </w:p>
        </w:tc>
        <w:tc>
          <w:tcPr>
            <w:tcW w:w="91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1E94C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82FE7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绩效目标中选定3-5个可量化计算、可评价的核心职能目标，分别设定指标分值、指标解释、评分方法和评分说明，总分值不超过15分。该项指标得分=年终完成履职效果目标数量÷年初目标设置总数×100%×指标分值。履职效能总分为各项履职效果得分的和。</w:t>
            </w:r>
          </w:p>
        </w:tc>
        <w:tc>
          <w:tcPr>
            <w:tcW w:w="58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2376C2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r>
      <w:tr w14:paraId="1EFC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C2FC">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FF319">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A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安全生产工作履职效果</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359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82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307B1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0"/>
                <w:szCs w:val="20"/>
                <w:u w:val="none"/>
              </w:rPr>
            </w:pPr>
          </w:p>
        </w:tc>
        <w:tc>
          <w:tcPr>
            <w:tcW w:w="45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B646A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1C88714">
            <w:pPr>
              <w:jc w:val="center"/>
              <w:rPr>
                <w:rFonts w:hint="eastAsia" w:ascii="宋体" w:hAnsi="宋体" w:eastAsia="宋体" w:cs="宋体"/>
                <w:i w:val="0"/>
                <w:iCs w:val="0"/>
                <w:color w:val="000000"/>
                <w:sz w:val="20"/>
                <w:szCs w:val="20"/>
                <w:u w:val="none"/>
              </w:rPr>
            </w:pPr>
          </w:p>
        </w:tc>
      </w:tr>
      <w:tr w14:paraId="56FA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5421">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F55C">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民生民计工作履职效果</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5E7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E2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E560FD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0"/>
                <w:szCs w:val="20"/>
                <w:u w:val="none"/>
              </w:rPr>
            </w:pPr>
          </w:p>
        </w:tc>
        <w:tc>
          <w:tcPr>
            <w:tcW w:w="45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F0801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FAA8D60">
            <w:pPr>
              <w:jc w:val="center"/>
              <w:rPr>
                <w:rFonts w:hint="eastAsia" w:ascii="宋体" w:hAnsi="宋体" w:eastAsia="宋体" w:cs="宋体"/>
                <w:i w:val="0"/>
                <w:iCs w:val="0"/>
                <w:color w:val="000000"/>
                <w:sz w:val="20"/>
                <w:szCs w:val="20"/>
                <w:u w:val="none"/>
              </w:rPr>
            </w:pPr>
          </w:p>
        </w:tc>
      </w:tr>
      <w:tr w14:paraId="7503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D1C4">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8B230A7">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p>
          <w:p w14:paraId="01C93B74">
            <w:pPr>
              <w:pStyle w:val="4"/>
              <w:rPr>
                <w:rFonts w:hint="eastAsia"/>
                <w:lang w:val="en-US" w:eastAsia="zh-CN"/>
              </w:rPr>
            </w:pPr>
          </w:p>
          <w:p w14:paraId="6FCB9C0A">
            <w:pPr>
              <w:pStyle w:val="4"/>
              <w:rPr>
                <w:rFonts w:hint="eastAsia"/>
                <w:lang w:val="en-US" w:eastAsia="zh-CN"/>
              </w:rPr>
            </w:pPr>
          </w:p>
          <w:p w14:paraId="619A7CC1">
            <w:pPr>
              <w:pStyle w:val="4"/>
              <w:rPr>
                <w:rFonts w:hint="eastAsia"/>
                <w:lang w:val="en-US" w:eastAsia="zh-CN"/>
              </w:rPr>
            </w:pPr>
          </w:p>
          <w:p w14:paraId="2BEDAA7E">
            <w:pPr>
              <w:pStyle w:val="4"/>
              <w:rPr>
                <w:rFonts w:hint="eastAsia"/>
                <w:lang w:val="en-US" w:eastAsia="zh-CN"/>
              </w:rPr>
            </w:pPr>
          </w:p>
          <w:p w14:paraId="0F4EC984">
            <w:pPr>
              <w:pStyle w:val="4"/>
              <w:rPr>
                <w:rFonts w:hint="eastAsia"/>
                <w:lang w:val="en-US" w:eastAsia="zh-CN"/>
              </w:rPr>
            </w:pPr>
          </w:p>
          <w:p w14:paraId="7C148212">
            <w:pPr>
              <w:pStyle w:val="4"/>
              <w:rPr>
                <w:rFonts w:hint="eastAsia"/>
                <w:lang w:val="en-US" w:eastAsia="zh-CN"/>
              </w:rPr>
            </w:pPr>
          </w:p>
          <w:p w14:paraId="29958468">
            <w:pPr>
              <w:pStyle w:val="4"/>
              <w:rPr>
                <w:rFonts w:hint="eastAsia"/>
                <w:lang w:val="en-US" w:eastAsia="zh-CN"/>
              </w:rPr>
            </w:pPr>
          </w:p>
          <w:p w14:paraId="06C72420">
            <w:pPr>
              <w:pStyle w:val="4"/>
              <w:rPr>
                <w:rFonts w:hint="eastAsia"/>
                <w:lang w:val="en-US" w:eastAsia="zh-CN"/>
              </w:rPr>
            </w:pPr>
          </w:p>
          <w:p w14:paraId="3E33892E">
            <w:pPr>
              <w:pStyle w:val="4"/>
              <w:rPr>
                <w:rFonts w:hint="eastAsia"/>
                <w:lang w:val="en-US" w:eastAsia="zh-CN"/>
              </w:rPr>
            </w:pPr>
          </w:p>
          <w:p w14:paraId="7BDA56AE">
            <w:pPr>
              <w:pStyle w:val="4"/>
              <w:rPr>
                <w:rFonts w:hint="eastAsia"/>
                <w:lang w:val="en-US" w:eastAsia="zh-CN"/>
              </w:rPr>
            </w:pPr>
          </w:p>
          <w:p w14:paraId="2EF900FB">
            <w:pPr>
              <w:pStyle w:val="4"/>
              <w:rPr>
                <w:rFonts w:hint="eastAsia"/>
                <w:lang w:val="en-US" w:eastAsia="zh-CN"/>
              </w:rPr>
            </w:pPr>
          </w:p>
          <w:p w14:paraId="73858822">
            <w:pPr>
              <w:pStyle w:val="4"/>
              <w:rPr>
                <w:rFonts w:hint="eastAsia"/>
                <w:lang w:val="en-US" w:eastAsia="zh-CN"/>
              </w:rPr>
            </w:pPr>
          </w:p>
          <w:p w14:paraId="7A8117CC">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预算管理</w:t>
            </w:r>
          </w:p>
          <w:p w14:paraId="4F67163F">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5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预算编制质量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B5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B3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部门是否严格按要求编制年初部门预算，年初预算编制的科学性和准确性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045E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该项指标得分=（1-财政拨款预算偏离度）×100%×6+（1-资产配置预算偏离度）×100%×3+（1-政府采购预算偏离度）×100%×3。偏离度=|预算执行数-年初预算数|÷年初预算数。</w:t>
            </w:r>
          </w:p>
        </w:tc>
        <w:tc>
          <w:tcPr>
            <w:tcW w:w="585" w:type="dxa"/>
            <w:tcBorders>
              <w:top w:val="single" w:color="auto" w:sz="4" w:space="0"/>
              <w:left w:val="single" w:color="000000" w:sz="4" w:space="0"/>
              <w:bottom w:val="nil"/>
              <w:right w:val="single" w:color="000000" w:sz="4" w:space="0"/>
            </w:tcBorders>
            <w:shd w:val="clear" w:color="auto" w:fill="auto"/>
            <w:vAlign w:val="center"/>
          </w:tcPr>
          <w:p w14:paraId="6A036E1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7.14</w:t>
            </w:r>
          </w:p>
        </w:tc>
      </w:tr>
      <w:tr w14:paraId="175C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9188">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D1DBDB">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C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支出执行进度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6F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部门1至6月、1至10月预算执行情况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4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C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1至6月预算执行数÷（部门预算数×50%）×2）+（1-1至6月支出预警金额占比×0.8-1至6月支出违规金额占比×0.2）+（1至10月预算执行数÷（部门预算数×83.33%）×2）+（1-1至10月支出预警金额占比×0.8-1至10月支出违规金额占比×0.2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2D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r>
      <w:tr w14:paraId="26E2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4439">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1BEC47">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预算年终结余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B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部门整体年终预算结余情况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A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1F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该项指标得分=（1-部门整体预算结余率）×100%×2。部门整体预算结余率为当年年终部门预算注销金额和结转金额占部门预算总金额的比率。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C3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4C08">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20BFDA">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3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严控一般性支出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E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38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部门严控“三公”经费、会议、培训、差旅、办节办展、办公设备购置、信息网络及软件购置更新、课题经费等8项一般性支出情况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E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2F91">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该项指标得分=基础分值+加分值。</w:t>
            </w:r>
          </w:p>
          <w:p w14:paraId="2EABB7B7">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1.基础分值。一般性支出财政拨款年初预算较上年实现压减得1分；一般性支出财政拨款预算执行较上年实现压减得1分。</w:t>
            </w:r>
          </w:p>
          <w:p w14:paraId="040AB6D0">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2.加分值。一般性支出财政拨款年初预算较上年每压减1%得0.2分，累计不超过1分；一般性支出财政拨款预算执行较上年每压减1%得0.4分，累计不超过2分。</w:t>
            </w:r>
          </w:p>
          <w:p w14:paraId="3D2A62F5">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3.一般性支出财政拨款年初预算大于上年，该项基础分1分不得分。</w:t>
            </w:r>
          </w:p>
          <w:p w14:paraId="4AF4C45E">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一般性支出财政拨款年初预算小于等于上年，压减率=（上年年初预算-本年年初预算）÷上年年初预算。1%&gt;压减率≥0%，得1分；2%&gt;压减率≥1%，得1.2分；3%&gt;压减率≥2%，得1.4分；4%&gt;压减率≥3%，得1.6分；5%&gt;压减率≥4%，得1.6分；压减率≥5%，得2分。</w:t>
            </w:r>
          </w:p>
          <w:p w14:paraId="7D47C517">
            <w:pPr>
              <w:keepNext w:val="0"/>
              <w:keepLines w:val="0"/>
              <w:pageBreakBefore w:val="0"/>
              <w:widowControl/>
              <w:suppressLineNumbers w:val="0"/>
              <w:kinsoku/>
              <w:wordWrap/>
              <w:overflowPunct/>
              <w:topLinePunct w:val="0"/>
              <w:autoSpaceDE/>
              <w:autoSpaceDN/>
              <w:bidi w:val="0"/>
              <w:adjustRightInd/>
              <w:snapToGrid/>
              <w:spacing w:line="360" w:lineRule="exact"/>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5.一般性支出财政拨款预算执行计算方式同上。1%&gt;压减率≥0%，得1分；2%&gt;压减率≥1%，得1.4分；3%&gt;压减率≥2%，得1.8分；4%&gt;压减率≥3%，得2.2分；5%&gt;压减率≥4%，得2.6分；压减率≥5%，得3分。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E7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r>
      <w:tr w14:paraId="4BD5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666A5">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AB1B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财务管理</w:t>
            </w:r>
          </w:p>
          <w:p w14:paraId="65AA4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8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7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C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部门财务管理制度建立情况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6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FA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部门已制定内部财务管理制度等制度机制的，得2分。财务管理制度得到落实，得2分。否则该项不得分。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599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AF78">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A5D0">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0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财务岗位设置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0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7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部门财务岗位设置是否符合相关财务管理制度要求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9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62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部门合理设置财务工作岗位，明确职责权限，并严格实行不相容岗位分离的，得2分。否则该项不得分。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87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r>
      <w:tr w14:paraId="03D8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580C">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BAAA60">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F7C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资金使用规范</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98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8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部门资金使用是否符合相关财务管理制度规定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缺（错）项</w:t>
            </w:r>
          </w:p>
          <w:p w14:paraId="756C0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D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部门资金使用不符合相关财务管理制度规定（如部门存在超预算或无预算安排、虚列支出、超范围超标准使用经费、违规使用“三公”经费、滥发津补贴、报销不合规等情况），发现一处扣1分，扣完为止。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5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17D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69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E3B5C35">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911FC1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资产管理</w:t>
            </w:r>
          </w:p>
          <w:p w14:paraId="665E409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（9分）</w:t>
            </w:r>
          </w:p>
          <w:p w14:paraId="7D08E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single" w:color="auto" w:sz="4" w:space="0"/>
              <w:right w:val="single" w:color="000000" w:sz="4" w:space="0"/>
            </w:tcBorders>
            <w:shd w:val="clear" w:color="auto" w:fill="auto"/>
            <w:vAlign w:val="center"/>
          </w:tcPr>
          <w:p w14:paraId="57079B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人均资产变化率</w:t>
            </w:r>
          </w:p>
        </w:tc>
        <w:tc>
          <w:tcPr>
            <w:tcW w:w="495" w:type="dxa"/>
            <w:tcBorders>
              <w:top w:val="single" w:color="auto" w:sz="4" w:space="0"/>
              <w:left w:val="single" w:color="000000" w:sz="4" w:space="0"/>
              <w:bottom w:val="single" w:color="auto" w:sz="4" w:space="0"/>
              <w:right w:val="single" w:color="auto" w:sz="4" w:space="0"/>
            </w:tcBorders>
            <w:shd w:val="clear" w:color="auto" w:fill="auto"/>
            <w:vAlign w:val="center"/>
          </w:tcPr>
          <w:p w14:paraId="5F08B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auto" w:sz="4" w:space="0"/>
              <w:bottom w:val="single" w:color="000000" w:sz="4" w:space="0"/>
              <w:right w:val="single" w:color="000000" w:sz="4" w:space="0"/>
            </w:tcBorders>
            <w:shd w:val="clear" w:color="auto" w:fill="auto"/>
            <w:vAlign w:val="center"/>
          </w:tcPr>
          <w:p w14:paraId="0BC87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部门人均资产变化情况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0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分级评分法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E4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部门人均资产变化率为X，行政事业单位人均资产变化率为6.80%，则：X≤N，得3分；N＜X≤1.2N，得1.8分；1.2N＜X≤1.4N，得1.2分；X＞1.4N，得0.6分。</w:t>
            </w:r>
          </w:p>
          <w:p w14:paraId="0AB63D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单位人均占有资产-上年单位人均占有资产）÷上年单位人均占有资产。其中，人均占有资产=（固定资产净值+无形资产净值）÷年末实有人数（年末实有人数取值于行政事业性国有资产报告中《机构人员情况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D3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69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1A259678">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D263328">
            <w:pPr>
              <w:jc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single" w:color="auto" w:sz="4" w:space="0"/>
              <w:right w:val="single" w:color="000000" w:sz="4" w:space="0"/>
            </w:tcBorders>
            <w:shd w:val="clear" w:color="auto" w:fill="auto"/>
            <w:vAlign w:val="center"/>
          </w:tcPr>
          <w:p w14:paraId="17397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资产利用率</w:t>
            </w: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C90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1F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部门资产超最低使用年限情况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分级评分法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8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办公家具超最低使用年限资产利用率=超最低使用年限的办公家具账面价值÷办公家具账面价值×100%。办公家具超最低使用年限资产利用率为X，县属行政事业单位平均值为N，则：X＞N，得1.5分；0.8N＜X≤N，得0.9分；0.6N＜X≤0.8N，得0.6分；X≤0.6N，得0.3分。部门办公设备超最低使用年限资产利用率=超最低使用年限的办公设备账面价值÷办公设备账面价值×100%。办公设备超最低使用年限资产利用率为X，县属行政事业单位平均值为N，则：X＞N，得1.5分；0.8N＜X≤N，得0.9分；0.6N＜X≤0.8N，得0.6分；X≤0.6N，得0.3分。（办公家具）N：2023年为15.72%。（办公设备）N：2023年为40.45%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B8B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5BD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C9A6D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single" w:color="auto" w:sz="4" w:space="0"/>
              <w:right w:val="single" w:color="auto" w:sz="4" w:space="0"/>
            </w:tcBorders>
            <w:shd w:val="clear" w:color="auto" w:fill="auto"/>
            <w:vAlign w:val="center"/>
          </w:tcPr>
          <w:p w14:paraId="61017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资产盘活率</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FAF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01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部门闲置一年以上的资产盘活情况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分级评分法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4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标得3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F37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9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8A356F4">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87157D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采购管理</w:t>
            </w:r>
          </w:p>
          <w:p w14:paraId="455DAB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（6分）</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14:paraId="32A93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支持中小企业发展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9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部门是否严格执行政府采购促进中小企业发展相关管理办法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3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是否评分法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93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对适宜由中小企业提供的采购项目和采购包，预留采购份额专门面向中小企业采购，并在采购预算中单独列示，不符合要求的扣3分。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2F3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352B898F">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FA04377">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0679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E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部门政府采购项目资金支付比例情况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1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当年政府采购实际支付总金额÷（当年政府采购总预算数-当年已完成采购项目节约金额）×100%×3。当年已完成采购项目节约金额：已完成采购项目总预算-已完成采购项目实际中标（签约）金额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F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59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69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4EC3E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170EF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项目决策</w:t>
            </w:r>
          </w:p>
          <w:p w14:paraId="7E5279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（12分）</w:t>
            </w:r>
          </w:p>
        </w:tc>
        <w:tc>
          <w:tcPr>
            <w:tcW w:w="960" w:type="dxa"/>
            <w:tcBorders>
              <w:top w:val="single" w:color="auto" w:sz="4" w:space="0"/>
              <w:left w:val="single" w:color="000000" w:sz="4" w:space="0"/>
              <w:bottom w:val="single" w:color="auto" w:sz="4" w:space="0"/>
              <w:right w:val="single" w:color="auto" w:sz="4" w:space="0"/>
            </w:tcBorders>
            <w:shd w:val="clear" w:color="auto" w:fill="auto"/>
            <w:vAlign w:val="center"/>
          </w:tcPr>
          <w:p w14:paraId="6AAD8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决策程序</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BB8E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1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部门预算项目设立是否按规定履行评估论证、申报程序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0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BF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4-部门未履行事前评估程序的部门预算阶段项目（含一次性项目）数量÷部门预算阶段项目（含一次性项目）总数×100%×4。抽评的部门预算阶段项目（含一次性项目）总数10个以下的全部纳入，每增加5个多纳入1个，最多不超过30个，下同。若无部门预算阶段项目（含一次性项目），则主要查看部门预算项目整体决策程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BF9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A483F26">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C52223">
            <w:pPr>
              <w:jc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single" w:color="auto" w:sz="4" w:space="0"/>
              <w:right w:val="single" w:color="auto" w:sz="4" w:space="0"/>
            </w:tcBorders>
            <w:shd w:val="clear" w:color="auto" w:fill="auto"/>
            <w:vAlign w:val="center"/>
          </w:tcPr>
          <w:p w14:paraId="699A9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目标设置</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0DB5C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7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部门预算项目绩效目标与计划期内的任务量、预算安排的资金量匹配情况，绩效目标设置是否科学合理、规范完整、量化细化、预算匹配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35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4-绩效目标与计划期内的任务量、预算安排不相匹配的部门预算阶段项目（含一次性项目）数量÷部门预算阶段项目（含一次性项目）总数×100%×4。若无部门预算阶段项目（含一次性项目），则抽评涉及核心业务、资金量大的其他部门预算项目，下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0B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r>
      <w:tr w14:paraId="2E8F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EF88EB4">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5A69DB">
            <w:pPr>
              <w:jc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single" w:color="auto" w:sz="4" w:space="0"/>
              <w:right w:val="single" w:color="000000" w:sz="4" w:space="0"/>
            </w:tcBorders>
            <w:shd w:val="clear" w:color="auto" w:fill="auto"/>
            <w:vAlign w:val="center"/>
          </w:tcPr>
          <w:p w14:paraId="57D87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项目入库</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D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部门预算项目是否在规定时间完成项目入库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DE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该项指标得分=4-规定时间未入财政库部门预算阶段项目（含一次性项目）数量÷最终安排部门预算阶段项目（含一次性项目）总数×100%×4。规定时间以当年9月30日为准。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B27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9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C5CE86C">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038633B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项目执行</w:t>
            </w:r>
          </w:p>
          <w:p w14:paraId="2D4D3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（12分）</w:t>
            </w:r>
          </w:p>
        </w:tc>
        <w:tc>
          <w:tcPr>
            <w:tcW w:w="960" w:type="dxa"/>
            <w:tcBorders>
              <w:top w:val="single" w:color="auto" w:sz="4" w:space="0"/>
              <w:left w:val="single" w:color="000000" w:sz="4" w:space="0"/>
              <w:bottom w:val="single" w:color="auto" w:sz="4" w:space="0"/>
              <w:right w:val="single" w:color="auto" w:sz="4" w:space="0"/>
            </w:tcBorders>
            <w:shd w:val="clear" w:color="auto" w:fill="auto"/>
            <w:vAlign w:val="center"/>
          </w:tcPr>
          <w:p w14:paraId="3BF1C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执行同向</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1DD7C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83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部门预算项目实际列支内容是否与绩效目标设置方向相符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F2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该项指标得分=4-实际列支内容与绩效目标设置方向不相符的部门预算阶段项目（含一次性项目）数量÷部门预算阶段项目（含一次性项目）总数×100%×4。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4C3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9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42BF2CC">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auto" w:sz="4" w:space="0"/>
              <w:left w:val="single" w:color="auto" w:sz="4" w:space="0"/>
              <w:bottom w:val="nil"/>
              <w:right w:val="single" w:color="000000" w:sz="4" w:space="0"/>
            </w:tcBorders>
            <w:shd w:val="clear" w:color="auto" w:fill="auto"/>
            <w:vAlign w:val="center"/>
          </w:tcPr>
          <w:p w14:paraId="31594E74">
            <w:pPr>
              <w:jc w:val="center"/>
              <w:rPr>
                <w:rFonts w:hint="eastAsia" w:ascii="宋体" w:hAnsi="宋体" w:eastAsia="宋体" w:cs="宋体"/>
                <w:b/>
                <w:bCs/>
                <w:i w:val="0"/>
                <w:iCs w:val="0"/>
                <w:color w:val="000000"/>
                <w:sz w:val="20"/>
                <w:szCs w:val="20"/>
                <w:u w:val="none"/>
              </w:rPr>
            </w:pPr>
          </w:p>
        </w:tc>
        <w:tc>
          <w:tcPr>
            <w:tcW w:w="960" w:type="dxa"/>
            <w:tcBorders>
              <w:top w:val="single" w:color="auto" w:sz="4" w:space="0"/>
              <w:left w:val="single" w:color="000000" w:sz="4" w:space="0"/>
              <w:bottom w:val="nil"/>
              <w:right w:val="single" w:color="auto" w:sz="4" w:space="0"/>
            </w:tcBorders>
            <w:shd w:val="clear" w:color="auto" w:fill="auto"/>
            <w:vAlign w:val="center"/>
          </w:tcPr>
          <w:p w14:paraId="791AE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项目调整</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529BB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4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部门预算项目是否采取对应调整措施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F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该项指标得分=4-应采取未采取收回预算、调整目标等处置措施的部门预算阶段项目（含一次性项目）数量÷应采取收回预算、调整目标等处置措施的部门预算阶段项目（含一次性项目）总数×100%×4。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59B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9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264E4BC">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108B7511">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auto" w:sz="4" w:space="0"/>
              <w:right w:val="single" w:color="auto" w:sz="4" w:space="0"/>
            </w:tcBorders>
            <w:shd w:val="clear" w:color="auto" w:fill="auto"/>
            <w:vAlign w:val="center"/>
          </w:tcPr>
          <w:p w14:paraId="0FD1F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执行结果</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047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D0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部门预算项目预算执行情况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33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33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该项指标得分=预算结余率小于10%的常年项目数量÷部门预算常年项目总数×100%×2+预算结余率小于10%的一次性项目和阶段项目数量÷部门预算一次性项目和阶段项目总数×100%×2。</w:t>
            </w:r>
          </w:p>
        </w:tc>
        <w:tc>
          <w:tcPr>
            <w:tcW w:w="585" w:type="dxa"/>
            <w:tcBorders>
              <w:top w:val="nil"/>
              <w:left w:val="single" w:color="000000" w:sz="4" w:space="0"/>
              <w:bottom w:val="single" w:color="000000" w:sz="4" w:space="0"/>
              <w:right w:val="single" w:color="000000" w:sz="4" w:space="0"/>
            </w:tcBorders>
            <w:shd w:val="clear" w:color="auto" w:fill="auto"/>
            <w:vAlign w:val="center"/>
          </w:tcPr>
          <w:p w14:paraId="7DC7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8ED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9AC7540">
            <w:pPr>
              <w:jc w:val="center"/>
              <w:rPr>
                <w:rFonts w:hint="eastAsia" w:ascii="宋体" w:hAnsi="宋体" w:eastAsia="宋体" w:cs="宋体"/>
                <w:b/>
                <w:bCs/>
                <w:i w:val="0"/>
                <w:iCs w:val="0"/>
                <w:color w:val="000000"/>
                <w:sz w:val="20"/>
                <w:szCs w:val="20"/>
                <w:u w:val="none"/>
              </w:rPr>
            </w:pPr>
          </w:p>
        </w:tc>
        <w:tc>
          <w:tcPr>
            <w:tcW w:w="720" w:type="dxa"/>
            <w:vMerge w:val="restart"/>
            <w:tcBorders>
              <w:top w:val="single" w:color="auto" w:sz="4" w:space="0"/>
              <w:left w:val="single" w:color="000000" w:sz="4" w:space="0"/>
              <w:bottom w:val="single" w:color="000000" w:sz="4" w:space="0"/>
              <w:right w:val="single" w:color="000000" w:sz="4" w:space="0"/>
            </w:tcBorders>
            <w:shd w:val="clear" w:color="auto" w:fill="auto"/>
            <w:vAlign w:val="top"/>
          </w:tcPr>
          <w:p w14:paraId="5BA29F29">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p>
          <w:p w14:paraId="6258E7D6">
            <w:pPr>
              <w:pStyle w:val="4"/>
              <w:rPr>
                <w:rFonts w:hint="eastAsia"/>
                <w:lang w:val="en-US" w:eastAsia="zh-CN"/>
              </w:rPr>
            </w:pPr>
          </w:p>
          <w:p w14:paraId="1C185B63">
            <w:pPr>
              <w:pStyle w:val="4"/>
              <w:rPr>
                <w:rFonts w:hint="eastAsia"/>
                <w:lang w:val="en-US" w:eastAsia="zh-CN"/>
              </w:rPr>
            </w:pPr>
          </w:p>
          <w:p w14:paraId="33D79698">
            <w:pPr>
              <w:pStyle w:val="4"/>
              <w:rPr>
                <w:rFonts w:hint="eastAsia"/>
                <w:lang w:val="en-US" w:eastAsia="zh-CN"/>
              </w:rPr>
            </w:pPr>
          </w:p>
          <w:p w14:paraId="3FCE8048">
            <w:pPr>
              <w:pStyle w:val="4"/>
              <w:rPr>
                <w:rFonts w:hint="eastAsia"/>
                <w:lang w:val="en-US" w:eastAsia="zh-CN"/>
              </w:rPr>
            </w:pPr>
          </w:p>
          <w:p w14:paraId="1CD63EC6">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目标实现</w:t>
            </w:r>
          </w:p>
          <w:p w14:paraId="1E887EEA">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（11分）</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C522F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目标完成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7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1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部门预算项目绩效目标数量指标完成情况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6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FB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1.该项指标得分=完成绩效目标数量指标的部门预算阶段项目（含一次性项目）数量÷部门预算阶段项目（含一次性项目）总数×100%×4。</w:t>
            </w:r>
          </w:p>
          <w:p w14:paraId="0C5C87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2.计算单个部门预算阶段项目（含一次性项目）完成比例：单个项目内已完成绩效目标的数量指标个数÷该项目绩效目标数量指标总数。</w:t>
            </w:r>
          </w:p>
          <w:p w14:paraId="778D88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3.计算所有部门预算阶段项目（含一次性项目）完成比例：所有项目完成比例的算数平均值。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2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D6D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14AE2D">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0F7F78">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E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目标偏离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BF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部门预算项目绩效目标数量指标实现程度与预期目标的偏离情况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2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3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已完成预期指标值的数量指标中偏离度在30%内的指标个数÷已完成预期指标值的数量指标个数×100%×4。偏离度=|（绩效指标实际完成值-设定预期指标值）÷设定预期指标值|。部门预算阶段项目（含一次性项目）绩效目标实际完成值偏离预期指标30%以上（含30%）的，不计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E5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r>
      <w:tr w14:paraId="4B27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444679">
            <w:pPr>
              <w:jc w:val="center"/>
              <w:rPr>
                <w:rFonts w:hint="eastAsia" w:ascii="宋体" w:hAnsi="宋体" w:eastAsia="宋体" w:cs="宋体"/>
                <w:b/>
                <w:bCs/>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9AB51A">
            <w:pPr>
              <w:jc w:val="center"/>
              <w:rPr>
                <w:rFonts w:hint="eastAsia" w:ascii="宋体" w:hAnsi="宋体" w:eastAsia="宋体" w:cs="宋体"/>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2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实现效果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29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部门预算项目绩效目标效益指标实施效果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比率分值法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D7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该项指标得分=完成绩效目标效益指标的部门预算阶段项目（含一次性项目）数量÷部门预算阶段项目（含一次性项目）总数×100%×3。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152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D52C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扣分项</w:t>
            </w:r>
          </w:p>
          <w:p w14:paraId="05DA27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（10分）</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7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预算绩效存在问题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F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E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预算管理和绩效管理工作存在问题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8E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缺（错）项扣分法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BF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依据评价年度人大监督、巡视巡察、审计监督、财会监督等结果以及评价指标体系涉及的履职效果、预算管理、财务管理、资产管理、采购管理、项目绩效等方面出现的问题，每有一个问题点扣1分，扣完为止。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D901">
            <w:pPr>
              <w:jc w:val="center"/>
              <w:rPr>
                <w:rFonts w:hint="eastAsia" w:ascii="宋体" w:hAnsi="宋体" w:eastAsia="宋体" w:cs="宋体"/>
                <w:i w:val="0"/>
                <w:iCs w:val="0"/>
                <w:color w:val="000000"/>
                <w:sz w:val="20"/>
                <w:szCs w:val="20"/>
                <w:u w:val="none"/>
              </w:rPr>
            </w:pPr>
          </w:p>
        </w:tc>
      </w:tr>
      <w:tr w14:paraId="0366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334C">
            <w:pPr>
              <w:jc w:val="center"/>
              <w:rPr>
                <w:rFonts w:hint="eastAsia" w:ascii="宋体" w:hAnsi="宋体" w:eastAsia="宋体" w:cs="宋体"/>
                <w:b/>
                <w:bCs/>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E5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被评价部门配合度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D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9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被评价对象工作配合情况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缺（错）项扣分法</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A8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评价工作开展过程中，被评价对象拖延推诿、提交资料不及时等拒不配合评价工作的，每发现一次扣1分，扣完为止。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0BC">
            <w:pPr>
              <w:jc w:val="center"/>
              <w:rPr>
                <w:rFonts w:hint="eastAsia" w:ascii="宋体" w:hAnsi="宋体" w:eastAsia="宋体" w:cs="宋体"/>
                <w:i w:val="0"/>
                <w:iCs w:val="0"/>
                <w:color w:val="000000"/>
                <w:sz w:val="20"/>
                <w:szCs w:val="20"/>
                <w:u w:val="none"/>
              </w:rPr>
            </w:pPr>
          </w:p>
        </w:tc>
      </w:tr>
    </w:tbl>
    <w:p w14:paraId="39B8D15F">
      <w:pPr>
        <w:pStyle w:val="11"/>
        <w:ind w:left="0" w:leftChars="0" w:firstLine="0" w:firstLineChars="0"/>
        <w:jc w:val="left"/>
        <w:rPr>
          <w:rFonts w:hint="default" w:ascii="Times New Roman" w:hAnsi="Times New Roman" w:eastAsia="黑体" w:cs="Times New Roman"/>
          <w:sz w:val="24"/>
          <w:szCs w:val="24"/>
          <w:highlight w:val="none"/>
          <w:lang w:val="en-US" w:eastAsia="zh-CN"/>
        </w:rPr>
      </w:pPr>
    </w:p>
    <w:p w14:paraId="3F425725"/>
    <w:p w14:paraId="25E278B7">
      <w:pPr>
        <w:numPr>
          <w:ilvl w:val="0"/>
          <w:numId w:val="0"/>
        </w:numPr>
        <w:ind w:left="0" w:leftChars="0" w:firstLine="960" w:firstLineChars="300"/>
        <w:jc w:val="center"/>
        <w:rPr>
          <w:rFonts w:hint="eastAsia"/>
          <w:lang w:val="en-US" w:eastAsia="zh-CN"/>
        </w:rPr>
      </w:pPr>
    </w:p>
    <w:p w14:paraId="36DF07D3">
      <w:pPr>
        <w:numPr>
          <w:ilvl w:val="0"/>
          <w:numId w:val="0"/>
        </w:numPr>
        <w:ind w:left="0" w:leftChars="0" w:firstLine="960" w:firstLineChars="300"/>
        <w:jc w:val="center"/>
        <w:rPr>
          <w:rFonts w:hint="eastAsia" w:ascii="黑体" w:hAnsi="黑体" w:eastAsia="黑体" w:cs="黑体"/>
          <w:kern w:val="2"/>
          <w:sz w:val="32"/>
          <w:szCs w:val="24"/>
          <w:highlight w:val="none"/>
          <w:lang w:val="en-US" w:eastAsia="zh-CN" w:bidi="ar-SA"/>
        </w:rPr>
      </w:pPr>
    </w:p>
    <w:p w14:paraId="53CB7993">
      <w:pPr>
        <w:pStyle w:val="11"/>
        <w:ind w:left="0" w:leftChars="0" w:firstLine="0" w:firstLineChars="0"/>
        <w:jc w:val="left"/>
        <w:rPr>
          <w:rFonts w:hint="default" w:ascii="Times New Roman" w:hAnsi="Times New Roman" w:eastAsia="黑体" w:cs="Times New Roman"/>
          <w:sz w:val="24"/>
          <w:szCs w:val="24"/>
          <w:highlight w:val="none"/>
          <w:lang w:val="en-US" w:eastAsia="zh-CN"/>
        </w:rPr>
      </w:pPr>
    </w:p>
    <w:sectPr>
      <w:pgSz w:w="16838" w:h="11906" w:orient="landscape"/>
      <w:pgMar w:top="1474" w:right="2098" w:bottom="1474" w:left="1344" w:header="851" w:footer="992" w:gutter="0"/>
      <w:pgNumType w:fmt="numberInDash" w:start="1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75F8AE-41CB-424A-9C73-966CC37381AF}"/>
  </w:font>
  <w:font w:name="黑体">
    <w:panose1 w:val="02010609060101010101"/>
    <w:charset w:val="86"/>
    <w:family w:val="auto"/>
    <w:pitch w:val="default"/>
    <w:sig w:usb0="800002BF" w:usb1="38CF7CFA" w:usb2="00000016" w:usb3="00000000" w:csb0="00040001" w:csb1="00000000"/>
    <w:embedRegular r:id="rId2" w:fontKey="{4C24ED05-703A-4F30-A30A-FD66CCC33D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AE8DEEF-8F0C-4085-81A1-EC4549F7A755}"/>
  </w:font>
  <w:font w:name="仿宋">
    <w:panose1 w:val="02010609060101010101"/>
    <w:charset w:val="86"/>
    <w:family w:val="auto"/>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方正仿宋">
    <w:altName w:val="仿宋"/>
    <w:panose1 w:val="00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424CF1A6-7CCC-4277-9337-FC186D3968A7}"/>
  </w:font>
  <w:font w:name="方正小标宋简体">
    <w:panose1 w:val="02000000000000000000"/>
    <w:charset w:val="86"/>
    <w:family w:val="auto"/>
    <w:pitch w:val="default"/>
    <w:sig w:usb0="00000001" w:usb1="08000000" w:usb2="00000000" w:usb3="00000000" w:csb0="00040000" w:csb1="00000000"/>
    <w:embedRegular r:id="rId5" w:fontKey="{F4B5FC7B-979E-4814-8DBA-E78467AD853D}"/>
  </w:font>
  <w:font w:name="方正仿宋_GBK">
    <w:panose1 w:val="03000509000000000000"/>
    <w:charset w:val="86"/>
    <w:family w:val="auto"/>
    <w:pitch w:val="default"/>
    <w:sig w:usb0="00000001" w:usb1="080E0000" w:usb2="00000000" w:usb3="00000000" w:csb0="00040000" w:csb1="00000000"/>
    <w:embedRegular r:id="rId6" w:fontKey="{A8CC42B1-BD9E-4525-B007-3BF090623239}"/>
  </w:font>
  <w:font w:name="楷体_GB2312">
    <w:altName w:val="楷体"/>
    <w:panose1 w:val="02010609030101010101"/>
    <w:charset w:val="86"/>
    <w:family w:val="auto"/>
    <w:pitch w:val="default"/>
    <w:sig w:usb0="00000000" w:usb1="00000000" w:usb2="00000000" w:usb3="00000000" w:csb0="00040000" w:csb1="00000000"/>
    <w:embedRegular r:id="rId7" w:fontKey="{9DFD8377-6E19-48DE-8B51-F08D91F4F99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8" w:fontKey="{8666E3DE-90E6-4E12-8E7B-CE4BB1F2B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D45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BB637">
                          <w:pPr>
                            <w:pStyle w:val="7"/>
                            <w:ind w:right="451" w:rightChars="141"/>
                            <w:jc w:val="right"/>
                            <w:rPr>
                              <w:rFonts w:hint="eastAsia" w:ascii="宋体" w:hAnsi="宋体"/>
                              <w:sz w:val="28"/>
                              <w:szCs w:val="28"/>
                            </w:rPr>
                          </w:pPr>
                        </w:p>
                        <w:p w14:paraId="66C3E55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6BB637">
                    <w:pPr>
                      <w:pStyle w:val="7"/>
                      <w:ind w:right="451" w:rightChars="141"/>
                      <w:jc w:val="right"/>
                      <w:rPr>
                        <w:rFonts w:hint="eastAsia" w:ascii="宋体" w:hAnsi="宋体"/>
                        <w:sz w:val="28"/>
                        <w:szCs w:val="28"/>
                      </w:rPr>
                    </w:pPr>
                  </w:p>
                  <w:p w14:paraId="66C3E55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6E06">
    <w:pPr>
      <w:numPr>
        <w:ilvl w:val="0"/>
        <w:numId w:val="0"/>
      </w:numPr>
      <w:rPr>
        <w:rFonts w:hint="default" w:ascii="黑体" w:hAnsi="黑体" w:eastAsia="黑体" w:cs="黑体"/>
        <w:kern w:val="2"/>
        <w:sz w:val="32"/>
        <w:szCs w:val="24"/>
        <w:highlight w:val="none"/>
        <w:lang w:val="en-US" w:eastAsia="zh-CN" w:bidi="ar-SA"/>
      </w:rPr>
    </w:pPr>
  </w:p>
  <w:p w14:paraId="4B8CC132">
    <w:pPr>
      <w:pStyle w:val="8"/>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963B8"/>
    <w:multiLevelType w:val="singleLevel"/>
    <w:tmpl w:val="881963B8"/>
    <w:lvl w:ilvl="0" w:tentative="0">
      <w:start w:val="2"/>
      <w:numFmt w:val="chineseCounting"/>
      <w:suff w:val="nothing"/>
      <w:lvlText w:val="（%1）"/>
      <w:lvlJc w:val="left"/>
      <w:rPr>
        <w:rFonts w:hint="eastAsia"/>
      </w:rPr>
    </w:lvl>
  </w:abstractNum>
  <w:abstractNum w:abstractNumId="1">
    <w:nsid w:val="D080F5FF"/>
    <w:multiLevelType w:val="singleLevel"/>
    <w:tmpl w:val="D080F5FF"/>
    <w:lvl w:ilvl="0" w:tentative="0">
      <w:start w:val="3"/>
      <w:numFmt w:val="chineseCounting"/>
      <w:suff w:val="nothing"/>
      <w:lvlText w:val="（%1）"/>
      <w:lvlJc w:val="left"/>
      <w:rPr>
        <w:rFonts w:hint="eastAsia"/>
      </w:rPr>
    </w:lvl>
  </w:abstractNum>
  <w:abstractNum w:abstractNumId="2">
    <w:nsid w:val="FF92280C"/>
    <w:multiLevelType w:val="singleLevel"/>
    <w:tmpl w:val="FF92280C"/>
    <w:lvl w:ilvl="0" w:tentative="0">
      <w:start w:val="3"/>
      <w:numFmt w:val="chineseCounting"/>
      <w:suff w:val="nothing"/>
      <w:lvlText w:val="（%1）"/>
      <w:lvlJc w:val="left"/>
      <w:rPr>
        <w:rFonts w:hint="eastAsia"/>
      </w:rPr>
    </w:lvl>
  </w:abstractNum>
  <w:abstractNum w:abstractNumId="3">
    <w:nsid w:val="26368D2E"/>
    <w:multiLevelType w:val="singleLevel"/>
    <w:tmpl w:val="26368D2E"/>
    <w:lvl w:ilvl="0" w:tentative="0">
      <w:start w:val="2"/>
      <w:numFmt w:val="decimal"/>
      <w:suff w:val="nothing"/>
      <w:lvlText w:val="（%1）"/>
      <w:lvlJc w:val="left"/>
    </w:lvl>
  </w:abstractNum>
  <w:abstractNum w:abstractNumId="4">
    <w:nsid w:val="2822B353"/>
    <w:multiLevelType w:val="singleLevel"/>
    <w:tmpl w:val="2822B353"/>
    <w:lvl w:ilvl="0" w:tentative="0">
      <w:start w:val="1"/>
      <w:numFmt w:val="decimal"/>
      <w:lvlText w:val="%1."/>
      <w:lvlJc w:val="left"/>
      <w:pPr>
        <w:tabs>
          <w:tab w:val="left" w:pos="312"/>
        </w:tabs>
      </w:pPr>
    </w:lvl>
  </w:abstractNum>
  <w:abstractNum w:abstractNumId="5">
    <w:nsid w:val="3A483D29"/>
    <w:multiLevelType w:val="singleLevel"/>
    <w:tmpl w:val="3A483D29"/>
    <w:lvl w:ilvl="0" w:tentative="0">
      <w:start w:val="2"/>
      <w:numFmt w:val="chineseCounting"/>
      <w:suff w:val="nothing"/>
      <w:lvlText w:val="（%1）"/>
      <w:lvlJc w:val="left"/>
      <w:rPr>
        <w:rFonts w:hint="eastAsia"/>
      </w:rPr>
    </w:lvl>
  </w:abstractNum>
  <w:abstractNum w:abstractNumId="6">
    <w:nsid w:val="78379935"/>
    <w:multiLevelType w:val="singleLevel"/>
    <w:tmpl w:val="78379935"/>
    <w:lvl w:ilvl="0" w:tentative="0">
      <w:start w:val="2"/>
      <w:numFmt w:val="decimal"/>
      <w:suff w:val="nothing"/>
      <w:lvlText w:val="（%1）"/>
      <w:lvlJc w:val="left"/>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ZlN2M0NGU3NmUyYTMyYThlOWNjODAxMTc4NjgifQ=="/>
  </w:docVars>
  <w:rsids>
    <w:rsidRoot w:val="00172A27"/>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58C"/>
    <w:rsid w:val="00EA0CEF"/>
    <w:rsid w:val="00EA2E2A"/>
    <w:rsid w:val="00EB79D2"/>
    <w:rsid w:val="00EC0174"/>
    <w:rsid w:val="00ED1CEC"/>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0C0502"/>
    <w:rsid w:val="01D903AE"/>
    <w:rsid w:val="020236B3"/>
    <w:rsid w:val="027A149C"/>
    <w:rsid w:val="029F2F49"/>
    <w:rsid w:val="037F498C"/>
    <w:rsid w:val="0388408C"/>
    <w:rsid w:val="039667A9"/>
    <w:rsid w:val="03E10D57"/>
    <w:rsid w:val="03E87116"/>
    <w:rsid w:val="04137B47"/>
    <w:rsid w:val="049675E3"/>
    <w:rsid w:val="059E6365"/>
    <w:rsid w:val="05A21435"/>
    <w:rsid w:val="05F177D0"/>
    <w:rsid w:val="06141C07"/>
    <w:rsid w:val="06565D7C"/>
    <w:rsid w:val="06874187"/>
    <w:rsid w:val="069114AA"/>
    <w:rsid w:val="06A50AB1"/>
    <w:rsid w:val="07762B7A"/>
    <w:rsid w:val="078376B8"/>
    <w:rsid w:val="08793FA4"/>
    <w:rsid w:val="0891753F"/>
    <w:rsid w:val="089E130F"/>
    <w:rsid w:val="0A0B3CE0"/>
    <w:rsid w:val="0A0D7099"/>
    <w:rsid w:val="0A3463D4"/>
    <w:rsid w:val="0A6A44EC"/>
    <w:rsid w:val="0AA01CBB"/>
    <w:rsid w:val="0AB05ECE"/>
    <w:rsid w:val="0AD40116"/>
    <w:rsid w:val="0B1F7084"/>
    <w:rsid w:val="0B3E0F49"/>
    <w:rsid w:val="0C210BDA"/>
    <w:rsid w:val="0C5D60B6"/>
    <w:rsid w:val="0CF83115"/>
    <w:rsid w:val="0D072405"/>
    <w:rsid w:val="0D756D97"/>
    <w:rsid w:val="0D941C45"/>
    <w:rsid w:val="0DAE649D"/>
    <w:rsid w:val="0DC31556"/>
    <w:rsid w:val="0E477E26"/>
    <w:rsid w:val="0E5B4877"/>
    <w:rsid w:val="0E6B25E0"/>
    <w:rsid w:val="0E761732"/>
    <w:rsid w:val="0F0C3167"/>
    <w:rsid w:val="0F3A48EA"/>
    <w:rsid w:val="0F3C218A"/>
    <w:rsid w:val="0F5B4403"/>
    <w:rsid w:val="0F7C5BF7"/>
    <w:rsid w:val="0FA1275E"/>
    <w:rsid w:val="102A6AC5"/>
    <w:rsid w:val="110F0DC2"/>
    <w:rsid w:val="112847B9"/>
    <w:rsid w:val="11A6405B"/>
    <w:rsid w:val="12135469"/>
    <w:rsid w:val="125A6BF4"/>
    <w:rsid w:val="12AD7418"/>
    <w:rsid w:val="13180F89"/>
    <w:rsid w:val="14B36671"/>
    <w:rsid w:val="159D7523"/>
    <w:rsid w:val="15A66A5D"/>
    <w:rsid w:val="15AA1C40"/>
    <w:rsid w:val="15C90318"/>
    <w:rsid w:val="15D32F45"/>
    <w:rsid w:val="16442848"/>
    <w:rsid w:val="167C0AF5"/>
    <w:rsid w:val="16BE3BF5"/>
    <w:rsid w:val="16C531D6"/>
    <w:rsid w:val="16FF7D6A"/>
    <w:rsid w:val="170B670F"/>
    <w:rsid w:val="173D7210"/>
    <w:rsid w:val="175400B6"/>
    <w:rsid w:val="176C6F1B"/>
    <w:rsid w:val="17CC0594"/>
    <w:rsid w:val="17D15329"/>
    <w:rsid w:val="17E527DE"/>
    <w:rsid w:val="18952734"/>
    <w:rsid w:val="198116DF"/>
    <w:rsid w:val="19F53DD2"/>
    <w:rsid w:val="1A261560"/>
    <w:rsid w:val="1A3D6143"/>
    <w:rsid w:val="1A78230D"/>
    <w:rsid w:val="1A9C0831"/>
    <w:rsid w:val="1ABF7F3C"/>
    <w:rsid w:val="1AC11200"/>
    <w:rsid w:val="1AD958E6"/>
    <w:rsid w:val="1B5A142F"/>
    <w:rsid w:val="1B99253B"/>
    <w:rsid w:val="1BA50EE0"/>
    <w:rsid w:val="1C013801"/>
    <w:rsid w:val="1C8474D8"/>
    <w:rsid w:val="1C940F54"/>
    <w:rsid w:val="1D507571"/>
    <w:rsid w:val="1D6628F1"/>
    <w:rsid w:val="1DFD8D3B"/>
    <w:rsid w:val="1F413615"/>
    <w:rsid w:val="1F882FF2"/>
    <w:rsid w:val="1F890B18"/>
    <w:rsid w:val="1FB79DC9"/>
    <w:rsid w:val="1FBFC3F2"/>
    <w:rsid w:val="1FFFE033"/>
    <w:rsid w:val="20144886"/>
    <w:rsid w:val="20C06732"/>
    <w:rsid w:val="20DA3331"/>
    <w:rsid w:val="215B0293"/>
    <w:rsid w:val="216104A4"/>
    <w:rsid w:val="226C4B57"/>
    <w:rsid w:val="22CA7B2E"/>
    <w:rsid w:val="22F56BF1"/>
    <w:rsid w:val="23256B98"/>
    <w:rsid w:val="23A81EB5"/>
    <w:rsid w:val="23B87C1E"/>
    <w:rsid w:val="244514B2"/>
    <w:rsid w:val="24D572A7"/>
    <w:rsid w:val="25922150"/>
    <w:rsid w:val="259B2F06"/>
    <w:rsid w:val="25C4340B"/>
    <w:rsid w:val="262B727F"/>
    <w:rsid w:val="267E0CAB"/>
    <w:rsid w:val="26A53485"/>
    <w:rsid w:val="273B6B9C"/>
    <w:rsid w:val="273B71AD"/>
    <w:rsid w:val="276E0D20"/>
    <w:rsid w:val="27897907"/>
    <w:rsid w:val="27B150B0"/>
    <w:rsid w:val="27F352A6"/>
    <w:rsid w:val="29114166"/>
    <w:rsid w:val="29143B49"/>
    <w:rsid w:val="29336BF5"/>
    <w:rsid w:val="296A5517"/>
    <w:rsid w:val="2A1F0F7C"/>
    <w:rsid w:val="2A2658E2"/>
    <w:rsid w:val="2A571F3F"/>
    <w:rsid w:val="2A6D460F"/>
    <w:rsid w:val="2ACE1AD5"/>
    <w:rsid w:val="2B060862"/>
    <w:rsid w:val="2B204A2C"/>
    <w:rsid w:val="2B69017C"/>
    <w:rsid w:val="2BB37649"/>
    <w:rsid w:val="2C041C52"/>
    <w:rsid w:val="2CA57371"/>
    <w:rsid w:val="2D000452"/>
    <w:rsid w:val="2D197980"/>
    <w:rsid w:val="2D1B54A6"/>
    <w:rsid w:val="2D214FC0"/>
    <w:rsid w:val="2D3B7DAB"/>
    <w:rsid w:val="2D527252"/>
    <w:rsid w:val="2D595FCE"/>
    <w:rsid w:val="2DDC1740"/>
    <w:rsid w:val="2E2959A0"/>
    <w:rsid w:val="2E344345"/>
    <w:rsid w:val="2EAE55F2"/>
    <w:rsid w:val="2ED438AF"/>
    <w:rsid w:val="2EDF4302"/>
    <w:rsid w:val="2EFE1A04"/>
    <w:rsid w:val="2F601896"/>
    <w:rsid w:val="2F6F3887"/>
    <w:rsid w:val="30314FE0"/>
    <w:rsid w:val="304A758E"/>
    <w:rsid w:val="305C7757"/>
    <w:rsid w:val="30C85944"/>
    <w:rsid w:val="30F74D2A"/>
    <w:rsid w:val="31462D0D"/>
    <w:rsid w:val="31877EC9"/>
    <w:rsid w:val="31D10829"/>
    <w:rsid w:val="320329AC"/>
    <w:rsid w:val="3287538B"/>
    <w:rsid w:val="32991CDB"/>
    <w:rsid w:val="3301174B"/>
    <w:rsid w:val="33142830"/>
    <w:rsid w:val="332733AB"/>
    <w:rsid w:val="33447797"/>
    <w:rsid w:val="33720F64"/>
    <w:rsid w:val="33AB50A9"/>
    <w:rsid w:val="33B1681F"/>
    <w:rsid w:val="34E95E89"/>
    <w:rsid w:val="35134CB4"/>
    <w:rsid w:val="35507CB7"/>
    <w:rsid w:val="35BB6DF4"/>
    <w:rsid w:val="35BBF80F"/>
    <w:rsid w:val="36C546D4"/>
    <w:rsid w:val="36C62E1B"/>
    <w:rsid w:val="370276D6"/>
    <w:rsid w:val="376E6341"/>
    <w:rsid w:val="37761D13"/>
    <w:rsid w:val="39191359"/>
    <w:rsid w:val="395F1248"/>
    <w:rsid w:val="39740B3B"/>
    <w:rsid w:val="3A5E7CCF"/>
    <w:rsid w:val="3AC57CED"/>
    <w:rsid w:val="3AE96BE3"/>
    <w:rsid w:val="3B2D2566"/>
    <w:rsid w:val="3B691AD2"/>
    <w:rsid w:val="3B736F08"/>
    <w:rsid w:val="3B90299B"/>
    <w:rsid w:val="3BB8063A"/>
    <w:rsid w:val="3BE3D531"/>
    <w:rsid w:val="3C656CBD"/>
    <w:rsid w:val="3D431A40"/>
    <w:rsid w:val="3D932E36"/>
    <w:rsid w:val="3E027FBC"/>
    <w:rsid w:val="3E642A25"/>
    <w:rsid w:val="3E921340"/>
    <w:rsid w:val="3EFF42CA"/>
    <w:rsid w:val="3F2F4DE1"/>
    <w:rsid w:val="3FD5AF3D"/>
    <w:rsid w:val="3FFED8BE"/>
    <w:rsid w:val="3FFF43BB"/>
    <w:rsid w:val="40387CC5"/>
    <w:rsid w:val="403D352D"/>
    <w:rsid w:val="404F5A62"/>
    <w:rsid w:val="40626629"/>
    <w:rsid w:val="40E439A9"/>
    <w:rsid w:val="40E87560"/>
    <w:rsid w:val="412344D1"/>
    <w:rsid w:val="415154E2"/>
    <w:rsid w:val="41546D80"/>
    <w:rsid w:val="415E19AD"/>
    <w:rsid w:val="419F3A1F"/>
    <w:rsid w:val="42154762"/>
    <w:rsid w:val="42817701"/>
    <w:rsid w:val="430D2370"/>
    <w:rsid w:val="432A7D99"/>
    <w:rsid w:val="433DCF8E"/>
    <w:rsid w:val="43617FED"/>
    <w:rsid w:val="43E30E9C"/>
    <w:rsid w:val="44305883"/>
    <w:rsid w:val="446570C1"/>
    <w:rsid w:val="448E07FB"/>
    <w:rsid w:val="451E1B7F"/>
    <w:rsid w:val="45375E5B"/>
    <w:rsid w:val="459D28E6"/>
    <w:rsid w:val="45FF973D"/>
    <w:rsid w:val="461E795D"/>
    <w:rsid w:val="462D133C"/>
    <w:rsid w:val="46A3257E"/>
    <w:rsid w:val="46AC6D17"/>
    <w:rsid w:val="46C6427C"/>
    <w:rsid w:val="47060B1D"/>
    <w:rsid w:val="47550EBA"/>
    <w:rsid w:val="47A45C40"/>
    <w:rsid w:val="47D91D8D"/>
    <w:rsid w:val="484F2050"/>
    <w:rsid w:val="48662AE6"/>
    <w:rsid w:val="48DD1C94"/>
    <w:rsid w:val="492928A1"/>
    <w:rsid w:val="492B0EAD"/>
    <w:rsid w:val="49385671"/>
    <w:rsid w:val="4968636B"/>
    <w:rsid w:val="49D63259"/>
    <w:rsid w:val="4A2529CB"/>
    <w:rsid w:val="4A280DAA"/>
    <w:rsid w:val="4A723A12"/>
    <w:rsid w:val="4AF15640"/>
    <w:rsid w:val="4B0D00EC"/>
    <w:rsid w:val="4B1376E3"/>
    <w:rsid w:val="4B1F5D09"/>
    <w:rsid w:val="4B7A5635"/>
    <w:rsid w:val="4B7F49FA"/>
    <w:rsid w:val="4B7F7FB5"/>
    <w:rsid w:val="4BE06C76"/>
    <w:rsid w:val="4BF7E09D"/>
    <w:rsid w:val="4CD35DA9"/>
    <w:rsid w:val="4E141D71"/>
    <w:rsid w:val="4E26377D"/>
    <w:rsid w:val="4E434007"/>
    <w:rsid w:val="4ECA2430"/>
    <w:rsid w:val="4ECA741E"/>
    <w:rsid w:val="4F10222A"/>
    <w:rsid w:val="4F2A7373"/>
    <w:rsid w:val="4FF05EC6"/>
    <w:rsid w:val="511106B3"/>
    <w:rsid w:val="51187F34"/>
    <w:rsid w:val="515801C7"/>
    <w:rsid w:val="523A5B1F"/>
    <w:rsid w:val="528648C0"/>
    <w:rsid w:val="52F83A10"/>
    <w:rsid w:val="53B65679"/>
    <w:rsid w:val="53BB74FC"/>
    <w:rsid w:val="53EA5EC2"/>
    <w:rsid w:val="541C1980"/>
    <w:rsid w:val="544E58B1"/>
    <w:rsid w:val="54521C9F"/>
    <w:rsid w:val="54B92B11"/>
    <w:rsid w:val="54E65AEA"/>
    <w:rsid w:val="55032881"/>
    <w:rsid w:val="5581018E"/>
    <w:rsid w:val="558D41B7"/>
    <w:rsid w:val="55C52AA8"/>
    <w:rsid w:val="55E276DA"/>
    <w:rsid w:val="55FDDF92"/>
    <w:rsid w:val="55FFBC03"/>
    <w:rsid w:val="562B368E"/>
    <w:rsid w:val="562C39D0"/>
    <w:rsid w:val="56CDA72E"/>
    <w:rsid w:val="57145BED"/>
    <w:rsid w:val="576F5916"/>
    <w:rsid w:val="577FDAE2"/>
    <w:rsid w:val="57DE6F4C"/>
    <w:rsid w:val="57FBE2C7"/>
    <w:rsid w:val="58466FCB"/>
    <w:rsid w:val="58957303"/>
    <w:rsid w:val="589A4FAA"/>
    <w:rsid w:val="58B32187"/>
    <w:rsid w:val="595079D6"/>
    <w:rsid w:val="59A85A64"/>
    <w:rsid w:val="5A67147B"/>
    <w:rsid w:val="5B335734"/>
    <w:rsid w:val="5B7F322F"/>
    <w:rsid w:val="5BCAB023"/>
    <w:rsid w:val="5BE2700B"/>
    <w:rsid w:val="5BFF3487"/>
    <w:rsid w:val="5C602626"/>
    <w:rsid w:val="5C725C8E"/>
    <w:rsid w:val="5C8C51C9"/>
    <w:rsid w:val="5CE943C9"/>
    <w:rsid w:val="5D7E05D6"/>
    <w:rsid w:val="5DDA9B94"/>
    <w:rsid w:val="5E9C4CD6"/>
    <w:rsid w:val="5EAB810D"/>
    <w:rsid w:val="5EF318B9"/>
    <w:rsid w:val="5EFF9DA6"/>
    <w:rsid w:val="5F7751B9"/>
    <w:rsid w:val="5F9F7232"/>
    <w:rsid w:val="5F9F9588"/>
    <w:rsid w:val="5FB748F8"/>
    <w:rsid w:val="5FBD32D2"/>
    <w:rsid w:val="5FC231C2"/>
    <w:rsid w:val="5FD450B0"/>
    <w:rsid w:val="5FE0189A"/>
    <w:rsid w:val="5FEF60CD"/>
    <w:rsid w:val="5FFB203D"/>
    <w:rsid w:val="5FFB8CF9"/>
    <w:rsid w:val="60145C01"/>
    <w:rsid w:val="6045400C"/>
    <w:rsid w:val="60BE126F"/>
    <w:rsid w:val="61007F33"/>
    <w:rsid w:val="61643227"/>
    <w:rsid w:val="620D2908"/>
    <w:rsid w:val="624A3B5C"/>
    <w:rsid w:val="626D784A"/>
    <w:rsid w:val="637D3AC8"/>
    <w:rsid w:val="63DBAF21"/>
    <w:rsid w:val="641A130C"/>
    <w:rsid w:val="64480E21"/>
    <w:rsid w:val="64590086"/>
    <w:rsid w:val="6530528B"/>
    <w:rsid w:val="65A111FA"/>
    <w:rsid w:val="662F5543"/>
    <w:rsid w:val="6636451A"/>
    <w:rsid w:val="667733BA"/>
    <w:rsid w:val="66E300DB"/>
    <w:rsid w:val="676905E0"/>
    <w:rsid w:val="67DE80AA"/>
    <w:rsid w:val="68111877"/>
    <w:rsid w:val="686B482C"/>
    <w:rsid w:val="68E4727A"/>
    <w:rsid w:val="692F7608"/>
    <w:rsid w:val="69491E5A"/>
    <w:rsid w:val="697E3B47"/>
    <w:rsid w:val="69BF132E"/>
    <w:rsid w:val="6A356EA0"/>
    <w:rsid w:val="6A693F9F"/>
    <w:rsid w:val="6A701C86"/>
    <w:rsid w:val="6A94006A"/>
    <w:rsid w:val="6AA06A0F"/>
    <w:rsid w:val="6AC51274"/>
    <w:rsid w:val="6B4C44A1"/>
    <w:rsid w:val="6B970455"/>
    <w:rsid w:val="6BF54413"/>
    <w:rsid w:val="6BFEE5F3"/>
    <w:rsid w:val="6C1E680D"/>
    <w:rsid w:val="6C372836"/>
    <w:rsid w:val="6C427652"/>
    <w:rsid w:val="6CAFF34E"/>
    <w:rsid w:val="6CB56076"/>
    <w:rsid w:val="6CE1330F"/>
    <w:rsid w:val="6CF961D3"/>
    <w:rsid w:val="6CFC7733"/>
    <w:rsid w:val="6CFFCF4F"/>
    <w:rsid w:val="6DF35810"/>
    <w:rsid w:val="6DFFF8B6"/>
    <w:rsid w:val="6E8C0DE2"/>
    <w:rsid w:val="6EEDE807"/>
    <w:rsid w:val="6EEE4BE4"/>
    <w:rsid w:val="6EF65E9C"/>
    <w:rsid w:val="6F3B4DD8"/>
    <w:rsid w:val="6F3D9197"/>
    <w:rsid w:val="6F685621"/>
    <w:rsid w:val="6F7947F4"/>
    <w:rsid w:val="6FA348AB"/>
    <w:rsid w:val="6FAB3EC4"/>
    <w:rsid w:val="6FB6AF41"/>
    <w:rsid w:val="6FD894C8"/>
    <w:rsid w:val="6FE36A9E"/>
    <w:rsid w:val="6FEFB2D1"/>
    <w:rsid w:val="6FFF97E6"/>
    <w:rsid w:val="703E4CB4"/>
    <w:rsid w:val="704936A5"/>
    <w:rsid w:val="709D59C2"/>
    <w:rsid w:val="70F762AA"/>
    <w:rsid w:val="7121017E"/>
    <w:rsid w:val="71332DB0"/>
    <w:rsid w:val="71392E71"/>
    <w:rsid w:val="71397E03"/>
    <w:rsid w:val="71FB5B08"/>
    <w:rsid w:val="728B73FF"/>
    <w:rsid w:val="72F773E8"/>
    <w:rsid w:val="73117578"/>
    <w:rsid w:val="732775A1"/>
    <w:rsid w:val="7353733C"/>
    <w:rsid w:val="73A642CD"/>
    <w:rsid w:val="73CE7F9F"/>
    <w:rsid w:val="73DC09EB"/>
    <w:rsid w:val="73E536E4"/>
    <w:rsid w:val="73F531FC"/>
    <w:rsid w:val="73FB87D9"/>
    <w:rsid w:val="7407365B"/>
    <w:rsid w:val="747E1443"/>
    <w:rsid w:val="74F811F5"/>
    <w:rsid w:val="750A2CD7"/>
    <w:rsid w:val="75680129"/>
    <w:rsid w:val="75EF0FBA"/>
    <w:rsid w:val="75F53987"/>
    <w:rsid w:val="7607C293"/>
    <w:rsid w:val="76DFA4E8"/>
    <w:rsid w:val="76ED06E5"/>
    <w:rsid w:val="77371C1F"/>
    <w:rsid w:val="778720BD"/>
    <w:rsid w:val="77A7D615"/>
    <w:rsid w:val="77B75398"/>
    <w:rsid w:val="77FF366A"/>
    <w:rsid w:val="77FF8C96"/>
    <w:rsid w:val="77FFA8F9"/>
    <w:rsid w:val="781C169F"/>
    <w:rsid w:val="78434100"/>
    <w:rsid w:val="78A82F32"/>
    <w:rsid w:val="78FA45BA"/>
    <w:rsid w:val="7976604B"/>
    <w:rsid w:val="79D815F5"/>
    <w:rsid w:val="79F3BC78"/>
    <w:rsid w:val="79FA156C"/>
    <w:rsid w:val="7A356A48"/>
    <w:rsid w:val="7A3C484D"/>
    <w:rsid w:val="7A5B6CAA"/>
    <w:rsid w:val="7A8C2B0C"/>
    <w:rsid w:val="7A9314AC"/>
    <w:rsid w:val="7B4F6850"/>
    <w:rsid w:val="7BABD5C4"/>
    <w:rsid w:val="7BB12055"/>
    <w:rsid w:val="7BBFADBA"/>
    <w:rsid w:val="7BCF6AD9"/>
    <w:rsid w:val="7BFF492D"/>
    <w:rsid w:val="7C631402"/>
    <w:rsid w:val="7C635AEE"/>
    <w:rsid w:val="7C978C63"/>
    <w:rsid w:val="7CA35AD0"/>
    <w:rsid w:val="7CDF8BC3"/>
    <w:rsid w:val="7CE30BAB"/>
    <w:rsid w:val="7CEB72A5"/>
    <w:rsid w:val="7D18750B"/>
    <w:rsid w:val="7D6E7A5A"/>
    <w:rsid w:val="7D8F2B88"/>
    <w:rsid w:val="7DDFDC39"/>
    <w:rsid w:val="7E140770"/>
    <w:rsid w:val="7E5D92FB"/>
    <w:rsid w:val="7EC46D37"/>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3">
    <w:name w:val="Document Map"/>
    <w:basedOn w:val="1"/>
    <w:link w:val="19"/>
    <w:qFormat/>
    <w:uiPriority w:val="0"/>
    <w:rPr>
      <w:rFonts w:ascii="宋体" w:eastAsia="宋体"/>
      <w:sz w:val="18"/>
      <w:szCs w:val="18"/>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Chars="200"/>
    </w:pPr>
    <w:rPr>
      <w:rFonts w:ascii="仿宋_GB2312"/>
      <w:szCs w:val="32"/>
    </w:r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0"/>
  </w:style>
  <w:style w:type="paragraph" w:styleId="10">
    <w:name w:val="footnote text"/>
    <w:basedOn w:val="1"/>
    <w:unhideWhenUsed/>
    <w:qFormat/>
    <w:uiPriority w:val="0"/>
    <w:pPr>
      <w:snapToGrid w:val="0"/>
      <w:jc w:val="left"/>
    </w:pPr>
    <w:rPr>
      <w:rFonts w:ascii="宋体" w:hAnsi="宋体" w:eastAsia="宋体"/>
      <w:sz w:val="18"/>
      <w:szCs w:val="18"/>
    </w:r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7">
    <w:name w:val="四号正文"/>
    <w:basedOn w:val="1"/>
    <w:link w:val="18"/>
    <w:qFormat/>
    <w:uiPriority w:val="0"/>
    <w:pPr>
      <w:spacing w:line="360" w:lineRule="auto"/>
    </w:pPr>
    <w:rPr>
      <w:rFonts w:ascii="??" w:hAnsi="??" w:eastAsia="宋体" w:cs="宋体"/>
      <w:color w:val="000000"/>
      <w:kern w:val="0"/>
      <w:sz w:val="28"/>
      <w:szCs w:val="21"/>
    </w:rPr>
  </w:style>
  <w:style w:type="character" w:customStyle="1" w:styleId="18">
    <w:name w:val="四号正文 Char"/>
    <w:basedOn w:val="14"/>
    <w:link w:val="17"/>
    <w:qFormat/>
    <w:uiPriority w:val="0"/>
    <w:rPr>
      <w:rFonts w:ascii="??" w:hAnsi="??" w:eastAsia="宋体" w:cs="宋体"/>
      <w:color w:val="000000"/>
      <w:sz w:val="28"/>
      <w:szCs w:val="21"/>
      <w:lang w:val="en-US" w:eastAsia="zh-CN" w:bidi="ar-SA"/>
    </w:rPr>
  </w:style>
  <w:style w:type="character" w:customStyle="1" w:styleId="19">
    <w:name w:val="文档结构图 Char"/>
    <w:basedOn w:val="14"/>
    <w:link w:val="3"/>
    <w:qFormat/>
    <w:uiPriority w:val="0"/>
    <w:rPr>
      <w:rFonts w:ascii="宋体"/>
      <w:kern w:val="2"/>
      <w:sz w:val="18"/>
      <w:szCs w:val="18"/>
    </w:rPr>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脚 Char"/>
    <w:basedOn w:val="14"/>
    <w:link w:val="7"/>
    <w:qFormat/>
    <w:uiPriority w:val="99"/>
    <w:rPr>
      <w:kern w:val="2"/>
      <w:sz w:val="18"/>
      <w:szCs w:val="18"/>
    </w:rPr>
  </w:style>
  <w:style w:type="character" w:customStyle="1" w:styleId="22">
    <w:name w:val="font31"/>
    <w:basedOn w:val="14"/>
    <w:qFormat/>
    <w:uiPriority w:val="0"/>
    <w:rPr>
      <w:rFonts w:hint="eastAsia" w:ascii="宋体" w:hAnsi="宋体" w:eastAsia="宋体" w:cs="宋体"/>
      <w:color w:val="000000"/>
      <w:sz w:val="24"/>
      <w:szCs w:val="24"/>
      <w:u w:val="none"/>
    </w:rPr>
  </w:style>
  <w:style w:type="character" w:customStyle="1" w:styleId="23">
    <w:name w:val="font51"/>
    <w:basedOn w:val="14"/>
    <w:qFormat/>
    <w:uiPriority w:val="0"/>
    <w:rPr>
      <w:rFonts w:hint="default" w:ascii="Wingdings 2" w:hAnsi="Wingdings 2" w:eastAsia="Wingdings 2" w:cs="Wingdings 2"/>
      <w:color w:val="000000"/>
      <w:sz w:val="18"/>
      <w:szCs w:val="18"/>
      <w:u w:val="none"/>
    </w:rPr>
  </w:style>
  <w:style w:type="character" w:customStyle="1" w:styleId="24">
    <w:name w:val="font01"/>
    <w:basedOn w:val="14"/>
    <w:qFormat/>
    <w:uiPriority w:val="0"/>
    <w:rPr>
      <w:rFonts w:ascii="宋体" w:hAnsi="宋体" w:eastAsia="宋体" w:cs="宋体"/>
      <w:color w:val="000000"/>
      <w:sz w:val="18"/>
      <w:szCs w:val="18"/>
      <w:u w:val="none"/>
    </w:rPr>
  </w:style>
  <w:style w:type="character" w:customStyle="1" w:styleId="25">
    <w:name w:val="font41"/>
    <w:basedOn w:val="14"/>
    <w:qFormat/>
    <w:uiPriority w:val="0"/>
    <w:rPr>
      <w:rFonts w:ascii="宋体" w:hAnsi="宋体" w:eastAsia="宋体" w:cs="宋体"/>
      <w:color w:val="000000"/>
      <w:sz w:val="18"/>
      <w:szCs w:val="18"/>
      <w:u w:val="none"/>
    </w:rPr>
  </w:style>
  <w:style w:type="table" w:customStyle="1" w:styleId="26">
    <w:name w:val="网格型1"/>
    <w:basedOn w:val="12"/>
    <w:autoRedefine/>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天勤正文"/>
    <w:basedOn w:val="1"/>
    <w:autoRedefine/>
    <w:qFormat/>
    <w:uiPriority w:val="0"/>
    <w:pPr>
      <w:spacing w:line="600" w:lineRule="exact"/>
      <w:ind w:firstLine="200" w:firstLineChars="200"/>
    </w:pPr>
    <w:rPr>
      <w:rFonts w:eastAsia="方正仿宋" w:cstheme="minorBidi"/>
      <w:szCs w:val="32"/>
    </w:rPr>
  </w:style>
  <w:style w:type="character" w:customStyle="1" w:styleId="28">
    <w:name w:val="font71"/>
    <w:basedOn w:val="14"/>
    <w:qFormat/>
    <w:uiPriority w:val="0"/>
    <w:rPr>
      <w:rFonts w:ascii="Arial" w:hAnsi="Arial" w:cs="Arial"/>
      <w:color w:val="000000"/>
      <w:sz w:val="18"/>
      <w:szCs w:val="18"/>
      <w:u w:val="none"/>
    </w:rPr>
  </w:style>
  <w:style w:type="character" w:customStyle="1" w:styleId="29">
    <w:name w:val="font21"/>
    <w:basedOn w:val="1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87</Pages>
  <Words>6848</Words>
  <Characters>7645</Characters>
  <Lines>2</Lines>
  <Paragraphs>1</Paragraphs>
  <TotalTime>14</TotalTime>
  <ScaleCrop>false</ScaleCrop>
  <LinksUpToDate>false</LinksUpToDate>
  <CharactersWithSpaces>7752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2019-05-27T19:06:00Z</dcterms:created>
  <dc:creator>陈萍</dc:creator>
  <cp:lastModifiedBy>炗垚晖煌</cp:lastModifiedBy>
  <cp:lastPrinted>2024-07-19T12:36:00Z</cp:lastPrinted>
  <dcterms:modified xsi:type="dcterms:W3CDTF">2025-06-20T08:39:21Z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E2DC3DE1B14C47878FC554FAE203F2D8_13</vt:lpwstr>
  </property>
  <property fmtid="{D5CDD505-2E9C-101B-9397-08002B2CF9AE}" pid="4" name="KSOTemplateDocerSaveRecord">
    <vt:lpwstr>eyJoZGlkIjoiMzdiYThiOGNkNDA5YjIxZmM4ZjMzZjc5NmI4MGJlMDgiLCJ1c2VySWQiOiIxMjIxNzg0ODU3In0=</vt:lpwstr>
  </property>
</Properties>
</file>