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27B0C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auto"/>
        <w:rPr>
          <w:rFonts w:hint="eastAsia" w:ascii="方正小标宋简体" w:hAnsi="方正小标宋简体" w:eastAsia="方正小标宋简体" w:cs="方正小标宋简体"/>
          <w:b w:val="0"/>
          <w:bCs w:val="0"/>
          <w:color w:val="000000"/>
          <w:kern w:val="0"/>
          <w:sz w:val="44"/>
          <w:szCs w:val="44"/>
          <w:highlight w:val="none"/>
          <w:lang w:val="en-US" w:eastAsia="zh-CN" w:bidi="ar"/>
        </w:rPr>
      </w:pPr>
      <w:r>
        <w:rPr>
          <w:rFonts w:hint="eastAsia" w:ascii="方正小标宋简体" w:hAnsi="方正小标宋简体" w:eastAsia="方正小标宋简体" w:cs="方正小标宋简体"/>
          <w:b w:val="0"/>
          <w:bCs w:val="0"/>
          <w:color w:val="000000"/>
          <w:kern w:val="0"/>
          <w:sz w:val="44"/>
          <w:szCs w:val="44"/>
          <w:highlight w:val="none"/>
          <w:lang w:val="en-US" w:eastAsia="zh-CN" w:bidi="ar"/>
        </w:rPr>
        <w:t>渠县宝城镇人民政府</w:t>
      </w:r>
    </w:p>
    <w:p w14:paraId="7065C28C">
      <w:pPr>
        <w:keepNext w:val="0"/>
        <w:keepLines w:val="0"/>
        <w:pageBreakBefore w:val="0"/>
        <w:kinsoku/>
        <w:wordWrap/>
        <w:overflowPunct/>
        <w:topLinePunct w:val="0"/>
        <w:autoSpaceDE/>
        <w:autoSpaceDN/>
        <w:bidi w:val="0"/>
        <w:adjustRightInd/>
        <w:snapToGrid/>
        <w:ind w:left="0" w:leftChars="0" w:firstLine="0" w:firstLineChars="0"/>
        <w:jc w:val="center"/>
        <w:textAlignment w:val="auto"/>
        <w:rPr>
          <w:rFonts w:hint="eastAsia" w:ascii="方正小标宋_GBK" w:hAnsi="方正小标宋_GBK" w:eastAsia="方正小标宋_GBK" w:cs="方正小标宋_GBK"/>
          <w:b w:val="0"/>
          <w:bCs/>
          <w:sz w:val="44"/>
          <w:szCs w:val="44"/>
          <w:highlight w:val="none"/>
          <w:shd w:val="clear" w:color="auto" w:fill="FFFFFF"/>
        </w:rPr>
      </w:pPr>
      <w:r>
        <w:rPr>
          <w:rFonts w:hint="eastAsia" w:ascii="方正小标宋_GBK" w:hAnsi="方正小标宋_GBK" w:eastAsia="方正小标宋_GBK" w:cs="方正小标宋_GBK"/>
          <w:b w:val="0"/>
          <w:bCs/>
          <w:sz w:val="44"/>
          <w:szCs w:val="44"/>
          <w:highlight w:val="none"/>
          <w:shd w:val="clear" w:color="auto" w:fill="FFFFFF"/>
          <w:lang w:eastAsia="zh-CN"/>
        </w:rPr>
        <w:t>关于</w:t>
      </w:r>
      <w:r>
        <w:rPr>
          <w:rFonts w:hint="eastAsia" w:ascii="方正小标宋_GBK" w:hAnsi="方正小标宋_GBK" w:eastAsia="方正小标宋_GBK" w:cs="方正小标宋_GBK"/>
          <w:b w:val="0"/>
          <w:bCs/>
          <w:sz w:val="44"/>
          <w:szCs w:val="44"/>
          <w:highlight w:val="none"/>
          <w:shd w:val="clear" w:color="auto" w:fill="FFFFFF"/>
          <w:lang w:val="en-US" w:eastAsia="zh-CN"/>
        </w:rPr>
        <w:t>2024年</w:t>
      </w:r>
      <w:r>
        <w:rPr>
          <w:rFonts w:hint="eastAsia" w:ascii="方正小标宋_GBK" w:hAnsi="方正小标宋_GBK" w:eastAsia="方正小标宋_GBK" w:cs="方正小标宋_GBK"/>
          <w:b w:val="0"/>
          <w:bCs/>
          <w:sz w:val="44"/>
          <w:szCs w:val="44"/>
          <w:highlight w:val="none"/>
          <w:shd w:val="clear" w:color="auto" w:fill="FFFFFF"/>
        </w:rPr>
        <w:t>绩效</w:t>
      </w:r>
      <w:r>
        <w:rPr>
          <w:rFonts w:hint="eastAsia" w:ascii="方正小标宋_GBK" w:hAnsi="方正小标宋_GBK" w:eastAsia="方正小标宋_GBK" w:cs="方正小标宋_GBK"/>
          <w:b w:val="0"/>
          <w:bCs/>
          <w:sz w:val="44"/>
          <w:szCs w:val="44"/>
          <w:highlight w:val="none"/>
          <w:shd w:val="clear" w:color="auto" w:fill="FFFFFF"/>
          <w:lang w:val="en-US" w:eastAsia="zh-CN"/>
        </w:rPr>
        <w:t>自评的</w:t>
      </w:r>
      <w:r>
        <w:rPr>
          <w:rFonts w:hint="eastAsia" w:ascii="方正小标宋_GBK" w:hAnsi="方正小标宋_GBK" w:eastAsia="方正小标宋_GBK" w:cs="方正小标宋_GBK"/>
          <w:b w:val="0"/>
          <w:bCs/>
          <w:sz w:val="44"/>
          <w:szCs w:val="44"/>
          <w:highlight w:val="none"/>
          <w:shd w:val="clear" w:color="auto" w:fill="FFFFFF"/>
        </w:rPr>
        <w:t>报告</w:t>
      </w:r>
    </w:p>
    <w:p w14:paraId="0C343AB2">
      <w:pPr>
        <w:pStyle w:val="8"/>
        <w:rPr>
          <w:rFonts w:hint="eastAsia"/>
        </w:rPr>
      </w:pPr>
    </w:p>
    <w:p w14:paraId="0EF10A86">
      <w:pPr>
        <w:pStyle w:val="11"/>
        <w:bidi w:val="0"/>
        <w:rPr>
          <w:rFonts w:hint="default"/>
        </w:rPr>
      </w:pPr>
      <w:r>
        <w:rPr>
          <w:rFonts w:hint="eastAsia"/>
          <w:lang w:val="zh-CN"/>
        </w:rPr>
        <w:t>一、</w:t>
      </w:r>
      <w:r>
        <w:rPr>
          <w:rFonts w:hint="default"/>
          <w:lang w:val="zh-CN"/>
        </w:rPr>
        <w:t>部门（单位）基本情况</w:t>
      </w:r>
    </w:p>
    <w:p w14:paraId="28394470">
      <w:pPr>
        <w:pStyle w:val="12"/>
        <w:bidi w:val="0"/>
        <w:rPr>
          <w:rFonts w:hint="default"/>
          <w:lang w:val="zh-CN"/>
        </w:rPr>
      </w:pPr>
      <w:r>
        <w:rPr>
          <w:rFonts w:hint="eastAsia"/>
          <w:lang w:val="zh-CN"/>
        </w:rPr>
        <w:t>（一）</w:t>
      </w:r>
      <w:r>
        <w:rPr>
          <w:rFonts w:hint="default"/>
          <w:lang w:val="zh-CN"/>
        </w:rPr>
        <w:t>机构组成</w:t>
      </w:r>
      <w:bookmarkStart w:id="0" w:name="_GoBack"/>
      <w:bookmarkEnd w:id="0"/>
    </w:p>
    <w:p w14:paraId="49843106">
      <w:pPr>
        <w:bidi w:val="0"/>
        <w:rPr>
          <w:rFonts w:hint="default"/>
          <w:lang w:val="zh-CN" w:eastAsia="zh-CN"/>
        </w:rPr>
      </w:pPr>
      <w:r>
        <w:rPr>
          <w:rFonts w:hint="eastAsia"/>
          <w:lang w:val="en-US" w:eastAsia="zh-CN"/>
        </w:rPr>
        <w:t>宝城镇人民政府设置党政综合办事机构7个，具体为：办公室（内部审计办公室）、党建办公室、综合执法办公室、经济发展办公室（乡村振兴办公室、生态环境办公室）、社会事务办公室、应急管理和社会治理办公室（社会治安综合治理中心）、财政所。设置公益一类事业单位3个，具体为：便民服务中心（退役军人服务站）、农业综合服务中心（畜牧兽医站）、村镇建设综合服务中心（村镇环境卫生治理中心）。</w:t>
      </w:r>
    </w:p>
    <w:p w14:paraId="1E8344F4">
      <w:pPr>
        <w:pStyle w:val="12"/>
        <w:numPr>
          <w:ilvl w:val="0"/>
          <w:numId w:val="1"/>
        </w:numPr>
        <w:bidi w:val="0"/>
        <w:rPr>
          <w:rFonts w:hint="eastAsia"/>
          <w:lang w:val="zh-CN"/>
        </w:rPr>
      </w:pPr>
      <w:r>
        <w:rPr>
          <w:rFonts w:hint="default"/>
          <w:lang w:val="zh-CN"/>
        </w:rPr>
        <w:t>机构职能</w:t>
      </w:r>
    </w:p>
    <w:p w14:paraId="158E21AB">
      <w:pPr>
        <w:bidi w:val="0"/>
        <w:rPr>
          <w:rFonts w:hint="eastAsia"/>
          <w:lang w:val="en-US" w:eastAsia="zh-CN"/>
        </w:rPr>
      </w:pPr>
      <w:r>
        <w:rPr>
          <w:rFonts w:hint="eastAsia"/>
          <w:lang w:val="en-US" w:eastAsia="zh-CN"/>
        </w:rPr>
        <w:t>一是落实政策。宣传、落实好党的路线、方针、政策和国家的法律、法规，稳定农村基本经济制度，坚持依法行政，推进政务公开，加强对村民委员会的指导，提高、培育村民委员会自治能力。</w:t>
      </w:r>
    </w:p>
    <w:p w14:paraId="38334E80">
      <w:pPr>
        <w:bidi w:val="0"/>
        <w:rPr>
          <w:rFonts w:hint="eastAsia"/>
          <w:lang w:val="en-US" w:eastAsia="zh-CN"/>
        </w:rPr>
      </w:pPr>
      <w:r>
        <w:rPr>
          <w:rFonts w:hint="eastAsia"/>
          <w:lang w:val="en-US" w:eastAsia="zh-CN"/>
        </w:rPr>
        <w:t>二是促进发展。科学制定发展规划，营造农村经济发展环境，加强农村市场监督、培育、提升市场功能，搞活市场流通，推广农业技术，完善农业社会化服务体系，引导农民发展现代农业，调整产业结构，加强农村劳动力技能培训,引导农村劳动力转移和就业，不断提高社会主义新农村建设水平。</w:t>
      </w:r>
    </w:p>
    <w:p w14:paraId="0B3F2D07">
      <w:pPr>
        <w:bidi w:val="0"/>
        <w:rPr>
          <w:rFonts w:hint="eastAsia"/>
          <w:lang w:val="en-US" w:eastAsia="zh-CN"/>
        </w:rPr>
      </w:pPr>
      <w:r>
        <w:rPr>
          <w:rFonts w:hint="eastAsia"/>
          <w:lang w:val="en-US" w:eastAsia="zh-CN"/>
        </w:rPr>
        <w:t>三是维护稳定。坚持“立党为公，执政为民”，紧紧围绕实现和维护群众利益开展工作，突出解决人民群众最关心、最直接、最现实的利益问题。加强和巩固农村基层政权建设和民主法治建设，加强社会治安综合治理，加强对突发事件的预警和管理，建立、健全各种应急机制，加强民事纠纷调解，化解农村社会矛盾，开展农村扶贫和社会救助，切实保障农民合法权益，维护农村社会稳定。</w:t>
      </w:r>
    </w:p>
    <w:p w14:paraId="5A4CF919">
      <w:pPr>
        <w:bidi w:val="0"/>
        <w:rPr>
          <w:rFonts w:hint="eastAsia"/>
          <w:lang w:val="en-US" w:eastAsia="zh-CN"/>
        </w:rPr>
      </w:pPr>
      <w:r>
        <w:rPr>
          <w:rFonts w:hint="eastAsia"/>
          <w:lang w:val="en-US" w:eastAsia="zh-CN"/>
        </w:rPr>
        <w:t>四是加强管理。加强民政、教育、科技、文化、卫生、计划生育、安全生产、劳动保障和乡村规划等社会管理，加强社会主义精神文明建设，做好防灾减灾工作，加强环境保护，改善农村人居环境，提高农村人口素质和农民生活质量。</w:t>
      </w:r>
    </w:p>
    <w:p w14:paraId="54D19216">
      <w:pPr>
        <w:bidi w:val="0"/>
        <w:rPr>
          <w:rFonts w:hint="eastAsia"/>
          <w:lang w:val="zh-CN"/>
        </w:rPr>
      </w:pPr>
      <w:r>
        <w:rPr>
          <w:rFonts w:hint="eastAsia"/>
          <w:lang w:val="en-US" w:eastAsia="zh-CN"/>
        </w:rPr>
        <w:t>五是提供服务。进一步发展和完善农业社会化服务体系,引导各类协会和农村专业合作经济组织发展,充分发挥其作用,发展农村社会公益事业和集体公益事业，加强农村基础设施建设，增加公共产品，提供政策、科技、市场信息和社会救济、救助服务，及时向上级党委、政府反映社情民意，进一步密切党和人民群众的关系。</w:t>
      </w:r>
    </w:p>
    <w:p w14:paraId="0347CE93">
      <w:pPr>
        <w:pStyle w:val="12"/>
        <w:numPr>
          <w:ilvl w:val="0"/>
          <w:numId w:val="1"/>
        </w:numPr>
        <w:bidi w:val="0"/>
        <w:rPr>
          <w:rFonts w:hint="eastAsia"/>
          <w:lang w:val="zh-CN"/>
        </w:rPr>
      </w:pPr>
      <w:r>
        <w:rPr>
          <w:rFonts w:hint="default"/>
          <w:lang w:val="zh-CN"/>
        </w:rPr>
        <w:t>人员概况</w:t>
      </w:r>
    </w:p>
    <w:p w14:paraId="10AA9D7A">
      <w:pPr>
        <w:bidi w:val="0"/>
        <w:rPr>
          <w:rFonts w:hint="default"/>
        </w:rPr>
      </w:pPr>
      <w:r>
        <w:rPr>
          <w:rFonts w:hint="default"/>
        </w:rPr>
        <w:t>截至202</w:t>
      </w:r>
      <w:r>
        <w:rPr>
          <w:rFonts w:hint="eastAsia"/>
          <w:lang w:val="en-US" w:eastAsia="zh-CN"/>
        </w:rPr>
        <w:t>4</w:t>
      </w:r>
      <w:r>
        <w:rPr>
          <w:rFonts w:hint="default"/>
        </w:rPr>
        <w:t>年末，</w:t>
      </w:r>
      <w:r>
        <w:rPr>
          <w:rFonts w:hint="eastAsia"/>
          <w:lang w:val="en-US" w:eastAsia="zh-CN"/>
        </w:rPr>
        <w:t>渠县宝城镇人民政府核定编制人数56人，其中行政编制29人，事业编制24人，工勤编制3名。实际财政供养人员106人，其中在职49人，退休57人（已转由社保局发放退休金）。</w:t>
      </w:r>
      <w:r>
        <w:rPr>
          <w:rFonts w:hint="eastAsia"/>
        </w:rPr>
        <w:t>长期聘用</w:t>
      </w:r>
      <w:r>
        <w:rPr>
          <w:rFonts w:hint="eastAsia"/>
          <w:lang w:val="en-US" w:eastAsia="zh-CN"/>
        </w:rPr>
        <w:t>0</w:t>
      </w:r>
      <w:r>
        <w:rPr>
          <w:rFonts w:hint="eastAsia"/>
        </w:rPr>
        <w:t>名。</w:t>
      </w:r>
    </w:p>
    <w:p w14:paraId="267D551D">
      <w:pPr>
        <w:pStyle w:val="11"/>
        <w:bidi w:val="0"/>
        <w:rPr>
          <w:rFonts w:hint="default"/>
        </w:rPr>
      </w:pPr>
      <w:r>
        <w:rPr>
          <w:rFonts w:hint="default"/>
        </w:rPr>
        <w:t>二、</w:t>
      </w:r>
      <w:r>
        <w:rPr>
          <w:rFonts w:hint="default"/>
          <w:lang w:eastAsia="zh-CN"/>
        </w:rPr>
        <w:t>部门</w:t>
      </w:r>
      <w:r>
        <w:rPr>
          <w:rFonts w:hint="default"/>
        </w:rPr>
        <w:t>资金收支情况</w:t>
      </w:r>
    </w:p>
    <w:p w14:paraId="78E8803A">
      <w:pPr>
        <w:pStyle w:val="12"/>
        <w:bidi w:val="0"/>
        <w:rPr>
          <w:rFonts w:hint="default"/>
          <w:lang w:val="zh-CN"/>
        </w:rPr>
      </w:pPr>
      <w:r>
        <w:rPr>
          <w:rFonts w:hint="default"/>
          <w:lang w:val="zh-CN"/>
        </w:rPr>
        <w:t>（一）收入情况</w:t>
      </w:r>
    </w:p>
    <w:p w14:paraId="1B56C0CE">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2312" w:cs="Times New Roman"/>
          <w:b/>
          <w:bCs/>
          <w:color w:val="000000"/>
          <w:kern w:val="0"/>
          <w:sz w:val="32"/>
          <w:szCs w:val="32"/>
          <w:highlight w:val="none"/>
          <w:shd w:val="clear" w:color="auto" w:fill="FFFFFF"/>
          <w:lang w:val="en-US"/>
        </w:rPr>
      </w:pPr>
      <w:r>
        <w:rPr>
          <w:rFonts w:hint="default" w:ascii="Times New Roman" w:hAnsi="Times New Roman" w:eastAsia="方正仿宋_GB2312" w:cs="Times New Roman"/>
          <w:sz w:val="32"/>
          <w:szCs w:val="32"/>
          <w:lang w:val="en-US" w:eastAsia="zh-CN"/>
        </w:rPr>
        <w:t>渠县</w:t>
      </w:r>
      <w:r>
        <w:rPr>
          <w:rFonts w:hint="eastAsia" w:ascii="Times New Roman" w:hAnsi="Times New Roman" w:cs="Times New Roman"/>
          <w:sz w:val="32"/>
          <w:szCs w:val="32"/>
          <w:lang w:val="en-US" w:eastAsia="zh-CN"/>
        </w:rPr>
        <w:t>宝城</w:t>
      </w:r>
      <w:r>
        <w:rPr>
          <w:rFonts w:hint="default" w:ascii="Times New Roman" w:hAnsi="Times New Roman" w:eastAsia="方正仿宋_GB2312" w:cs="Times New Roman"/>
          <w:sz w:val="32"/>
          <w:szCs w:val="32"/>
          <w:lang w:val="en-US" w:eastAsia="zh-CN"/>
        </w:rPr>
        <w:t>镇人民政府2024年年初预算收入</w:t>
      </w:r>
      <w:r>
        <w:rPr>
          <w:rFonts w:hint="eastAsia" w:ascii="Times New Roman" w:hAnsi="Times New Roman" w:cs="Times New Roman"/>
          <w:sz w:val="32"/>
          <w:szCs w:val="32"/>
          <w:lang w:val="en-US" w:eastAsia="zh-CN"/>
        </w:rPr>
        <w:t>1354.29万</w:t>
      </w:r>
      <w:r>
        <w:rPr>
          <w:rFonts w:hint="default" w:ascii="Times New Roman" w:hAnsi="Times New Roman" w:eastAsia="方正仿宋_GB2312" w:cs="Times New Roman"/>
          <w:sz w:val="32"/>
          <w:szCs w:val="32"/>
          <w:lang w:val="en-US" w:eastAsia="zh-CN"/>
        </w:rPr>
        <w:t>元、中期调整预算收入</w:t>
      </w:r>
      <w:r>
        <w:rPr>
          <w:rFonts w:hint="eastAsia" w:ascii="Times New Roman" w:hAnsi="Times New Roman" w:cs="Times New Roman"/>
          <w:sz w:val="32"/>
          <w:szCs w:val="32"/>
          <w:lang w:val="en-US" w:eastAsia="zh-CN"/>
        </w:rPr>
        <w:t>245.09万</w:t>
      </w:r>
      <w:r>
        <w:rPr>
          <w:rFonts w:hint="default" w:ascii="Times New Roman" w:hAnsi="Times New Roman" w:eastAsia="方正仿宋_GB2312" w:cs="Times New Roman"/>
          <w:sz w:val="32"/>
          <w:szCs w:val="32"/>
          <w:lang w:val="en-US" w:eastAsia="zh-CN"/>
        </w:rPr>
        <w:t>元，调整后财政拨款收入</w:t>
      </w:r>
      <w:r>
        <w:rPr>
          <w:rFonts w:hint="eastAsia" w:ascii="Times New Roman" w:hAnsi="Times New Roman" w:cs="Times New Roman"/>
          <w:sz w:val="32"/>
          <w:szCs w:val="32"/>
          <w:lang w:val="en-US" w:eastAsia="zh-CN"/>
        </w:rPr>
        <w:t>1599.38万</w:t>
      </w:r>
      <w:r>
        <w:rPr>
          <w:rFonts w:hint="default" w:ascii="Times New Roman" w:hAnsi="Times New Roman" w:eastAsia="方正仿宋_GB2312" w:cs="Times New Roman"/>
          <w:sz w:val="32"/>
          <w:szCs w:val="32"/>
          <w:lang w:val="en-US" w:eastAsia="zh-CN"/>
        </w:rPr>
        <w:t>元。其中：一般公共预算财政拨款收入</w:t>
      </w:r>
      <w:r>
        <w:rPr>
          <w:rFonts w:hint="eastAsia" w:ascii="Times New Roman" w:hAnsi="Times New Roman" w:cs="Times New Roman"/>
          <w:sz w:val="32"/>
          <w:szCs w:val="32"/>
          <w:lang w:val="en-US" w:eastAsia="zh-CN"/>
        </w:rPr>
        <w:t>1493.56万</w:t>
      </w:r>
      <w:r>
        <w:rPr>
          <w:rFonts w:hint="default" w:ascii="Times New Roman" w:hAnsi="Times New Roman" w:eastAsia="方正仿宋_GB2312" w:cs="Times New Roman"/>
          <w:sz w:val="32"/>
          <w:szCs w:val="32"/>
          <w:lang w:val="en-US" w:eastAsia="zh-CN"/>
        </w:rPr>
        <w:t>元，占9</w:t>
      </w:r>
      <w:r>
        <w:rPr>
          <w:rFonts w:hint="eastAsia" w:ascii="Times New Roman" w:hAnsi="Times New Roman" w:cs="Times New Roman"/>
          <w:sz w:val="32"/>
          <w:szCs w:val="32"/>
          <w:lang w:val="en-US" w:eastAsia="zh-CN"/>
        </w:rPr>
        <w:t>3</w:t>
      </w:r>
      <w:r>
        <w:rPr>
          <w:rFonts w:hint="default" w:ascii="Times New Roman" w:hAnsi="Times New Roman" w:eastAsia="方正仿宋_GB2312" w:cs="Times New Roman"/>
          <w:sz w:val="32"/>
          <w:szCs w:val="32"/>
          <w:lang w:val="en-US" w:eastAsia="zh-CN"/>
        </w:rPr>
        <w:t>.</w:t>
      </w:r>
      <w:r>
        <w:rPr>
          <w:rFonts w:hint="eastAsia" w:ascii="Times New Roman" w:hAnsi="Times New Roman" w:cs="Times New Roman"/>
          <w:sz w:val="32"/>
          <w:szCs w:val="32"/>
          <w:lang w:val="en-US" w:eastAsia="zh-CN"/>
        </w:rPr>
        <w:t>38</w:t>
      </w:r>
      <w:r>
        <w:rPr>
          <w:rFonts w:hint="default" w:ascii="Times New Roman" w:hAnsi="Times New Roman" w:eastAsia="方正仿宋_GB2312" w:cs="Times New Roman"/>
          <w:sz w:val="32"/>
          <w:szCs w:val="32"/>
          <w:lang w:val="en-US" w:eastAsia="zh-CN"/>
        </w:rPr>
        <w:t>%；政府性基金预算财政拨款收入</w:t>
      </w:r>
      <w:r>
        <w:rPr>
          <w:rFonts w:hint="eastAsia" w:ascii="Times New Roman" w:hAnsi="Times New Roman" w:cs="Times New Roman"/>
          <w:sz w:val="32"/>
          <w:szCs w:val="32"/>
          <w:lang w:val="en-US" w:eastAsia="zh-CN"/>
        </w:rPr>
        <w:t>105</w:t>
      </w:r>
      <w:r>
        <w:rPr>
          <w:rFonts w:hint="eastAsia" w:cs="Times New Roman"/>
          <w:sz w:val="32"/>
          <w:szCs w:val="32"/>
          <w:lang w:val="en-US" w:eastAsia="zh-CN"/>
        </w:rPr>
        <w:t>.</w:t>
      </w:r>
      <w:r>
        <w:rPr>
          <w:rFonts w:hint="eastAsia" w:ascii="Times New Roman" w:hAnsi="Times New Roman" w:cs="Times New Roman"/>
          <w:sz w:val="32"/>
          <w:szCs w:val="32"/>
          <w:lang w:val="en-US" w:eastAsia="zh-CN"/>
        </w:rPr>
        <w:t>8</w:t>
      </w:r>
      <w:r>
        <w:rPr>
          <w:rFonts w:hint="eastAsia" w:cs="Times New Roman"/>
          <w:sz w:val="32"/>
          <w:szCs w:val="32"/>
          <w:lang w:val="en-US" w:eastAsia="zh-CN"/>
        </w:rPr>
        <w:t>2</w:t>
      </w:r>
      <w:r>
        <w:rPr>
          <w:rFonts w:hint="eastAsia" w:ascii="Times New Roman" w:hAnsi="Times New Roman" w:cs="Times New Roman"/>
          <w:sz w:val="32"/>
          <w:szCs w:val="32"/>
          <w:lang w:val="en-US" w:eastAsia="zh-CN"/>
        </w:rPr>
        <w:t>万</w:t>
      </w:r>
      <w:r>
        <w:rPr>
          <w:rFonts w:hint="default" w:ascii="Times New Roman" w:hAnsi="Times New Roman" w:eastAsia="方正仿宋_GB2312" w:cs="Times New Roman"/>
          <w:sz w:val="32"/>
          <w:szCs w:val="32"/>
          <w:lang w:val="en-US" w:eastAsia="zh-CN"/>
        </w:rPr>
        <w:t>元，占</w:t>
      </w:r>
      <w:r>
        <w:rPr>
          <w:rFonts w:hint="eastAsia" w:ascii="Times New Roman" w:hAnsi="Times New Roman" w:cs="Times New Roman"/>
          <w:sz w:val="32"/>
          <w:szCs w:val="32"/>
          <w:lang w:val="en-US" w:eastAsia="zh-CN"/>
        </w:rPr>
        <w:t>6.62</w:t>
      </w:r>
      <w:r>
        <w:rPr>
          <w:rFonts w:hint="default" w:ascii="Times New Roman" w:hAnsi="Times New Roman" w:eastAsia="方正仿宋_GB2312" w:cs="Times New Roman"/>
          <w:sz w:val="32"/>
          <w:szCs w:val="32"/>
          <w:lang w:val="en-US" w:eastAsia="zh-CN"/>
        </w:rPr>
        <w:t>%。</w:t>
      </w:r>
    </w:p>
    <w:p w14:paraId="0C9390D9">
      <w:pPr>
        <w:pStyle w:val="12"/>
        <w:numPr>
          <w:ilvl w:val="0"/>
          <w:numId w:val="2"/>
        </w:numPr>
        <w:bidi w:val="0"/>
        <w:rPr>
          <w:rFonts w:hint="default"/>
          <w:lang w:val="zh-CN" w:eastAsia="zh-CN"/>
        </w:rPr>
      </w:pPr>
      <w:r>
        <w:rPr>
          <w:rFonts w:hint="default"/>
          <w:lang w:val="zh-CN"/>
        </w:rPr>
        <w:t>支出情况</w:t>
      </w:r>
    </w:p>
    <w:p w14:paraId="5709861E">
      <w:pPr>
        <w:bidi w:val="0"/>
        <w:rPr>
          <w:rFonts w:hint="default"/>
          <w:lang w:val="zh-CN" w:eastAsia="zh-CN"/>
        </w:rPr>
      </w:pPr>
      <w:r>
        <w:rPr>
          <w:rFonts w:hint="default"/>
          <w:lang w:val="en-US" w:eastAsia="zh-CN"/>
        </w:rPr>
        <w:t>渠县</w:t>
      </w:r>
      <w:r>
        <w:rPr>
          <w:rFonts w:hint="eastAsia"/>
          <w:lang w:val="en-US" w:eastAsia="zh-CN"/>
        </w:rPr>
        <w:t>宝城</w:t>
      </w:r>
      <w:r>
        <w:rPr>
          <w:rFonts w:hint="default"/>
          <w:lang w:val="en-US" w:eastAsia="zh-CN"/>
        </w:rPr>
        <w:t>镇人民政府2024年年初预算支出</w:t>
      </w:r>
      <w:r>
        <w:rPr>
          <w:rFonts w:hint="eastAsia" w:ascii="Times New Roman" w:hAnsi="Times New Roman" w:cs="Times New Roman"/>
          <w:sz w:val="32"/>
          <w:szCs w:val="32"/>
          <w:lang w:val="en-US" w:eastAsia="zh-CN"/>
        </w:rPr>
        <w:t>1354.29万元，</w:t>
      </w:r>
      <w:r>
        <w:rPr>
          <w:rFonts w:hint="default"/>
          <w:lang w:val="en-US" w:eastAsia="zh-CN"/>
        </w:rPr>
        <w:t>决算报表支出</w:t>
      </w:r>
      <w:r>
        <w:rPr>
          <w:rFonts w:hint="eastAsia" w:ascii="Times New Roman" w:hAnsi="Times New Roman" w:cs="Times New Roman"/>
          <w:sz w:val="32"/>
          <w:szCs w:val="32"/>
          <w:lang w:val="en-US" w:eastAsia="zh-CN"/>
        </w:rPr>
        <w:t>1599.38万</w:t>
      </w:r>
      <w:r>
        <w:rPr>
          <w:rFonts w:hint="default"/>
          <w:lang w:val="en-US" w:eastAsia="zh-CN"/>
        </w:rPr>
        <w:t>元，其中：基本支出</w:t>
      </w:r>
      <w:r>
        <w:rPr>
          <w:rFonts w:hint="eastAsia"/>
          <w:lang w:val="en-US" w:eastAsia="zh-CN"/>
        </w:rPr>
        <w:t>1132.68万</w:t>
      </w:r>
      <w:r>
        <w:rPr>
          <w:rFonts w:hint="default"/>
          <w:lang w:val="en-US" w:eastAsia="zh-CN"/>
        </w:rPr>
        <w:t>元，占</w:t>
      </w:r>
      <w:r>
        <w:rPr>
          <w:rFonts w:hint="eastAsia"/>
          <w:lang w:val="en-US" w:eastAsia="zh-CN"/>
        </w:rPr>
        <w:t>70.82</w:t>
      </w:r>
      <w:r>
        <w:rPr>
          <w:rFonts w:hint="default"/>
          <w:lang w:val="en-US" w:eastAsia="zh-CN"/>
        </w:rPr>
        <w:t>%；项目支出</w:t>
      </w:r>
      <w:r>
        <w:rPr>
          <w:rFonts w:hint="eastAsia"/>
          <w:lang w:val="en-US" w:eastAsia="zh-CN"/>
        </w:rPr>
        <w:t>466.7万</w:t>
      </w:r>
      <w:r>
        <w:rPr>
          <w:rFonts w:hint="default"/>
          <w:lang w:val="en-US" w:eastAsia="zh-CN"/>
        </w:rPr>
        <w:t>元，占</w:t>
      </w:r>
      <w:r>
        <w:rPr>
          <w:rFonts w:hint="eastAsia"/>
          <w:lang w:val="en-US" w:eastAsia="zh-CN"/>
        </w:rPr>
        <w:t>29.18</w:t>
      </w:r>
      <w:r>
        <w:rPr>
          <w:rFonts w:hint="default"/>
          <w:lang w:val="en-US" w:eastAsia="zh-CN"/>
        </w:rPr>
        <w:t>%；预算支出执行率达100%。主要包括保障机构正常运转，完成日常工作任务而发生的支出，包括人员经费、公用经费和项目支出，2024年本单位人员经费支出</w:t>
      </w:r>
      <w:r>
        <w:rPr>
          <w:rFonts w:hint="eastAsia"/>
          <w:lang w:val="en-US" w:eastAsia="zh-CN"/>
        </w:rPr>
        <w:t>1059.39万</w:t>
      </w:r>
      <w:r>
        <w:rPr>
          <w:rFonts w:hint="default"/>
          <w:lang w:val="en-US" w:eastAsia="zh-CN"/>
        </w:rPr>
        <w:t>元，占决算报表支出的</w:t>
      </w:r>
      <w:r>
        <w:rPr>
          <w:rFonts w:hint="eastAsia"/>
          <w:lang w:val="en-US" w:eastAsia="zh-CN"/>
        </w:rPr>
        <w:t>66.24</w:t>
      </w:r>
      <w:r>
        <w:rPr>
          <w:rFonts w:hint="default"/>
          <w:lang w:val="en-US" w:eastAsia="zh-CN"/>
        </w:rPr>
        <w:t>%；日常公用经费支出</w:t>
      </w:r>
      <w:r>
        <w:rPr>
          <w:rFonts w:hint="eastAsia"/>
          <w:lang w:val="en-US" w:eastAsia="zh-CN"/>
        </w:rPr>
        <w:t>73.29万</w:t>
      </w:r>
      <w:r>
        <w:rPr>
          <w:rFonts w:hint="default"/>
          <w:lang w:val="en-US" w:eastAsia="zh-CN"/>
        </w:rPr>
        <w:t>元，占决算报表支出的</w:t>
      </w:r>
      <w:r>
        <w:rPr>
          <w:rFonts w:hint="eastAsia"/>
          <w:lang w:val="en-US" w:eastAsia="zh-CN"/>
        </w:rPr>
        <w:t>4.58</w:t>
      </w:r>
      <w:r>
        <w:rPr>
          <w:rFonts w:hint="default"/>
          <w:lang w:val="en-US" w:eastAsia="zh-CN"/>
        </w:rPr>
        <w:t>%；项目支出</w:t>
      </w:r>
      <w:r>
        <w:rPr>
          <w:rFonts w:hint="eastAsia"/>
          <w:lang w:val="en-US" w:eastAsia="zh-CN"/>
        </w:rPr>
        <w:t>466.70万</w:t>
      </w:r>
      <w:r>
        <w:rPr>
          <w:rFonts w:hint="default"/>
          <w:lang w:val="en-US" w:eastAsia="zh-CN"/>
        </w:rPr>
        <w:t>元，占决算报表支出的</w:t>
      </w:r>
      <w:r>
        <w:rPr>
          <w:rFonts w:hint="eastAsia"/>
          <w:lang w:val="en-US" w:eastAsia="zh-CN"/>
        </w:rPr>
        <w:t>29.18</w:t>
      </w:r>
      <w:r>
        <w:rPr>
          <w:rFonts w:hint="default"/>
          <w:lang w:val="en-US" w:eastAsia="zh-CN"/>
        </w:rPr>
        <w:t>%。</w:t>
      </w:r>
    </w:p>
    <w:p w14:paraId="596CD6CB">
      <w:pPr>
        <w:pStyle w:val="12"/>
        <w:numPr>
          <w:ilvl w:val="0"/>
          <w:numId w:val="2"/>
        </w:numPr>
        <w:bidi w:val="0"/>
        <w:rPr>
          <w:rFonts w:hint="default"/>
          <w:lang w:val="zh-CN" w:eastAsia="zh-CN"/>
        </w:rPr>
      </w:pPr>
      <w:r>
        <w:rPr>
          <w:rFonts w:hint="default"/>
          <w:lang w:val="zh-CN"/>
        </w:rPr>
        <w:t>结余分配和结转结余情况</w:t>
      </w:r>
    </w:p>
    <w:p w14:paraId="28D828BC">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Chars="200"/>
        <w:contextualSpacing/>
        <w:jc w:val="left"/>
        <w:textAlignment w:val="auto"/>
        <w:outlineLvl w:val="9"/>
        <w:rPr>
          <w:rFonts w:hint="default" w:ascii="Times New Roman" w:hAnsi="Times New Roman" w:eastAsia="方正仿宋_GB2312" w:cs="Times New Roman"/>
          <w:color w:val="000000"/>
          <w:kern w:val="0"/>
          <w:sz w:val="32"/>
          <w:szCs w:val="32"/>
          <w:highlight w:val="none"/>
          <w:shd w:val="clear" w:color="auto" w:fill="FFFFFF"/>
          <w:lang w:val="en-US" w:eastAsia="zh-CN"/>
        </w:rPr>
      </w:pPr>
      <w:r>
        <w:rPr>
          <w:rFonts w:hint="default" w:ascii="Times New Roman" w:hAnsi="Times New Roman" w:eastAsia="方正仿宋_GB2312" w:cs="Times New Roman"/>
          <w:color w:val="000000"/>
          <w:kern w:val="0"/>
          <w:sz w:val="32"/>
          <w:szCs w:val="32"/>
          <w:highlight w:val="none"/>
          <w:shd w:val="clear" w:color="auto" w:fill="FFFFFF"/>
        </w:rPr>
        <w:t>202</w:t>
      </w:r>
      <w:r>
        <w:rPr>
          <w:rFonts w:hint="default" w:ascii="Times New Roman" w:hAnsi="Times New Roman" w:eastAsia="方正仿宋_GB2312" w:cs="Times New Roman"/>
          <w:color w:val="000000"/>
          <w:kern w:val="0"/>
          <w:sz w:val="32"/>
          <w:szCs w:val="32"/>
          <w:highlight w:val="none"/>
          <w:shd w:val="clear" w:color="auto" w:fill="FFFFFF"/>
          <w:lang w:val="en-US" w:eastAsia="zh-CN"/>
        </w:rPr>
        <w:t>4</w:t>
      </w:r>
      <w:r>
        <w:rPr>
          <w:rFonts w:hint="default" w:ascii="Times New Roman" w:hAnsi="Times New Roman" w:eastAsia="方正仿宋_GB2312" w:cs="Times New Roman"/>
          <w:color w:val="000000"/>
          <w:kern w:val="0"/>
          <w:sz w:val="32"/>
          <w:szCs w:val="32"/>
          <w:highlight w:val="none"/>
          <w:shd w:val="clear" w:color="auto" w:fill="FFFFFF"/>
        </w:rPr>
        <w:t>年</w:t>
      </w:r>
      <w:r>
        <w:rPr>
          <w:rFonts w:hint="eastAsia" w:ascii="Times New Roman" w:hAnsi="Times New Roman" w:cs="Times New Roman"/>
          <w:color w:val="000000"/>
          <w:kern w:val="0"/>
          <w:sz w:val="32"/>
          <w:szCs w:val="32"/>
          <w:highlight w:val="none"/>
          <w:shd w:val="clear" w:color="auto" w:fill="FFFFFF"/>
          <w:lang w:eastAsia="zh-CN"/>
        </w:rPr>
        <w:t>宝城</w:t>
      </w:r>
      <w:r>
        <w:rPr>
          <w:rFonts w:hint="default" w:ascii="Times New Roman" w:hAnsi="Times New Roman" w:eastAsia="方正仿宋_GB2312" w:cs="Times New Roman"/>
          <w:color w:val="000000"/>
          <w:kern w:val="0"/>
          <w:sz w:val="32"/>
          <w:szCs w:val="32"/>
          <w:highlight w:val="none"/>
          <w:shd w:val="clear" w:color="auto" w:fill="FFFFFF"/>
        </w:rPr>
        <w:t>镇年末</w:t>
      </w:r>
      <w:r>
        <w:rPr>
          <w:rFonts w:hint="default" w:ascii="Times New Roman" w:hAnsi="Times New Roman" w:eastAsia="方正仿宋_GB2312" w:cs="Times New Roman"/>
          <w:color w:val="000000"/>
          <w:kern w:val="0"/>
          <w:sz w:val="32"/>
          <w:szCs w:val="32"/>
          <w:highlight w:val="none"/>
          <w:shd w:val="clear" w:color="auto" w:fill="FFFFFF"/>
          <w:lang w:eastAsia="zh-CN"/>
        </w:rPr>
        <w:t>无</w:t>
      </w:r>
      <w:r>
        <w:rPr>
          <w:rFonts w:hint="default" w:ascii="Times New Roman" w:hAnsi="Times New Roman" w:eastAsia="方正仿宋_GB2312" w:cs="Times New Roman"/>
          <w:color w:val="000000"/>
          <w:kern w:val="0"/>
          <w:sz w:val="32"/>
          <w:szCs w:val="32"/>
          <w:highlight w:val="none"/>
          <w:shd w:val="clear" w:color="auto" w:fill="FFFFFF"/>
        </w:rPr>
        <w:t>结转结余。</w:t>
      </w:r>
    </w:p>
    <w:p w14:paraId="5EE0EB9A">
      <w:pPr>
        <w:pStyle w:val="11"/>
        <w:bidi w:val="0"/>
        <w:rPr>
          <w:rFonts w:hint="default" w:ascii="Times New Roman" w:hAnsi="Times New Roman" w:eastAsia="黑体" w:cs="Times New Roman"/>
          <w:color w:val="000000" w:themeColor="text1"/>
          <w:kern w:val="0"/>
          <w:szCs w:val="32"/>
          <w:highlight w:val="none"/>
          <w:shd w:val="clear" w:color="auto" w:fill="FFFFFF"/>
          <w14:textFill>
            <w14:solidFill>
              <w14:schemeClr w14:val="tx1"/>
            </w14:solidFill>
          </w14:textFill>
        </w:rPr>
      </w:pPr>
      <w:r>
        <w:rPr>
          <w:rFonts w:hint="default" w:ascii="Times New Roman" w:hAnsi="Times New Roman" w:eastAsia="黑体" w:cs="Times New Roman"/>
          <w:color w:val="000000"/>
          <w:kern w:val="0"/>
          <w:szCs w:val="32"/>
          <w:highlight w:val="none"/>
          <w:shd w:val="clear" w:color="auto" w:fill="FFFFFF"/>
        </w:rPr>
        <w:t>三、</w:t>
      </w:r>
      <w:r>
        <w:rPr>
          <w:rFonts w:hint="default" w:ascii="Times New Roman" w:hAnsi="Times New Roman" w:eastAsia="黑体" w:cs="Times New Roman"/>
          <w:color w:val="000000"/>
          <w:kern w:val="0"/>
          <w:szCs w:val="32"/>
          <w:highlight w:val="none"/>
          <w:u w:val="none"/>
          <w:shd w:val="clear" w:color="auto" w:fill="FFFFFF"/>
        </w:rPr>
        <w:t>部门</w:t>
      </w:r>
      <w:r>
        <w:rPr>
          <w:rFonts w:hint="default" w:ascii="Times New Roman" w:hAnsi="Times New Roman" w:eastAsia="黑体" w:cs="Times New Roman"/>
          <w:color w:val="000000"/>
          <w:kern w:val="0"/>
          <w:szCs w:val="32"/>
          <w:highlight w:val="none"/>
          <w:u w:val="none"/>
          <w:shd w:val="clear" w:color="auto" w:fill="FFFFFF"/>
          <w:lang w:eastAsia="zh-CN"/>
        </w:rPr>
        <w:t>预算</w:t>
      </w:r>
      <w:r>
        <w:rPr>
          <w:rFonts w:hint="default" w:ascii="Times New Roman" w:hAnsi="Times New Roman" w:eastAsia="黑体" w:cs="Times New Roman"/>
          <w:color w:val="000000"/>
          <w:kern w:val="0"/>
          <w:szCs w:val="32"/>
          <w:highlight w:val="none"/>
          <w:u w:val="none"/>
          <w:shd w:val="clear" w:color="auto" w:fill="FFFFFF"/>
        </w:rPr>
        <w:t>绩效</w:t>
      </w:r>
      <w:r>
        <w:rPr>
          <w:rFonts w:hint="default" w:ascii="Times New Roman" w:hAnsi="Times New Roman" w:eastAsia="黑体" w:cs="Times New Roman"/>
          <w:color w:val="000000"/>
          <w:kern w:val="0"/>
          <w:szCs w:val="32"/>
          <w:highlight w:val="none"/>
          <w:u w:val="none"/>
          <w:shd w:val="clear" w:color="auto" w:fill="FFFFFF"/>
          <w:lang w:eastAsia="zh-CN"/>
        </w:rPr>
        <w:t>分析</w:t>
      </w:r>
    </w:p>
    <w:p w14:paraId="42C4EE1E">
      <w:pPr>
        <w:pStyle w:val="12"/>
        <w:bidi w:val="0"/>
        <w:rPr>
          <w:rFonts w:hint="default"/>
          <w:lang w:val="zh-CN"/>
        </w:rPr>
      </w:pPr>
      <w:r>
        <w:rPr>
          <w:rFonts w:hint="default"/>
          <w:lang w:val="zh-CN"/>
        </w:rPr>
        <w:t>（一）</w:t>
      </w:r>
      <w:r>
        <w:rPr>
          <w:rFonts w:hint="eastAsia"/>
          <w:lang w:val="zh-CN"/>
        </w:rPr>
        <w:t>部门预算</w:t>
      </w:r>
      <w:r>
        <w:rPr>
          <w:rFonts w:hint="default"/>
          <w:lang w:val="zh-CN"/>
        </w:rPr>
        <w:t>总体绩效分析</w:t>
      </w:r>
    </w:p>
    <w:p w14:paraId="785409E8">
      <w:pPr>
        <w:bidi w:val="0"/>
        <w:rPr>
          <w:rFonts w:hint="default" w:ascii="Times New Roman" w:hAnsi="Times New Roman" w:cs="Times New Roman"/>
          <w:lang w:val="zh-CN" w:eastAsia="zh-CN"/>
        </w:rPr>
      </w:pPr>
      <w:r>
        <w:rPr>
          <w:rFonts w:hint="default" w:ascii="Times New Roman" w:hAnsi="Times New Roman" w:cs="Times New Roman"/>
          <w:lang w:val="en-US" w:eastAsia="zh-CN"/>
        </w:rPr>
        <w:t>部门预算绩效自评满分100分，自评得分</w:t>
      </w:r>
      <w:r>
        <w:rPr>
          <w:rFonts w:hint="eastAsia" w:ascii="Times New Roman" w:hAnsi="Times New Roman" w:cs="Times New Roman"/>
          <w:lang w:val="en-US" w:eastAsia="zh-CN"/>
        </w:rPr>
        <w:t>93.8</w:t>
      </w:r>
      <w:r>
        <w:rPr>
          <w:rFonts w:hint="default" w:ascii="Times New Roman" w:hAnsi="Times New Roman" w:cs="Times New Roman"/>
          <w:lang w:val="en-US" w:eastAsia="zh-CN"/>
        </w:rPr>
        <w:t>分。</w:t>
      </w:r>
    </w:p>
    <w:p w14:paraId="58FC9830">
      <w:pPr>
        <w:bidi w:val="0"/>
        <w:rPr>
          <w:rFonts w:hint="eastAsia"/>
          <w:lang w:val="zh-CN"/>
        </w:rPr>
      </w:pPr>
      <w:r>
        <w:rPr>
          <w:rFonts w:hint="eastAsia"/>
          <w:lang w:val="en-US" w:eastAsia="zh-CN"/>
        </w:rPr>
        <w:t>1.</w:t>
      </w:r>
      <w:r>
        <w:rPr>
          <w:rFonts w:hint="eastAsia"/>
          <w:lang w:val="zh-CN"/>
        </w:rPr>
        <w:t>履职效能（</w:t>
      </w:r>
      <w:r>
        <w:rPr>
          <w:rFonts w:hint="eastAsia"/>
          <w:lang w:val="en-US" w:eastAsia="zh-CN"/>
        </w:rPr>
        <w:t>15分</w:t>
      </w:r>
      <w:r>
        <w:rPr>
          <w:rFonts w:hint="eastAsia"/>
          <w:lang w:val="zh-CN"/>
        </w:rPr>
        <w:t>）</w:t>
      </w:r>
    </w:p>
    <w:p w14:paraId="0552644C">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2312" w:cs="Times New Roman"/>
          <w:color w:val="000000"/>
          <w:kern w:val="0"/>
          <w:sz w:val="32"/>
          <w:szCs w:val="32"/>
          <w:highlight w:val="none"/>
          <w:shd w:val="clear" w:color="auto" w:fill="FFFFFF"/>
          <w:lang w:val="en-US" w:eastAsia="zh-CN"/>
        </w:rPr>
      </w:pPr>
      <w:r>
        <w:rPr>
          <w:rFonts w:hint="eastAsia" w:ascii="Times New Roman" w:hAnsi="Times New Roman" w:eastAsia="方正仿宋_GB2312" w:cs="Times New Roman"/>
          <w:color w:val="000000"/>
          <w:kern w:val="0"/>
          <w:sz w:val="32"/>
          <w:szCs w:val="32"/>
          <w:highlight w:val="none"/>
          <w:shd w:val="clear" w:color="auto" w:fill="FFFFFF"/>
          <w:lang w:val="en-US" w:eastAsia="zh-CN"/>
        </w:rPr>
        <w:t>（1）</w:t>
      </w:r>
      <w:r>
        <w:rPr>
          <w:rFonts w:hint="default" w:ascii="Times New Roman" w:hAnsi="Times New Roman" w:eastAsia="方正仿宋_GB2312" w:cs="Times New Roman"/>
          <w:color w:val="000000"/>
          <w:kern w:val="0"/>
          <w:sz w:val="32"/>
          <w:szCs w:val="32"/>
          <w:highlight w:val="none"/>
          <w:shd w:val="clear" w:color="auto" w:fill="FFFFFF"/>
          <w:lang w:val="en-US" w:eastAsia="zh-CN"/>
        </w:rPr>
        <w:t>预算编审履职效果（5分</w:t>
      </w:r>
      <w:r>
        <w:rPr>
          <w:rFonts w:hint="eastAsia" w:ascii="Times New Roman" w:hAnsi="Times New Roman" w:cs="Times New Roman"/>
          <w:color w:val="000000"/>
          <w:kern w:val="0"/>
          <w:sz w:val="32"/>
          <w:szCs w:val="32"/>
          <w:highlight w:val="none"/>
          <w:shd w:val="clear" w:color="auto" w:fill="FFFFFF"/>
          <w:lang w:val="en-US" w:eastAsia="zh-CN"/>
        </w:rPr>
        <w:t>）</w:t>
      </w:r>
    </w:p>
    <w:p w14:paraId="54DCC7AF">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2312" w:cs="Times New Roman"/>
          <w:color w:val="000000"/>
          <w:kern w:val="0"/>
          <w:sz w:val="32"/>
          <w:szCs w:val="32"/>
          <w:highlight w:val="none"/>
          <w:shd w:val="clear" w:color="auto" w:fill="FFFFFF"/>
          <w:lang w:val="en-US" w:eastAsia="zh-CN"/>
        </w:rPr>
      </w:pPr>
      <w:r>
        <w:rPr>
          <w:rFonts w:hint="default" w:ascii="Times New Roman" w:hAnsi="Times New Roman" w:eastAsia="方正仿宋_GB2312" w:cs="Times New Roman"/>
          <w:color w:val="000000"/>
          <w:kern w:val="0"/>
          <w:sz w:val="32"/>
          <w:szCs w:val="32"/>
          <w:highlight w:val="none"/>
          <w:shd w:val="clear" w:color="auto" w:fill="FFFFFF"/>
          <w:lang w:val="en-US" w:eastAsia="zh-CN"/>
        </w:rPr>
        <w:t>一是单位预算编制完整，齐全，收入来源编报齐全，编报数据准确。二是项目绩效目标编制完整合理；明确量化，覆盖率达到年度要求。</w:t>
      </w:r>
    </w:p>
    <w:p w14:paraId="7B10385B">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2312" w:cs="Times New Roman"/>
          <w:color w:val="000000"/>
          <w:kern w:val="0"/>
          <w:sz w:val="32"/>
          <w:szCs w:val="32"/>
          <w:highlight w:val="none"/>
          <w:shd w:val="clear" w:color="auto" w:fill="FFFFFF"/>
          <w:lang w:val="en-US" w:eastAsia="zh-CN"/>
        </w:rPr>
      </w:pPr>
      <w:r>
        <w:rPr>
          <w:rFonts w:hint="eastAsia" w:ascii="Times New Roman" w:hAnsi="Times New Roman" w:eastAsia="方正仿宋_GB2312" w:cs="Times New Roman"/>
          <w:color w:val="000000"/>
          <w:kern w:val="0"/>
          <w:sz w:val="32"/>
          <w:szCs w:val="32"/>
          <w:highlight w:val="none"/>
          <w:shd w:val="clear" w:color="auto" w:fill="FFFFFF"/>
          <w:lang w:val="en-US" w:eastAsia="zh-CN"/>
        </w:rPr>
        <w:t>“</w:t>
      </w:r>
      <w:r>
        <w:rPr>
          <w:rFonts w:hint="default" w:ascii="Times New Roman" w:hAnsi="Times New Roman" w:eastAsia="方正仿宋_GB2312" w:cs="Times New Roman"/>
          <w:color w:val="000000"/>
          <w:kern w:val="0"/>
          <w:sz w:val="32"/>
          <w:szCs w:val="32"/>
          <w:highlight w:val="none"/>
          <w:shd w:val="clear" w:color="auto" w:fill="FFFFFF"/>
          <w:lang w:val="en-US" w:eastAsia="zh-CN"/>
        </w:rPr>
        <w:t>预算编审履职效果</w:t>
      </w:r>
      <w:r>
        <w:rPr>
          <w:rFonts w:hint="eastAsia" w:ascii="Times New Roman" w:hAnsi="Times New Roman" w:eastAsia="方正仿宋_GB2312" w:cs="Times New Roman"/>
          <w:color w:val="000000"/>
          <w:kern w:val="0"/>
          <w:sz w:val="32"/>
          <w:szCs w:val="32"/>
          <w:highlight w:val="none"/>
          <w:shd w:val="clear" w:color="auto" w:fill="FFFFFF"/>
          <w:lang w:val="en-US" w:eastAsia="zh-CN"/>
        </w:rPr>
        <w:t>”满分5分，自评得分5分。</w:t>
      </w:r>
    </w:p>
    <w:p w14:paraId="3582150D">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2312" w:cs="Times New Roman"/>
          <w:color w:val="000000"/>
          <w:kern w:val="0"/>
          <w:sz w:val="32"/>
          <w:szCs w:val="32"/>
          <w:highlight w:val="none"/>
          <w:shd w:val="clear" w:color="auto" w:fill="FFFFFF"/>
          <w:lang w:val="en-US" w:eastAsia="zh-CN"/>
        </w:rPr>
      </w:pPr>
      <w:r>
        <w:rPr>
          <w:rFonts w:hint="eastAsia" w:ascii="Times New Roman" w:hAnsi="Times New Roman" w:eastAsia="方正仿宋_GB2312" w:cs="Times New Roman"/>
          <w:color w:val="000000"/>
          <w:kern w:val="0"/>
          <w:sz w:val="32"/>
          <w:szCs w:val="32"/>
          <w:highlight w:val="none"/>
          <w:shd w:val="clear" w:color="auto" w:fill="FFFFFF"/>
          <w:lang w:val="en-US" w:eastAsia="zh-CN"/>
        </w:rPr>
        <w:t>（2）</w:t>
      </w:r>
      <w:r>
        <w:rPr>
          <w:rFonts w:hint="default" w:ascii="Times New Roman" w:hAnsi="Times New Roman" w:eastAsia="方正仿宋_GB2312" w:cs="Times New Roman"/>
          <w:color w:val="000000"/>
          <w:kern w:val="0"/>
          <w:sz w:val="32"/>
          <w:szCs w:val="32"/>
          <w:highlight w:val="none"/>
          <w:shd w:val="clear" w:color="auto" w:fill="FFFFFF"/>
          <w:lang w:val="en-US" w:eastAsia="zh-CN"/>
        </w:rPr>
        <w:t>预算执行履职效果（5分）</w:t>
      </w:r>
    </w:p>
    <w:p w14:paraId="4D0C1ACC">
      <w:pPr>
        <w:bidi w:val="0"/>
        <w:rPr>
          <w:rFonts w:hint="default"/>
          <w:lang w:val="en-US" w:eastAsia="zh-CN"/>
        </w:rPr>
      </w:pPr>
      <w:r>
        <w:rPr>
          <w:rFonts w:hint="default"/>
          <w:lang w:val="en-US" w:eastAsia="zh-CN"/>
        </w:rPr>
        <w:t>一是2024年年初预算资金</w:t>
      </w:r>
      <w:r>
        <w:rPr>
          <w:rFonts w:hint="eastAsia"/>
          <w:lang w:val="en-US" w:eastAsia="zh-CN"/>
        </w:rPr>
        <w:t>1354.29万</w:t>
      </w:r>
      <w:r>
        <w:rPr>
          <w:rFonts w:hint="default"/>
          <w:lang w:val="en-US" w:eastAsia="zh-CN"/>
        </w:rPr>
        <w:t>元，预算完成率100%，二是2024年实际执行金额</w:t>
      </w:r>
      <w:r>
        <w:rPr>
          <w:rFonts w:hint="eastAsia"/>
          <w:lang w:val="en-US" w:eastAsia="zh-CN"/>
        </w:rPr>
        <w:t>1599.38万</w:t>
      </w:r>
      <w:r>
        <w:rPr>
          <w:rFonts w:hint="default"/>
          <w:lang w:val="en-US" w:eastAsia="zh-CN"/>
        </w:rPr>
        <w:t>元，执行调整预算完成率100%，年初预算不够准确，年中追加预算并及时支付。三是</w:t>
      </w:r>
      <w:r>
        <w:rPr>
          <w:rFonts w:hint="eastAsia"/>
          <w:lang w:val="en-US" w:eastAsia="zh-CN"/>
        </w:rPr>
        <w:t>“三公”经费</w:t>
      </w:r>
      <w:r>
        <w:rPr>
          <w:rFonts w:hint="default"/>
          <w:lang w:val="en-US" w:eastAsia="zh-CN"/>
        </w:rPr>
        <w:t>预算金额为</w:t>
      </w:r>
      <w:r>
        <w:rPr>
          <w:rFonts w:hint="eastAsia"/>
          <w:lang w:val="en-US" w:eastAsia="zh-CN"/>
        </w:rPr>
        <w:t>5.5万</w:t>
      </w:r>
      <w:r>
        <w:rPr>
          <w:rFonts w:hint="default"/>
          <w:lang w:val="en-US" w:eastAsia="zh-CN"/>
        </w:rPr>
        <w:t>元，实际支出</w:t>
      </w:r>
      <w:r>
        <w:rPr>
          <w:rFonts w:hint="eastAsia"/>
          <w:lang w:val="en-US" w:eastAsia="zh-CN"/>
        </w:rPr>
        <w:t>5.4万</w:t>
      </w:r>
      <w:r>
        <w:rPr>
          <w:rFonts w:hint="default"/>
          <w:lang w:val="en-US" w:eastAsia="zh-CN"/>
        </w:rPr>
        <w:t>元，</w:t>
      </w:r>
      <w:r>
        <w:rPr>
          <w:rFonts w:hint="eastAsia"/>
          <w:lang w:val="en-US" w:eastAsia="zh-CN"/>
        </w:rPr>
        <w:t>“三公”经费</w:t>
      </w:r>
      <w:r>
        <w:rPr>
          <w:rFonts w:hint="default"/>
          <w:lang w:val="en-US" w:eastAsia="zh-CN"/>
        </w:rPr>
        <w:t>支出控制在预算内。</w:t>
      </w:r>
    </w:p>
    <w:p w14:paraId="4073D214">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2312" w:cs="Times New Roman"/>
          <w:color w:val="000000"/>
          <w:kern w:val="0"/>
          <w:sz w:val="32"/>
          <w:szCs w:val="32"/>
          <w:highlight w:val="none"/>
          <w:shd w:val="clear" w:color="auto" w:fill="FFFFFF"/>
          <w:lang w:val="en-US" w:eastAsia="zh-CN"/>
        </w:rPr>
      </w:pPr>
      <w:r>
        <w:rPr>
          <w:rFonts w:hint="eastAsia" w:ascii="Times New Roman" w:hAnsi="Times New Roman" w:eastAsia="方正仿宋_GB2312" w:cs="Times New Roman"/>
          <w:color w:val="000000"/>
          <w:kern w:val="0"/>
          <w:sz w:val="32"/>
          <w:szCs w:val="32"/>
          <w:highlight w:val="none"/>
          <w:shd w:val="clear" w:color="auto" w:fill="FFFFFF"/>
          <w:lang w:val="en-US" w:eastAsia="zh-CN"/>
        </w:rPr>
        <w:t>“</w:t>
      </w:r>
      <w:r>
        <w:rPr>
          <w:rFonts w:hint="default" w:ascii="Times New Roman" w:hAnsi="Times New Roman" w:eastAsia="方正仿宋_GB2312" w:cs="Times New Roman"/>
          <w:color w:val="000000"/>
          <w:kern w:val="0"/>
          <w:sz w:val="32"/>
          <w:szCs w:val="32"/>
          <w:highlight w:val="none"/>
          <w:shd w:val="clear" w:color="auto" w:fill="FFFFFF"/>
          <w:lang w:val="en-US" w:eastAsia="zh-CN"/>
        </w:rPr>
        <w:t>预算执行履职效果</w:t>
      </w:r>
      <w:r>
        <w:rPr>
          <w:rFonts w:hint="eastAsia" w:ascii="Times New Roman" w:hAnsi="Times New Roman" w:eastAsia="方正仿宋_GB2312" w:cs="Times New Roman"/>
          <w:color w:val="000000"/>
          <w:kern w:val="0"/>
          <w:sz w:val="32"/>
          <w:szCs w:val="32"/>
          <w:highlight w:val="none"/>
          <w:shd w:val="clear" w:color="auto" w:fill="FFFFFF"/>
          <w:lang w:val="en-US" w:eastAsia="zh-CN"/>
        </w:rPr>
        <w:t>”满分5分，自评得分5分。</w:t>
      </w:r>
    </w:p>
    <w:p w14:paraId="44D8C50D">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2312" w:cs="Times New Roman"/>
          <w:color w:val="000000"/>
          <w:kern w:val="0"/>
          <w:sz w:val="32"/>
          <w:szCs w:val="32"/>
          <w:highlight w:val="none"/>
          <w:shd w:val="clear" w:color="auto" w:fill="FFFFFF"/>
          <w:lang w:val="en-US" w:eastAsia="zh-CN"/>
        </w:rPr>
      </w:pPr>
      <w:r>
        <w:rPr>
          <w:rFonts w:hint="eastAsia" w:ascii="Times New Roman" w:hAnsi="Times New Roman" w:eastAsia="方正仿宋_GB2312" w:cs="Times New Roman"/>
          <w:color w:val="000000"/>
          <w:kern w:val="0"/>
          <w:sz w:val="32"/>
          <w:szCs w:val="32"/>
          <w:highlight w:val="none"/>
          <w:shd w:val="clear" w:color="auto" w:fill="FFFFFF"/>
          <w:lang w:val="en-US" w:eastAsia="zh-CN"/>
        </w:rPr>
        <w:t>（3）</w:t>
      </w:r>
      <w:r>
        <w:rPr>
          <w:rFonts w:hint="default" w:ascii="Times New Roman" w:hAnsi="Times New Roman" w:eastAsia="方正仿宋_GB2312" w:cs="Times New Roman"/>
          <w:color w:val="000000"/>
          <w:kern w:val="0"/>
          <w:sz w:val="32"/>
          <w:szCs w:val="32"/>
          <w:highlight w:val="none"/>
          <w:shd w:val="clear" w:color="auto" w:fill="FFFFFF"/>
          <w:lang w:val="en-US" w:eastAsia="zh-CN"/>
        </w:rPr>
        <w:t>预决算信息公开履职效果（5分）</w:t>
      </w:r>
    </w:p>
    <w:p w14:paraId="58EAAA8E">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方正仿宋_GB2312" w:cs="Times New Roman"/>
          <w:color w:val="000000"/>
          <w:kern w:val="0"/>
          <w:sz w:val="32"/>
          <w:szCs w:val="32"/>
          <w:highlight w:val="none"/>
          <w:shd w:val="clear" w:color="auto" w:fill="FFFFFF"/>
          <w:lang w:val="en-US" w:eastAsia="zh-CN"/>
        </w:rPr>
      </w:pPr>
      <w:r>
        <w:rPr>
          <w:rFonts w:hint="default" w:ascii="Times New Roman" w:hAnsi="Times New Roman" w:eastAsia="方正仿宋_GB2312" w:cs="Times New Roman"/>
          <w:color w:val="000000"/>
          <w:kern w:val="0"/>
          <w:sz w:val="32"/>
          <w:szCs w:val="32"/>
          <w:highlight w:val="none"/>
          <w:shd w:val="clear" w:color="auto" w:fill="FFFFFF"/>
          <w:lang w:val="en-US" w:eastAsia="zh-CN"/>
        </w:rPr>
        <w:t>一是我镇已按规定内容和时限公开预决算信息；二是我镇提供的基础数据信息和会计信息资料真实、完整、准确</w:t>
      </w:r>
      <w:r>
        <w:rPr>
          <w:rFonts w:hint="eastAsia" w:ascii="Times New Roman" w:hAnsi="Times New Roman" w:eastAsia="方正仿宋_GB2312" w:cs="Times New Roman"/>
          <w:color w:val="000000"/>
          <w:kern w:val="0"/>
          <w:sz w:val="32"/>
          <w:szCs w:val="32"/>
          <w:highlight w:val="none"/>
          <w:shd w:val="clear" w:color="auto" w:fill="FFFFFF"/>
          <w:lang w:val="en-US" w:eastAsia="zh-CN"/>
        </w:rPr>
        <w:t>。</w:t>
      </w:r>
    </w:p>
    <w:p w14:paraId="20E1447E">
      <w:pPr>
        <w:bidi w:val="0"/>
        <w:rPr>
          <w:rFonts w:hint="eastAsia" w:ascii="Times New Roman" w:hAnsi="Times New Roman" w:eastAsia="方正仿宋_GB2312" w:cs="Times New Roman"/>
          <w:color w:val="000000"/>
          <w:kern w:val="0"/>
          <w:sz w:val="32"/>
          <w:szCs w:val="32"/>
          <w:highlight w:val="none"/>
          <w:shd w:val="clear" w:color="auto" w:fill="FFFFFF"/>
          <w:lang w:val="en-US" w:eastAsia="zh-CN"/>
        </w:rPr>
      </w:pPr>
      <w:r>
        <w:rPr>
          <w:rFonts w:hint="eastAsia" w:ascii="Times New Roman" w:hAnsi="Times New Roman" w:eastAsia="方正仿宋_GB2312" w:cs="Times New Roman"/>
          <w:color w:val="000000"/>
          <w:kern w:val="0"/>
          <w:sz w:val="32"/>
          <w:szCs w:val="32"/>
          <w:highlight w:val="none"/>
          <w:shd w:val="clear" w:color="auto" w:fill="FFFFFF"/>
          <w:lang w:val="en-US" w:eastAsia="zh-CN"/>
        </w:rPr>
        <w:t>“</w:t>
      </w:r>
      <w:r>
        <w:rPr>
          <w:rFonts w:hint="default" w:ascii="Times New Roman" w:hAnsi="Times New Roman" w:eastAsia="方正仿宋_GB2312" w:cs="Times New Roman"/>
          <w:color w:val="000000"/>
          <w:kern w:val="0"/>
          <w:sz w:val="32"/>
          <w:szCs w:val="32"/>
          <w:highlight w:val="none"/>
          <w:shd w:val="clear" w:color="auto" w:fill="FFFFFF"/>
          <w:lang w:val="en-US" w:eastAsia="zh-CN"/>
        </w:rPr>
        <w:t>预决算信息公开履职效果</w:t>
      </w:r>
      <w:r>
        <w:rPr>
          <w:rFonts w:hint="eastAsia" w:ascii="Times New Roman" w:hAnsi="Times New Roman" w:eastAsia="方正仿宋_GB2312" w:cs="Times New Roman"/>
          <w:color w:val="000000"/>
          <w:kern w:val="0"/>
          <w:sz w:val="32"/>
          <w:szCs w:val="32"/>
          <w:highlight w:val="none"/>
          <w:shd w:val="clear" w:color="auto" w:fill="FFFFFF"/>
          <w:lang w:val="en-US" w:eastAsia="zh-CN"/>
        </w:rPr>
        <w:t>”满分5分，自评得分5分。</w:t>
      </w:r>
    </w:p>
    <w:p w14:paraId="50564580">
      <w:pPr>
        <w:bidi w:val="0"/>
        <w:rPr>
          <w:rFonts w:hint="eastAsia"/>
          <w:lang w:val="zh-CN"/>
        </w:rPr>
      </w:pPr>
      <w:r>
        <w:rPr>
          <w:rFonts w:hint="eastAsia"/>
          <w:lang w:val="en-US" w:eastAsia="zh-CN"/>
        </w:rPr>
        <w:t>2.</w:t>
      </w:r>
      <w:r>
        <w:rPr>
          <w:rFonts w:hint="default"/>
          <w:lang w:val="zh-CN"/>
        </w:rPr>
        <w:t>预算管理</w:t>
      </w:r>
      <w:r>
        <w:rPr>
          <w:rFonts w:hint="eastAsia"/>
          <w:lang w:val="zh-CN"/>
        </w:rPr>
        <w:t>（</w:t>
      </w:r>
      <w:r>
        <w:rPr>
          <w:rFonts w:hint="eastAsia"/>
          <w:lang w:val="en-US" w:eastAsia="zh-CN"/>
        </w:rPr>
        <w:t>25分</w:t>
      </w:r>
      <w:r>
        <w:rPr>
          <w:rFonts w:hint="eastAsia"/>
          <w:lang w:val="zh-CN"/>
        </w:rPr>
        <w:t>）</w:t>
      </w:r>
    </w:p>
    <w:p w14:paraId="274A07F8">
      <w:pPr>
        <w:numPr>
          <w:ilvl w:val="0"/>
          <w:numId w:val="3"/>
        </w:numPr>
        <w:bidi w:val="0"/>
        <w:rPr>
          <w:rFonts w:hint="eastAsia"/>
          <w:lang w:val="zh-CN"/>
        </w:rPr>
      </w:pPr>
      <w:r>
        <w:rPr>
          <w:rFonts w:hint="eastAsia"/>
          <w:lang w:val="zh-CN"/>
        </w:rPr>
        <w:t>预算编制质量</w:t>
      </w:r>
      <w:r>
        <w:rPr>
          <w:rFonts w:hint="eastAsia" w:ascii="楷体_GB2312" w:hAnsi="楷体_GB2312" w:cs="楷体_GB2312"/>
          <w:color w:val="000000"/>
          <w:kern w:val="0"/>
          <w:szCs w:val="32"/>
          <w:highlight w:val="none"/>
          <w:shd w:val="clear" w:color="auto" w:fill="FFFFFF"/>
          <w:lang w:val="zh-CN"/>
        </w:rPr>
        <w:t>（</w:t>
      </w:r>
      <w:r>
        <w:rPr>
          <w:rFonts w:hint="eastAsia" w:ascii="楷体_GB2312" w:hAnsi="楷体_GB2312" w:cs="楷体_GB2312"/>
          <w:color w:val="000000"/>
          <w:kern w:val="0"/>
          <w:szCs w:val="32"/>
          <w:highlight w:val="none"/>
          <w:shd w:val="clear" w:color="auto" w:fill="FFFFFF"/>
          <w:lang w:val="en-US" w:eastAsia="zh-CN"/>
        </w:rPr>
        <w:t>8分</w:t>
      </w:r>
      <w:r>
        <w:rPr>
          <w:rFonts w:hint="eastAsia" w:ascii="楷体_GB2312" w:hAnsi="楷体_GB2312" w:cs="楷体_GB2312"/>
          <w:color w:val="000000"/>
          <w:kern w:val="0"/>
          <w:szCs w:val="32"/>
          <w:highlight w:val="none"/>
          <w:shd w:val="clear" w:color="auto" w:fill="FFFFFF"/>
          <w:lang w:val="zh-CN"/>
        </w:rPr>
        <w:t>）</w:t>
      </w:r>
    </w:p>
    <w:p w14:paraId="63497AFC">
      <w:pPr>
        <w:bidi w:val="0"/>
        <w:rPr>
          <w:rFonts w:hint="default"/>
          <w:lang w:val="en-US" w:eastAsia="zh-CN"/>
        </w:rPr>
      </w:pPr>
      <w:r>
        <w:rPr>
          <w:rFonts w:hint="default"/>
          <w:lang w:val="en-US" w:eastAsia="zh-CN"/>
        </w:rPr>
        <w:t>按照《中华人民共和国预算法》、县财政局部门预算编制通知和有关要求，认真落实国家的方针、政策，严格依法行政，充分发挥经济管理职能。根据单位的项目预算，进行分析测算，论证评估项目必要性、可行性。以基础信息为基准，完善人员经费，公用经费，调整预算编制口径，确保基本支出足额预算编制。严格落实过紧日子要求，推进预算安排与绩效目标深度融合，综合衡量政策和项目预算资金使用结果，大力削减低效无效资金。单位预算的编制采用零基预算方法。在预算编制时，根据上年度的预算执行情况和本年度经济发展情况，综合考虑各方面因素，编制本部门预算。</w:t>
      </w:r>
    </w:p>
    <w:p w14:paraId="71C1236A">
      <w:pPr>
        <w:bidi w:val="0"/>
        <w:rPr>
          <w:rFonts w:hint="eastAsia"/>
          <w:lang w:val="zh-CN"/>
        </w:rPr>
      </w:pPr>
      <w:r>
        <w:rPr>
          <w:rFonts w:hint="eastAsia" w:ascii="Times New Roman" w:hAnsi="Times New Roman" w:eastAsia="方正仿宋_GB2312" w:cs="Times New Roman"/>
          <w:color w:val="000000"/>
          <w:kern w:val="0"/>
          <w:sz w:val="32"/>
          <w:szCs w:val="32"/>
          <w:highlight w:val="none"/>
          <w:shd w:val="clear" w:color="auto" w:fill="FFFFFF"/>
          <w:lang w:val="en-US" w:eastAsia="zh-CN"/>
        </w:rPr>
        <w:t>“</w:t>
      </w:r>
      <w:r>
        <w:rPr>
          <w:rFonts w:hint="default" w:ascii="Times New Roman" w:hAnsi="Times New Roman" w:eastAsia="方正仿宋_GB2312" w:cs="Times New Roman"/>
          <w:color w:val="auto"/>
          <w:sz w:val="32"/>
          <w:szCs w:val="32"/>
          <w:lang w:val="en-US" w:eastAsia="zh-CN"/>
        </w:rPr>
        <w:t>预算编制质量</w:t>
      </w:r>
      <w:r>
        <w:rPr>
          <w:rFonts w:hint="eastAsia" w:ascii="Times New Roman" w:hAnsi="Times New Roman" w:eastAsia="方正仿宋_GB2312" w:cs="Times New Roman"/>
          <w:color w:val="000000"/>
          <w:kern w:val="0"/>
          <w:sz w:val="32"/>
          <w:szCs w:val="32"/>
          <w:highlight w:val="none"/>
          <w:shd w:val="clear" w:color="auto" w:fill="FFFFFF"/>
          <w:lang w:val="en-US" w:eastAsia="zh-CN"/>
        </w:rPr>
        <w:t>”满分8分，自评得分8分</w:t>
      </w:r>
      <w:r>
        <w:rPr>
          <w:rFonts w:hint="eastAsia" w:ascii="Times New Roman" w:hAnsi="Times New Roman" w:cs="Times New Roman"/>
          <w:color w:val="000000"/>
          <w:kern w:val="0"/>
          <w:sz w:val="32"/>
          <w:szCs w:val="32"/>
          <w:highlight w:val="none"/>
          <w:shd w:val="clear" w:color="auto" w:fill="FFFFFF"/>
          <w:lang w:val="en-US" w:eastAsia="zh-CN"/>
        </w:rPr>
        <w:t>。</w:t>
      </w:r>
    </w:p>
    <w:p w14:paraId="7D1C031F">
      <w:pPr>
        <w:numPr>
          <w:ilvl w:val="0"/>
          <w:numId w:val="3"/>
        </w:numPr>
        <w:bidi w:val="0"/>
        <w:rPr>
          <w:rFonts w:hint="default"/>
          <w:lang w:val="en-US" w:eastAsia="zh-CN"/>
        </w:rPr>
      </w:pPr>
      <w:r>
        <w:rPr>
          <w:rFonts w:hint="eastAsia"/>
          <w:lang w:val="zh-CN"/>
        </w:rPr>
        <w:t>单位收入统筹</w:t>
      </w:r>
      <w:r>
        <w:rPr>
          <w:rFonts w:hint="eastAsia" w:ascii="楷体_GB2312" w:hAnsi="楷体_GB2312" w:cs="楷体_GB2312"/>
          <w:color w:val="000000"/>
          <w:kern w:val="0"/>
          <w:szCs w:val="32"/>
          <w:highlight w:val="none"/>
          <w:shd w:val="clear" w:color="auto" w:fill="FFFFFF"/>
          <w:lang w:val="zh-CN"/>
        </w:rPr>
        <w:t>（</w:t>
      </w:r>
      <w:r>
        <w:rPr>
          <w:rFonts w:hint="eastAsia" w:ascii="楷体_GB2312" w:hAnsi="楷体_GB2312" w:cs="楷体_GB2312"/>
          <w:color w:val="000000"/>
          <w:kern w:val="0"/>
          <w:szCs w:val="32"/>
          <w:highlight w:val="none"/>
          <w:shd w:val="clear" w:color="auto" w:fill="FFFFFF"/>
          <w:lang w:val="en-US" w:eastAsia="zh-CN"/>
        </w:rPr>
        <w:t>4分</w:t>
      </w:r>
      <w:r>
        <w:rPr>
          <w:rFonts w:hint="eastAsia" w:ascii="楷体_GB2312" w:hAnsi="楷体_GB2312" w:cs="楷体_GB2312"/>
          <w:color w:val="000000"/>
          <w:kern w:val="0"/>
          <w:szCs w:val="32"/>
          <w:highlight w:val="none"/>
          <w:shd w:val="clear" w:color="auto" w:fill="FFFFFF"/>
          <w:lang w:val="zh-CN"/>
        </w:rPr>
        <w:t>）</w:t>
      </w:r>
    </w:p>
    <w:p w14:paraId="48EFCC8E">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lang w:val="zh-CN" w:eastAsia="zh-CN"/>
        </w:rPr>
        <w:t>我单位不涉及</w:t>
      </w:r>
      <w:r>
        <w:rPr>
          <w:rFonts w:hint="eastAsia"/>
          <w:lang w:val="en-US" w:eastAsia="zh-CN"/>
        </w:rPr>
        <w:t>单位收入统筹。</w:t>
      </w:r>
    </w:p>
    <w:p w14:paraId="1287A329">
      <w:pPr>
        <w:bidi w:val="0"/>
        <w:rPr>
          <w:rFonts w:hint="default"/>
          <w:lang w:val="en-US" w:eastAsia="zh-CN"/>
        </w:rPr>
      </w:pPr>
      <w:r>
        <w:rPr>
          <w:rFonts w:hint="eastAsia"/>
          <w:lang w:val="en-US" w:eastAsia="zh-CN"/>
        </w:rPr>
        <w:t>“</w:t>
      </w:r>
      <w:r>
        <w:rPr>
          <w:rFonts w:hint="default"/>
          <w:lang w:val="en-US" w:eastAsia="zh-CN"/>
        </w:rPr>
        <w:t>单位收入统筹</w:t>
      </w:r>
      <w:r>
        <w:rPr>
          <w:rFonts w:hint="eastAsia"/>
          <w:lang w:val="en-US" w:eastAsia="zh-CN"/>
        </w:rPr>
        <w:t>”满分4分，自评得分4分。</w:t>
      </w:r>
    </w:p>
    <w:p w14:paraId="5476FA25">
      <w:pPr>
        <w:numPr>
          <w:ilvl w:val="0"/>
          <w:numId w:val="3"/>
        </w:numPr>
        <w:bidi w:val="0"/>
        <w:rPr>
          <w:rFonts w:hint="eastAsia"/>
          <w:lang w:val="en-US" w:eastAsia="zh-CN"/>
        </w:rPr>
      </w:pPr>
      <w:r>
        <w:rPr>
          <w:rFonts w:hint="eastAsia"/>
          <w:lang w:val="zh-CN"/>
        </w:rPr>
        <w:t>支出执行进度</w:t>
      </w:r>
      <w:r>
        <w:rPr>
          <w:rFonts w:hint="eastAsia" w:ascii="楷体_GB2312" w:hAnsi="楷体_GB2312" w:cs="楷体_GB2312"/>
          <w:color w:val="000000"/>
          <w:kern w:val="0"/>
          <w:szCs w:val="32"/>
          <w:highlight w:val="none"/>
          <w:shd w:val="clear" w:color="auto" w:fill="FFFFFF"/>
          <w:lang w:val="zh-CN"/>
        </w:rPr>
        <w:t>（</w:t>
      </w:r>
      <w:r>
        <w:rPr>
          <w:rFonts w:hint="eastAsia" w:ascii="楷体_GB2312" w:hAnsi="楷体_GB2312" w:cs="楷体_GB2312"/>
          <w:color w:val="000000"/>
          <w:kern w:val="0"/>
          <w:szCs w:val="32"/>
          <w:highlight w:val="none"/>
          <w:shd w:val="clear" w:color="auto" w:fill="FFFFFF"/>
          <w:lang w:val="en-US" w:eastAsia="zh-CN"/>
        </w:rPr>
        <w:t>6分</w:t>
      </w:r>
      <w:r>
        <w:rPr>
          <w:rFonts w:hint="eastAsia" w:ascii="楷体_GB2312" w:hAnsi="楷体_GB2312" w:cs="楷体_GB2312"/>
          <w:color w:val="000000"/>
          <w:kern w:val="0"/>
          <w:szCs w:val="32"/>
          <w:highlight w:val="none"/>
          <w:shd w:val="clear" w:color="auto" w:fill="FFFFFF"/>
          <w:lang w:val="zh-CN"/>
        </w:rPr>
        <w:t>）</w:t>
      </w:r>
    </w:p>
    <w:p w14:paraId="685774EB">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lang w:val="en-US" w:eastAsia="zh-CN"/>
        </w:rPr>
        <w:t>我单位1-6月预算执行735.65万元，执行率45.9%;1-10月预算执行1073.65万元，执行率67%;12月预算执行1599.38万元，执行率100%。</w:t>
      </w:r>
    </w:p>
    <w:p w14:paraId="22902DED">
      <w:pPr>
        <w:numPr>
          <w:ilvl w:val="0"/>
          <w:numId w:val="0"/>
        </w:numPr>
        <w:adjustRightInd w:val="0"/>
        <w:spacing w:line="578" w:lineRule="exact"/>
        <w:ind w:firstLine="640" w:firstLineChars="200"/>
        <w:contextualSpacing/>
        <w:outlineLvl w:val="9"/>
        <w:rPr>
          <w:rFonts w:hint="eastAsia"/>
          <w:lang w:val="en-US" w:eastAsia="zh-CN"/>
        </w:rPr>
      </w:pPr>
      <w:r>
        <w:rPr>
          <w:rFonts w:hint="eastAsia" w:ascii="Times New Roman" w:hAnsi="Times New Roman" w:eastAsia="方正仿宋_GB2312" w:cs="Times New Roman"/>
          <w:color w:val="000000"/>
          <w:kern w:val="0"/>
          <w:sz w:val="32"/>
          <w:szCs w:val="32"/>
          <w:highlight w:val="none"/>
          <w:shd w:val="clear" w:color="auto" w:fill="FFFFFF"/>
          <w:lang w:val="en-US" w:eastAsia="zh-CN"/>
        </w:rPr>
        <w:t>“</w:t>
      </w:r>
      <w:r>
        <w:rPr>
          <w:rFonts w:hint="default" w:ascii="Times New Roman" w:hAnsi="Times New Roman" w:eastAsia="方正仿宋_GB2312" w:cs="Times New Roman"/>
          <w:color w:val="000000"/>
          <w:kern w:val="0"/>
          <w:sz w:val="32"/>
          <w:szCs w:val="32"/>
          <w:highlight w:val="none"/>
          <w:shd w:val="clear" w:color="auto" w:fill="FFFFFF"/>
          <w:lang w:val="en-US" w:eastAsia="zh-CN"/>
        </w:rPr>
        <w:t>支出执行进度</w:t>
      </w:r>
      <w:r>
        <w:rPr>
          <w:rFonts w:hint="eastAsia" w:ascii="Times New Roman" w:hAnsi="Times New Roman" w:eastAsia="方正仿宋_GB2312" w:cs="Times New Roman"/>
          <w:color w:val="000000"/>
          <w:kern w:val="0"/>
          <w:sz w:val="32"/>
          <w:szCs w:val="32"/>
          <w:highlight w:val="none"/>
          <w:shd w:val="clear" w:color="auto" w:fill="FFFFFF"/>
          <w:lang w:val="en-US" w:eastAsia="zh-CN"/>
        </w:rPr>
        <w:t>”满分6分，自评得分</w:t>
      </w:r>
      <w:r>
        <w:rPr>
          <w:rFonts w:hint="eastAsia" w:ascii="Times New Roman" w:hAnsi="Times New Roman" w:cs="Times New Roman"/>
          <w:color w:val="000000"/>
          <w:kern w:val="0"/>
          <w:sz w:val="32"/>
          <w:szCs w:val="32"/>
          <w:highlight w:val="none"/>
          <w:shd w:val="clear" w:color="auto" w:fill="FFFFFF"/>
          <w:lang w:val="en-US" w:eastAsia="zh-CN"/>
        </w:rPr>
        <w:t>4</w:t>
      </w:r>
      <w:r>
        <w:rPr>
          <w:rFonts w:hint="eastAsia" w:ascii="Times New Roman" w:hAnsi="Times New Roman" w:eastAsia="方正仿宋_GB2312" w:cs="Times New Roman"/>
          <w:color w:val="000000"/>
          <w:kern w:val="0"/>
          <w:sz w:val="32"/>
          <w:szCs w:val="32"/>
          <w:highlight w:val="none"/>
          <w:shd w:val="clear" w:color="auto" w:fill="FFFFFF"/>
          <w:lang w:val="en-US" w:eastAsia="zh-CN"/>
        </w:rPr>
        <w:t>分。</w:t>
      </w:r>
    </w:p>
    <w:p w14:paraId="405E1700">
      <w:pPr>
        <w:numPr>
          <w:ilvl w:val="0"/>
          <w:numId w:val="3"/>
        </w:numPr>
        <w:bidi w:val="0"/>
        <w:rPr>
          <w:rFonts w:hint="default" w:ascii="Times New Roman" w:hAnsi="Times New Roman" w:eastAsia="方正仿宋_GB2312" w:cs="Times New Roman"/>
          <w:color w:val="000000"/>
          <w:kern w:val="0"/>
          <w:sz w:val="32"/>
          <w:szCs w:val="32"/>
          <w:highlight w:val="none"/>
          <w:shd w:val="clear" w:color="auto" w:fill="FFFFFF"/>
          <w:lang w:val="en-US" w:eastAsia="zh-CN"/>
        </w:rPr>
      </w:pPr>
      <w:r>
        <w:rPr>
          <w:rFonts w:hint="eastAsia"/>
          <w:lang w:val="en-US" w:eastAsia="zh-CN"/>
        </w:rPr>
        <w:t>预算年终结余</w:t>
      </w:r>
      <w:r>
        <w:rPr>
          <w:rFonts w:hint="eastAsia" w:ascii="楷体_GB2312" w:hAnsi="楷体_GB2312" w:cs="楷体_GB2312"/>
          <w:color w:val="000000"/>
          <w:kern w:val="0"/>
          <w:szCs w:val="32"/>
          <w:highlight w:val="none"/>
          <w:shd w:val="clear" w:color="auto" w:fill="FFFFFF"/>
          <w:lang w:val="zh-CN"/>
        </w:rPr>
        <w:t>（</w:t>
      </w:r>
      <w:r>
        <w:rPr>
          <w:rFonts w:hint="eastAsia" w:ascii="楷体_GB2312" w:hAnsi="楷体_GB2312" w:cs="楷体_GB2312"/>
          <w:color w:val="000000"/>
          <w:kern w:val="0"/>
          <w:szCs w:val="32"/>
          <w:highlight w:val="none"/>
          <w:shd w:val="clear" w:color="auto" w:fill="FFFFFF"/>
          <w:lang w:val="en-US" w:eastAsia="zh-CN"/>
        </w:rPr>
        <w:t>2分</w:t>
      </w:r>
      <w:r>
        <w:rPr>
          <w:rFonts w:hint="eastAsia" w:ascii="楷体_GB2312" w:hAnsi="楷体_GB2312" w:cs="楷体_GB2312"/>
          <w:color w:val="000000"/>
          <w:kern w:val="0"/>
          <w:szCs w:val="32"/>
          <w:highlight w:val="none"/>
          <w:shd w:val="clear" w:color="auto" w:fill="FFFFFF"/>
          <w:lang w:val="zh-CN"/>
        </w:rPr>
        <w:t>）</w:t>
      </w:r>
    </w:p>
    <w:p w14:paraId="01795DFC">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方正仿宋_GB2312" w:cs="Times New Roman"/>
          <w:color w:val="000000"/>
          <w:kern w:val="0"/>
          <w:sz w:val="32"/>
          <w:szCs w:val="32"/>
          <w:highlight w:val="none"/>
          <w:shd w:val="clear" w:color="auto" w:fill="FFFFFF"/>
          <w:lang w:val="en-US" w:eastAsia="zh-CN"/>
        </w:rPr>
      </w:pPr>
      <w:r>
        <w:rPr>
          <w:rFonts w:hint="default" w:ascii="Times New Roman" w:hAnsi="Times New Roman" w:eastAsia="方正仿宋_GB2312" w:cs="Times New Roman"/>
          <w:color w:val="000000"/>
          <w:kern w:val="0"/>
          <w:sz w:val="32"/>
          <w:szCs w:val="32"/>
          <w:highlight w:val="none"/>
          <w:shd w:val="clear" w:color="auto" w:fill="FFFFFF"/>
          <w:lang w:val="en-US" w:eastAsia="zh-CN"/>
        </w:rPr>
        <w:t>2024年</w:t>
      </w:r>
      <w:r>
        <w:rPr>
          <w:rFonts w:hint="eastAsia" w:ascii="Times New Roman" w:hAnsi="Times New Roman" w:cs="Times New Roman"/>
          <w:color w:val="000000"/>
          <w:kern w:val="0"/>
          <w:sz w:val="32"/>
          <w:szCs w:val="32"/>
          <w:highlight w:val="none"/>
          <w:shd w:val="clear" w:color="auto" w:fill="FFFFFF"/>
          <w:lang w:val="en-US" w:eastAsia="zh-CN"/>
        </w:rPr>
        <w:t>宝城</w:t>
      </w:r>
      <w:r>
        <w:rPr>
          <w:rFonts w:hint="default" w:ascii="Times New Roman" w:hAnsi="Times New Roman" w:eastAsia="方正仿宋_GB2312" w:cs="Times New Roman"/>
          <w:color w:val="000000"/>
          <w:kern w:val="0"/>
          <w:sz w:val="32"/>
          <w:szCs w:val="32"/>
          <w:highlight w:val="none"/>
          <w:shd w:val="clear" w:color="auto" w:fill="FFFFFF"/>
          <w:lang w:val="en-US" w:eastAsia="zh-CN"/>
        </w:rPr>
        <w:t>镇部门整体年末无结转结余。</w:t>
      </w:r>
    </w:p>
    <w:p w14:paraId="0A6A2D44">
      <w:pPr>
        <w:numPr>
          <w:ilvl w:val="0"/>
          <w:numId w:val="0"/>
        </w:numPr>
        <w:adjustRightInd w:val="0"/>
        <w:spacing w:line="578" w:lineRule="exact"/>
        <w:ind w:firstLine="640" w:firstLineChars="200"/>
        <w:contextualSpacing/>
        <w:outlineLvl w:val="9"/>
        <w:rPr>
          <w:rFonts w:hint="default" w:ascii="Times New Roman" w:hAnsi="Times New Roman" w:eastAsia="宋体" w:cs="Times New Roman"/>
          <w:color w:val="000000"/>
          <w:kern w:val="2"/>
          <w:sz w:val="18"/>
          <w:szCs w:val="24"/>
          <w:highlight w:val="none"/>
          <w:shd w:val="clear" w:color="auto" w:fill="FFFFFF"/>
          <w:lang w:val="en-US" w:eastAsia="zh-CN"/>
        </w:rPr>
      </w:pPr>
      <w:r>
        <w:rPr>
          <w:rFonts w:hint="eastAsia" w:ascii="Times New Roman" w:hAnsi="Times New Roman" w:eastAsia="方正仿宋_GB2312" w:cs="Times New Roman"/>
          <w:color w:val="000000"/>
          <w:kern w:val="0"/>
          <w:sz w:val="32"/>
          <w:szCs w:val="32"/>
          <w:highlight w:val="none"/>
          <w:shd w:val="clear" w:color="auto" w:fill="FFFFFF"/>
          <w:lang w:val="en-US" w:eastAsia="zh-CN"/>
        </w:rPr>
        <w:t>“</w:t>
      </w:r>
      <w:r>
        <w:rPr>
          <w:rFonts w:hint="default" w:ascii="Times New Roman" w:hAnsi="Times New Roman" w:eastAsia="方正仿宋_GB2312" w:cs="Times New Roman"/>
          <w:color w:val="000000"/>
          <w:kern w:val="0"/>
          <w:sz w:val="32"/>
          <w:szCs w:val="32"/>
          <w:highlight w:val="none"/>
          <w:shd w:val="clear" w:color="auto" w:fill="FFFFFF"/>
          <w:lang w:val="zh-CN"/>
        </w:rPr>
        <w:t>预算年终结余</w:t>
      </w:r>
      <w:r>
        <w:rPr>
          <w:rFonts w:hint="eastAsia" w:ascii="Times New Roman" w:hAnsi="Times New Roman" w:eastAsia="方正仿宋_GB2312" w:cs="Times New Roman"/>
          <w:color w:val="000000"/>
          <w:kern w:val="0"/>
          <w:sz w:val="32"/>
          <w:szCs w:val="32"/>
          <w:highlight w:val="none"/>
          <w:shd w:val="clear" w:color="auto" w:fill="FFFFFF"/>
          <w:lang w:val="en-US" w:eastAsia="zh-CN"/>
        </w:rPr>
        <w:t>”满分2分，自评得分2分。</w:t>
      </w:r>
    </w:p>
    <w:p w14:paraId="2069882B">
      <w:pPr>
        <w:numPr>
          <w:ilvl w:val="0"/>
          <w:numId w:val="3"/>
        </w:numPr>
        <w:bidi w:val="0"/>
        <w:rPr>
          <w:rFonts w:hint="eastAsia"/>
          <w:lang w:val="zh-CN"/>
        </w:rPr>
      </w:pPr>
      <w:r>
        <w:rPr>
          <w:rFonts w:hint="eastAsia"/>
          <w:lang w:val="en-US" w:eastAsia="zh-CN"/>
        </w:rPr>
        <w:t>严控一般性支出</w:t>
      </w:r>
      <w:r>
        <w:rPr>
          <w:rFonts w:hint="eastAsia" w:ascii="楷体_GB2312" w:hAnsi="楷体_GB2312" w:cs="楷体_GB2312"/>
          <w:color w:val="000000"/>
          <w:kern w:val="0"/>
          <w:szCs w:val="32"/>
          <w:highlight w:val="none"/>
          <w:shd w:val="clear" w:color="auto" w:fill="FFFFFF"/>
          <w:lang w:val="zh-CN"/>
        </w:rPr>
        <w:t>（</w:t>
      </w:r>
      <w:r>
        <w:rPr>
          <w:rFonts w:hint="eastAsia" w:ascii="楷体_GB2312" w:hAnsi="楷体_GB2312" w:cs="楷体_GB2312"/>
          <w:color w:val="000000"/>
          <w:kern w:val="0"/>
          <w:szCs w:val="32"/>
          <w:highlight w:val="none"/>
          <w:shd w:val="clear" w:color="auto" w:fill="FFFFFF"/>
          <w:lang w:val="en-US" w:eastAsia="zh-CN"/>
        </w:rPr>
        <w:t>5分</w:t>
      </w:r>
      <w:r>
        <w:rPr>
          <w:rFonts w:hint="eastAsia" w:ascii="楷体_GB2312" w:hAnsi="楷体_GB2312" w:cs="楷体_GB2312"/>
          <w:color w:val="000000"/>
          <w:kern w:val="0"/>
          <w:szCs w:val="32"/>
          <w:highlight w:val="none"/>
          <w:shd w:val="clear" w:color="auto" w:fill="FFFFFF"/>
          <w:lang w:val="zh-CN"/>
        </w:rPr>
        <w:t>）</w:t>
      </w:r>
    </w:p>
    <w:p w14:paraId="77E13CB8">
      <w:pPr>
        <w:bidi w:val="0"/>
        <w:rPr>
          <w:rFonts w:hint="default"/>
          <w:lang w:val="en-US" w:eastAsia="zh-CN"/>
        </w:rPr>
      </w:pPr>
      <w:r>
        <w:rPr>
          <w:rFonts w:hint="eastAsia"/>
          <w:lang w:val="en-US" w:eastAsia="zh-CN"/>
        </w:rPr>
        <w:t>“</w:t>
      </w:r>
      <w:r>
        <w:rPr>
          <w:rFonts w:hint="default"/>
          <w:lang w:val="en-US" w:eastAsia="zh-CN"/>
        </w:rPr>
        <w:t>三公</w:t>
      </w:r>
      <w:r>
        <w:rPr>
          <w:rFonts w:hint="eastAsia"/>
          <w:lang w:val="en-US" w:eastAsia="zh-CN"/>
        </w:rPr>
        <w:t>”</w:t>
      </w:r>
      <w:r>
        <w:rPr>
          <w:rFonts w:hint="default"/>
          <w:lang w:val="en-US" w:eastAsia="zh-CN"/>
        </w:rPr>
        <w:t>经费、会议、培训、差旅、办公费、办公设备购置、信息网络及软件购置更新等一般性支出</w:t>
      </w:r>
      <w:r>
        <w:rPr>
          <w:rFonts w:hint="eastAsia"/>
          <w:lang w:val="en-US" w:eastAsia="zh-CN"/>
        </w:rPr>
        <w:t>，2023年预算安排74.91万元，2024年</w:t>
      </w:r>
      <w:r>
        <w:rPr>
          <w:rFonts w:hint="default"/>
          <w:lang w:val="en-US" w:eastAsia="zh-CN"/>
        </w:rPr>
        <w:t>预算安排</w:t>
      </w:r>
      <w:r>
        <w:rPr>
          <w:rFonts w:hint="eastAsia"/>
          <w:lang w:val="en-US" w:eastAsia="zh-CN"/>
        </w:rPr>
        <w:t>60.6</w:t>
      </w:r>
      <w:r>
        <w:rPr>
          <w:rFonts w:hint="default"/>
          <w:lang w:val="en-US" w:eastAsia="zh-CN"/>
        </w:rPr>
        <w:t>万元，</w:t>
      </w:r>
      <w:r>
        <w:rPr>
          <w:rFonts w:hint="eastAsia"/>
          <w:lang w:val="en-US" w:eastAsia="zh-CN"/>
        </w:rPr>
        <w:t>预算压减率为19.1%；2023年决算65.73万元，2024年决算73.29万元，决算增长率为11.5%。</w:t>
      </w:r>
    </w:p>
    <w:p w14:paraId="52BE4658">
      <w:pPr>
        <w:bidi w:val="0"/>
        <w:rPr>
          <w:rFonts w:hint="eastAsia"/>
          <w:lang w:val="zh-CN"/>
        </w:rPr>
      </w:pPr>
      <w:r>
        <w:rPr>
          <w:rFonts w:hint="eastAsia"/>
          <w:lang w:val="en-US" w:eastAsia="zh-CN"/>
        </w:rPr>
        <w:t>“</w:t>
      </w:r>
      <w:r>
        <w:rPr>
          <w:rFonts w:hint="default"/>
          <w:lang w:val="zh-CN"/>
        </w:rPr>
        <w:t>严控一般性支出</w:t>
      </w:r>
      <w:r>
        <w:rPr>
          <w:rFonts w:hint="eastAsia"/>
          <w:lang w:val="en-US" w:eastAsia="zh-CN"/>
        </w:rPr>
        <w:t>”满分5分，自评得分2分。</w:t>
      </w:r>
    </w:p>
    <w:p w14:paraId="0169C2C8">
      <w:pPr>
        <w:bidi w:val="0"/>
        <w:rPr>
          <w:rFonts w:hint="eastAsia"/>
          <w:lang w:val="zh-CN"/>
        </w:rPr>
      </w:pPr>
      <w:r>
        <w:rPr>
          <w:rFonts w:hint="eastAsia"/>
          <w:lang w:val="en-US" w:eastAsia="zh-CN"/>
        </w:rPr>
        <w:t>3.</w:t>
      </w:r>
      <w:r>
        <w:rPr>
          <w:rFonts w:hint="default"/>
          <w:lang w:val="zh-CN"/>
        </w:rPr>
        <w:t>财务管理</w:t>
      </w:r>
      <w:r>
        <w:rPr>
          <w:rFonts w:hint="eastAsia"/>
          <w:lang w:val="zh-CN"/>
        </w:rPr>
        <w:t>（</w:t>
      </w:r>
      <w:r>
        <w:rPr>
          <w:rFonts w:hint="eastAsia"/>
          <w:lang w:val="en-US" w:eastAsia="zh-CN"/>
        </w:rPr>
        <w:t>10分</w:t>
      </w:r>
      <w:r>
        <w:rPr>
          <w:rFonts w:hint="eastAsia"/>
          <w:lang w:val="zh-CN"/>
        </w:rPr>
        <w:t>）</w:t>
      </w:r>
    </w:p>
    <w:p w14:paraId="730B08A9">
      <w:pPr>
        <w:numPr>
          <w:ilvl w:val="0"/>
          <w:numId w:val="4"/>
        </w:numPr>
        <w:bidi w:val="0"/>
        <w:rPr>
          <w:rFonts w:hint="eastAsia"/>
          <w:lang w:val="zh-CN"/>
        </w:rPr>
      </w:pPr>
      <w:r>
        <w:rPr>
          <w:rFonts w:hint="eastAsia"/>
          <w:lang w:val="zh-CN"/>
        </w:rPr>
        <w:t>财务管理制度</w:t>
      </w:r>
      <w:r>
        <w:rPr>
          <w:rFonts w:hint="eastAsia" w:ascii="楷体_GB2312" w:hAnsi="楷体_GB2312" w:cs="楷体_GB2312"/>
          <w:color w:val="000000"/>
          <w:kern w:val="0"/>
          <w:szCs w:val="32"/>
          <w:highlight w:val="none"/>
          <w:shd w:val="clear" w:color="auto" w:fill="FFFFFF"/>
          <w:lang w:val="zh-CN"/>
        </w:rPr>
        <w:t>（</w:t>
      </w:r>
      <w:r>
        <w:rPr>
          <w:rFonts w:hint="eastAsia" w:ascii="楷体_GB2312" w:hAnsi="楷体_GB2312" w:cs="楷体_GB2312"/>
          <w:color w:val="000000"/>
          <w:kern w:val="0"/>
          <w:szCs w:val="32"/>
          <w:highlight w:val="none"/>
          <w:shd w:val="clear" w:color="auto" w:fill="FFFFFF"/>
          <w:lang w:val="en-US" w:eastAsia="zh-CN"/>
        </w:rPr>
        <w:t>4分</w:t>
      </w:r>
      <w:r>
        <w:rPr>
          <w:rFonts w:hint="eastAsia" w:ascii="楷体_GB2312" w:hAnsi="楷体_GB2312" w:cs="楷体_GB2312"/>
          <w:color w:val="000000"/>
          <w:kern w:val="0"/>
          <w:szCs w:val="32"/>
          <w:highlight w:val="none"/>
          <w:shd w:val="clear" w:color="auto" w:fill="FFFFFF"/>
          <w:lang w:val="zh-CN"/>
        </w:rPr>
        <w:t>）</w:t>
      </w:r>
    </w:p>
    <w:p w14:paraId="549746DE">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2312" w:cs="Times New Roman"/>
          <w:b w:val="0"/>
          <w:bCs w:val="0"/>
          <w:color w:val="000000"/>
          <w:kern w:val="0"/>
          <w:sz w:val="32"/>
          <w:szCs w:val="32"/>
          <w:highlight w:val="none"/>
          <w:shd w:val="clear" w:color="auto" w:fill="FFFFFF"/>
          <w:lang w:val="en-US" w:eastAsia="zh-CN"/>
        </w:rPr>
      </w:pPr>
      <w:r>
        <w:rPr>
          <w:rFonts w:hint="default" w:ascii="Times New Roman" w:hAnsi="Times New Roman" w:eastAsia="方正仿宋_GB2312" w:cs="Times New Roman"/>
          <w:b w:val="0"/>
          <w:bCs w:val="0"/>
          <w:color w:val="000000"/>
          <w:kern w:val="0"/>
          <w:sz w:val="32"/>
          <w:szCs w:val="32"/>
          <w:highlight w:val="none"/>
          <w:shd w:val="clear" w:color="auto" w:fill="FFFFFF"/>
          <w:lang w:val="en-US" w:eastAsia="zh-CN"/>
        </w:rPr>
        <w:t>已制定预算资金管理办法、内控财务管理制度、会计核算制度、政府采购制度、国有资产管理办法、绩效评估内部控制制度等相关制度，规章制度合法、合规、完整，均得到有效执行。</w:t>
      </w:r>
    </w:p>
    <w:p w14:paraId="5CE14CC2">
      <w:pPr>
        <w:widowControl/>
        <w:numPr>
          <w:ilvl w:val="0"/>
          <w:numId w:val="0"/>
        </w:numPr>
        <w:adjustRightInd w:val="0"/>
        <w:snapToGrid/>
        <w:spacing w:line="578" w:lineRule="exact"/>
        <w:ind w:firstLine="640" w:firstLineChars="200"/>
        <w:contextualSpacing/>
        <w:outlineLvl w:val="9"/>
        <w:rPr>
          <w:rFonts w:hint="eastAsia"/>
          <w:lang w:val="zh-CN"/>
        </w:rPr>
      </w:pPr>
      <w:r>
        <w:rPr>
          <w:rFonts w:hint="eastAsia" w:ascii="Times New Roman" w:hAnsi="Times New Roman" w:eastAsia="方正仿宋_GB2312" w:cs="Times New Roman"/>
          <w:color w:val="000000"/>
          <w:kern w:val="0"/>
          <w:sz w:val="32"/>
          <w:szCs w:val="32"/>
          <w:highlight w:val="none"/>
          <w:shd w:val="clear" w:color="auto" w:fill="FFFFFF"/>
          <w:lang w:val="en-US" w:eastAsia="zh-CN"/>
        </w:rPr>
        <w:t>“</w:t>
      </w:r>
      <w:r>
        <w:rPr>
          <w:rFonts w:hint="default" w:ascii="Times New Roman" w:hAnsi="Times New Roman" w:eastAsia="方正仿宋_GB2312" w:cs="Times New Roman"/>
          <w:b w:val="0"/>
          <w:bCs w:val="0"/>
          <w:color w:val="000000"/>
          <w:kern w:val="0"/>
          <w:sz w:val="32"/>
          <w:szCs w:val="32"/>
          <w:highlight w:val="none"/>
          <w:shd w:val="clear" w:color="auto" w:fill="FFFFFF"/>
          <w:lang w:val="en-US" w:eastAsia="zh-CN"/>
        </w:rPr>
        <w:t>管理制度健全性</w:t>
      </w:r>
      <w:r>
        <w:rPr>
          <w:rFonts w:hint="eastAsia" w:ascii="Times New Roman" w:hAnsi="Times New Roman" w:eastAsia="方正仿宋_GB2312" w:cs="Times New Roman"/>
          <w:color w:val="000000"/>
          <w:kern w:val="0"/>
          <w:sz w:val="32"/>
          <w:szCs w:val="32"/>
          <w:highlight w:val="none"/>
          <w:shd w:val="clear" w:color="auto" w:fill="FFFFFF"/>
          <w:lang w:val="en-US" w:eastAsia="zh-CN"/>
        </w:rPr>
        <w:t>”满分4分，自评得分4分。</w:t>
      </w:r>
    </w:p>
    <w:p w14:paraId="34AC6E54">
      <w:pPr>
        <w:numPr>
          <w:ilvl w:val="0"/>
          <w:numId w:val="4"/>
        </w:numPr>
        <w:bidi w:val="0"/>
        <w:rPr>
          <w:rFonts w:hint="eastAsia"/>
          <w:lang w:val="zh-CN"/>
        </w:rPr>
      </w:pPr>
      <w:r>
        <w:rPr>
          <w:rFonts w:hint="eastAsia"/>
          <w:lang w:val="zh-CN"/>
        </w:rPr>
        <w:t>财务岗位设置</w:t>
      </w:r>
      <w:r>
        <w:rPr>
          <w:rFonts w:hint="eastAsia" w:ascii="楷体_GB2312" w:hAnsi="楷体_GB2312" w:cs="楷体_GB2312"/>
          <w:color w:val="000000"/>
          <w:kern w:val="0"/>
          <w:szCs w:val="32"/>
          <w:highlight w:val="none"/>
          <w:shd w:val="clear" w:color="auto" w:fill="FFFFFF"/>
          <w:lang w:val="zh-CN"/>
        </w:rPr>
        <w:t>（</w:t>
      </w:r>
      <w:r>
        <w:rPr>
          <w:rFonts w:hint="eastAsia" w:ascii="楷体_GB2312" w:hAnsi="楷体_GB2312" w:cs="楷体_GB2312"/>
          <w:color w:val="000000"/>
          <w:kern w:val="0"/>
          <w:szCs w:val="32"/>
          <w:highlight w:val="none"/>
          <w:shd w:val="clear" w:color="auto" w:fill="FFFFFF"/>
          <w:lang w:val="en-US" w:eastAsia="zh-CN"/>
        </w:rPr>
        <w:t>2分</w:t>
      </w:r>
      <w:r>
        <w:rPr>
          <w:rFonts w:hint="eastAsia" w:ascii="楷体_GB2312" w:hAnsi="楷体_GB2312" w:cs="楷体_GB2312"/>
          <w:color w:val="000000"/>
          <w:kern w:val="0"/>
          <w:szCs w:val="32"/>
          <w:highlight w:val="none"/>
          <w:shd w:val="clear" w:color="auto" w:fill="FFFFFF"/>
          <w:lang w:val="zh-CN"/>
        </w:rPr>
        <w:t>）</w:t>
      </w:r>
    </w:p>
    <w:p w14:paraId="5E7A1584">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2312" w:cs="Times New Roman"/>
          <w:b w:val="0"/>
          <w:bCs w:val="0"/>
          <w:color w:val="000000"/>
          <w:kern w:val="0"/>
          <w:sz w:val="32"/>
          <w:szCs w:val="32"/>
          <w:highlight w:val="none"/>
          <w:shd w:val="clear" w:color="auto" w:fill="FFFFFF"/>
          <w:lang w:val="en-US" w:eastAsia="zh-CN"/>
        </w:rPr>
      </w:pPr>
      <w:r>
        <w:rPr>
          <w:rFonts w:hint="default" w:ascii="Times New Roman" w:hAnsi="Times New Roman" w:eastAsia="方正仿宋_GB2312" w:cs="Times New Roman"/>
          <w:b w:val="0"/>
          <w:bCs w:val="0"/>
          <w:color w:val="000000"/>
          <w:kern w:val="0"/>
          <w:sz w:val="32"/>
          <w:szCs w:val="32"/>
          <w:highlight w:val="none"/>
          <w:shd w:val="clear" w:color="auto" w:fill="FFFFFF"/>
          <w:lang w:val="en-US" w:eastAsia="zh-CN"/>
        </w:rPr>
        <w:t>按照相关财务管理制度要求，明确责任分工，建立内部制衡机制。根据工作需要，按照不相容岗位不能一人兼任的原则，设置了财务、业务、核查等，在其内部再进行岗位细分，并建立岗位责任制度，形成责任明确、相互制约的内部制衡机制。</w:t>
      </w:r>
    </w:p>
    <w:p w14:paraId="63F7610D">
      <w:pPr>
        <w:widowControl/>
        <w:numPr>
          <w:ilvl w:val="0"/>
          <w:numId w:val="0"/>
        </w:numPr>
        <w:adjustRightInd w:val="0"/>
        <w:snapToGrid/>
        <w:spacing w:line="578" w:lineRule="exact"/>
        <w:ind w:firstLine="640" w:firstLineChars="200"/>
        <w:contextualSpacing/>
        <w:outlineLvl w:val="9"/>
        <w:rPr>
          <w:rFonts w:hint="eastAsia"/>
          <w:lang w:val="zh-CN"/>
        </w:rPr>
      </w:pPr>
      <w:r>
        <w:rPr>
          <w:rFonts w:hint="eastAsia" w:ascii="Times New Roman" w:hAnsi="Times New Roman" w:eastAsia="方正仿宋_GB2312" w:cs="Times New Roman"/>
          <w:color w:val="000000"/>
          <w:kern w:val="0"/>
          <w:sz w:val="32"/>
          <w:szCs w:val="32"/>
          <w:highlight w:val="none"/>
          <w:shd w:val="clear" w:color="auto" w:fill="FFFFFF"/>
          <w:lang w:val="en-US" w:eastAsia="zh-CN"/>
        </w:rPr>
        <w:t>“</w:t>
      </w:r>
      <w:r>
        <w:rPr>
          <w:rFonts w:hint="default" w:ascii="Times New Roman" w:hAnsi="Times New Roman" w:eastAsia="方正仿宋_GB2312" w:cs="Times New Roman"/>
          <w:b w:val="0"/>
          <w:bCs w:val="0"/>
          <w:color w:val="000000"/>
          <w:kern w:val="0"/>
          <w:sz w:val="32"/>
          <w:szCs w:val="32"/>
          <w:highlight w:val="none"/>
          <w:shd w:val="clear" w:color="auto" w:fill="FFFFFF"/>
          <w:lang w:val="en-US" w:eastAsia="zh-CN"/>
        </w:rPr>
        <w:t>财务岗位设置</w:t>
      </w:r>
      <w:r>
        <w:rPr>
          <w:rFonts w:hint="eastAsia" w:ascii="Times New Roman" w:hAnsi="Times New Roman" w:eastAsia="方正仿宋_GB2312" w:cs="Times New Roman"/>
          <w:color w:val="000000"/>
          <w:kern w:val="0"/>
          <w:sz w:val="32"/>
          <w:szCs w:val="32"/>
          <w:highlight w:val="none"/>
          <w:shd w:val="clear" w:color="auto" w:fill="FFFFFF"/>
          <w:lang w:val="en-US" w:eastAsia="zh-CN"/>
        </w:rPr>
        <w:t>”满分2分，自评得分2分。</w:t>
      </w:r>
    </w:p>
    <w:p w14:paraId="61A9EA02">
      <w:pPr>
        <w:numPr>
          <w:ilvl w:val="0"/>
          <w:numId w:val="4"/>
        </w:numPr>
        <w:bidi w:val="0"/>
        <w:rPr>
          <w:rFonts w:hint="eastAsia"/>
          <w:lang w:val="zh-CN"/>
        </w:rPr>
      </w:pPr>
      <w:r>
        <w:rPr>
          <w:rFonts w:hint="eastAsia"/>
          <w:lang w:val="zh-CN"/>
        </w:rPr>
        <w:t>资金使用规范</w:t>
      </w:r>
      <w:r>
        <w:rPr>
          <w:rFonts w:hint="eastAsia" w:ascii="楷体_GB2312" w:hAnsi="楷体_GB2312" w:cs="楷体_GB2312"/>
          <w:color w:val="000000"/>
          <w:kern w:val="0"/>
          <w:szCs w:val="32"/>
          <w:highlight w:val="none"/>
          <w:shd w:val="clear" w:color="auto" w:fill="FFFFFF"/>
          <w:lang w:val="zh-CN"/>
        </w:rPr>
        <w:t>（</w:t>
      </w:r>
      <w:r>
        <w:rPr>
          <w:rFonts w:hint="eastAsia" w:ascii="楷体_GB2312" w:hAnsi="楷体_GB2312" w:cs="楷体_GB2312"/>
          <w:color w:val="000000"/>
          <w:kern w:val="0"/>
          <w:szCs w:val="32"/>
          <w:highlight w:val="none"/>
          <w:shd w:val="clear" w:color="auto" w:fill="FFFFFF"/>
          <w:lang w:val="en-US" w:eastAsia="zh-CN"/>
        </w:rPr>
        <w:t>4分</w:t>
      </w:r>
      <w:r>
        <w:rPr>
          <w:rFonts w:hint="eastAsia" w:ascii="楷体_GB2312" w:hAnsi="楷体_GB2312" w:cs="楷体_GB2312"/>
          <w:color w:val="000000"/>
          <w:kern w:val="0"/>
          <w:szCs w:val="32"/>
          <w:highlight w:val="none"/>
          <w:shd w:val="clear" w:color="auto" w:fill="FFFFFF"/>
          <w:lang w:val="zh-CN"/>
        </w:rPr>
        <w:t>）</w:t>
      </w:r>
    </w:p>
    <w:p w14:paraId="7606FE36">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2312" w:cs="Times New Roman"/>
          <w:b w:val="0"/>
          <w:bCs w:val="0"/>
          <w:color w:val="000000"/>
          <w:kern w:val="0"/>
          <w:sz w:val="32"/>
          <w:szCs w:val="32"/>
          <w:highlight w:val="none"/>
          <w:shd w:val="clear" w:color="auto" w:fill="FFFFFF"/>
          <w:lang w:val="en-US" w:eastAsia="zh-CN"/>
        </w:rPr>
      </w:pPr>
      <w:r>
        <w:rPr>
          <w:rFonts w:hint="default" w:ascii="Times New Roman" w:hAnsi="Times New Roman" w:eastAsia="方正仿宋_GB2312" w:cs="Times New Roman"/>
          <w:b w:val="0"/>
          <w:bCs w:val="0"/>
          <w:color w:val="000000"/>
          <w:kern w:val="0"/>
          <w:sz w:val="32"/>
          <w:szCs w:val="32"/>
          <w:highlight w:val="none"/>
          <w:shd w:val="clear" w:color="auto" w:fill="FFFFFF"/>
          <w:lang w:val="en-US" w:eastAsia="zh-CN"/>
        </w:rPr>
        <w:t>严格按照</w:t>
      </w:r>
      <w:r>
        <w:rPr>
          <w:rFonts w:hint="eastAsia" w:cs="Times New Roman"/>
          <w:b w:val="0"/>
          <w:bCs w:val="0"/>
          <w:color w:val="000000"/>
          <w:kern w:val="0"/>
          <w:sz w:val="32"/>
          <w:szCs w:val="32"/>
          <w:highlight w:val="none"/>
          <w:shd w:val="clear" w:color="auto" w:fill="FFFFFF"/>
          <w:lang w:val="en-US" w:eastAsia="zh-CN"/>
        </w:rPr>
        <w:t>《中华人民共和国会计法》</w:t>
      </w:r>
      <w:r>
        <w:rPr>
          <w:rFonts w:hint="default" w:ascii="Times New Roman" w:hAnsi="Times New Roman" w:eastAsia="方正仿宋_GB2312" w:cs="Times New Roman"/>
          <w:b w:val="0"/>
          <w:bCs w:val="0"/>
          <w:color w:val="000000"/>
          <w:kern w:val="0"/>
          <w:sz w:val="32"/>
          <w:szCs w:val="32"/>
          <w:highlight w:val="none"/>
          <w:shd w:val="clear" w:color="auto" w:fill="FFFFFF"/>
          <w:lang w:val="en-US" w:eastAsia="zh-CN"/>
        </w:rPr>
        <w:t>、《政府会计准则》和政府会计制度等相关法律法规准确核算各项经费和项目收支，按照县财政的相关要求完善年度部门预算编制、执行和管理，资金使用符合国家财经法规和财务管理制度规定以及有关专项资金管理办法的规定，</w:t>
      </w:r>
      <w:r>
        <w:rPr>
          <w:rFonts w:hint="eastAsia" w:cs="Times New Roman"/>
          <w:b w:val="0"/>
          <w:bCs w:val="0"/>
          <w:color w:val="000000"/>
          <w:kern w:val="0"/>
          <w:sz w:val="32"/>
          <w:szCs w:val="32"/>
          <w:highlight w:val="none"/>
          <w:shd w:val="clear" w:color="auto" w:fill="FFFFFF"/>
          <w:lang w:val="en-US" w:eastAsia="zh-CN"/>
        </w:rPr>
        <w:t>拨付</w:t>
      </w:r>
      <w:r>
        <w:rPr>
          <w:rFonts w:hint="default" w:ascii="Times New Roman" w:hAnsi="Times New Roman" w:eastAsia="方正仿宋_GB2312" w:cs="Times New Roman"/>
          <w:b w:val="0"/>
          <w:bCs w:val="0"/>
          <w:color w:val="000000"/>
          <w:kern w:val="0"/>
          <w:sz w:val="32"/>
          <w:szCs w:val="32"/>
          <w:highlight w:val="none"/>
          <w:shd w:val="clear" w:color="auto" w:fill="FFFFFF"/>
          <w:lang w:val="en-US" w:eastAsia="zh-CN"/>
        </w:rPr>
        <w:t>有完整的审批程序和手续，项目的重大开支均经过评估论证，符合部门预算批复的用途，不存在截留、挤占、挪用、虚列支出等情况。</w:t>
      </w:r>
    </w:p>
    <w:p w14:paraId="338D71C2">
      <w:pPr>
        <w:bidi w:val="0"/>
        <w:rPr>
          <w:rFonts w:hint="eastAsia"/>
          <w:lang w:val="zh-CN"/>
        </w:rPr>
      </w:pPr>
      <w:r>
        <w:rPr>
          <w:rFonts w:hint="eastAsia"/>
          <w:lang w:val="en-US" w:eastAsia="zh-CN"/>
        </w:rPr>
        <w:t>“</w:t>
      </w:r>
      <w:r>
        <w:rPr>
          <w:rFonts w:hint="default"/>
          <w:lang w:val="en-US" w:eastAsia="zh-CN"/>
        </w:rPr>
        <w:t>资金使用合规性</w:t>
      </w:r>
      <w:r>
        <w:rPr>
          <w:rFonts w:hint="eastAsia"/>
          <w:lang w:val="en-US" w:eastAsia="zh-CN"/>
        </w:rPr>
        <w:t>”满分4分，自评得分4分。</w:t>
      </w:r>
    </w:p>
    <w:p w14:paraId="3745EB3A">
      <w:pPr>
        <w:bidi w:val="0"/>
        <w:rPr>
          <w:rFonts w:hint="eastAsia"/>
          <w:lang w:val="zh-CN" w:eastAsia="zh-CN"/>
        </w:rPr>
      </w:pPr>
      <w:r>
        <w:rPr>
          <w:rFonts w:hint="eastAsia"/>
          <w:lang w:val="en-US" w:eastAsia="zh-CN"/>
        </w:rPr>
        <w:t>4.</w:t>
      </w:r>
      <w:r>
        <w:rPr>
          <w:rFonts w:hint="default"/>
          <w:lang w:val="zh-CN" w:eastAsia="zh-CN"/>
        </w:rPr>
        <w:t>资产管理</w:t>
      </w:r>
      <w:r>
        <w:rPr>
          <w:rFonts w:hint="eastAsia"/>
          <w:lang w:val="zh-CN"/>
        </w:rPr>
        <w:t>（</w:t>
      </w:r>
      <w:r>
        <w:rPr>
          <w:rFonts w:hint="eastAsia"/>
          <w:lang w:val="en-US" w:eastAsia="zh-CN"/>
        </w:rPr>
        <w:t>9分</w:t>
      </w:r>
      <w:r>
        <w:rPr>
          <w:rFonts w:hint="eastAsia"/>
          <w:lang w:val="zh-CN"/>
        </w:rPr>
        <w:t>）</w:t>
      </w:r>
    </w:p>
    <w:p w14:paraId="1CEE398C">
      <w:pPr>
        <w:bidi w:val="0"/>
        <w:rPr>
          <w:rFonts w:hint="eastAsia"/>
          <w:lang w:val="en-US" w:eastAsia="zh-CN"/>
        </w:rPr>
      </w:pPr>
      <w:r>
        <w:rPr>
          <w:rFonts w:hint="eastAsia"/>
          <w:lang w:val="zh-CN" w:eastAsia="zh-CN"/>
        </w:rPr>
        <w:t>（</w:t>
      </w:r>
      <w:r>
        <w:rPr>
          <w:rFonts w:hint="eastAsia"/>
          <w:lang w:val="en-US" w:eastAsia="zh-CN"/>
        </w:rPr>
        <w:t>1</w:t>
      </w:r>
      <w:r>
        <w:rPr>
          <w:rFonts w:hint="eastAsia"/>
          <w:lang w:val="zh-CN" w:eastAsia="zh-CN"/>
        </w:rPr>
        <w:t>）人均资产变化率</w:t>
      </w:r>
      <w:r>
        <w:rPr>
          <w:rFonts w:hint="eastAsia"/>
          <w:lang w:val="zh-CN"/>
        </w:rPr>
        <w:t>（</w:t>
      </w:r>
      <w:r>
        <w:rPr>
          <w:rFonts w:hint="eastAsia"/>
          <w:lang w:val="en-US" w:eastAsia="zh-CN"/>
        </w:rPr>
        <w:t>3分）</w:t>
      </w:r>
    </w:p>
    <w:p w14:paraId="32092343">
      <w:pPr>
        <w:bidi w:val="0"/>
        <w:rPr>
          <w:rFonts w:hint="eastAsia"/>
          <w:lang w:val="en-US" w:eastAsia="zh-CN"/>
        </w:rPr>
      </w:pPr>
      <w:r>
        <w:rPr>
          <w:rFonts w:hint="eastAsia"/>
          <w:lang w:val="en-US" w:eastAsia="zh-CN"/>
        </w:rPr>
        <w:t>2023年宝城镇人民政府人均占有资产1.05万元，2024年人均占有资产1.13万元，人均资产变化率7.62%。</w:t>
      </w:r>
    </w:p>
    <w:p w14:paraId="7D9B3042">
      <w:pPr>
        <w:widowControl/>
        <w:numPr>
          <w:ilvl w:val="0"/>
          <w:numId w:val="0"/>
        </w:numPr>
        <w:adjustRightInd w:val="0"/>
        <w:snapToGrid/>
        <w:spacing w:line="578" w:lineRule="exact"/>
        <w:ind w:firstLine="640" w:firstLineChars="200"/>
        <w:contextualSpacing/>
        <w:outlineLvl w:val="9"/>
        <w:rPr>
          <w:rFonts w:hint="default"/>
          <w:lang w:val="en-US" w:eastAsia="zh-CN"/>
        </w:rPr>
      </w:pPr>
      <w:r>
        <w:rPr>
          <w:rFonts w:hint="eastAsia" w:ascii="Times New Roman" w:hAnsi="Times New Roman" w:eastAsia="方正仿宋_GB2312" w:cs="Times New Roman"/>
          <w:color w:val="000000"/>
          <w:kern w:val="0"/>
          <w:sz w:val="32"/>
          <w:szCs w:val="32"/>
          <w:highlight w:val="none"/>
          <w:shd w:val="clear" w:color="auto" w:fill="FFFFFF"/>
          <w:lang w:val="en-US" w:eastAsia="zh-CN"/>
        </w:rPr>
        <w:t>“</w:t>
      </w:r>
      <w:r>
        <w:rPr>
          <w:rFonts w:hint="default" w:ascii="Times New Roman" w:hAnsi="Times New Roman" w:eastAsia="方正仿宋_GB2312" w:cs="Times New Roman"/>
          <w:color w:val="000000"/>
          <w:kern w:val="0"/>
          <w:sz w:val="32"/>
          <w:szCs w:val="32"/>
          <w:highlight w:val="none"/>
          <w:shd w:val="clear" w:color="auto" w:fill="FFFFFF"/>
          <w:lang w:val="zh-CN"/>
        </w:rPr>
        <w:t>人均资产变化率</w:t>
      </w:r>
      <w:r>
        <w:rPr>
          <w:rFonts w:hint="eastAsia" w:ascii="Times New Roman" w:hAnsi="Times New Roman" w:eastAsia="方正仿宋_GB2312" w:cs="Times New Roman"/>
          <w:color w:val="000000"/>
          <w:kern w:val="0"/>
          <w:sz w:val="32"/>
          <w:szCs w:val="32"/>
          <w:highlight w:val="none"/>
          <w:shd w:val="clear" w:color="auto" w:fill="FFFFFF"/>
          <w:lang w:val="en-US" w:eastAsia="zh-CN"/>
        </w:rPr>
        <w:t>”满分3分，自评得分</w:t>
      </w:r>
      <w:r>
        <w:rPr>
          <w:rFonts w:hint="eastAsia" w:ascii="Times New Roman" w:hAnsi="Times New Roman" w:cs="Times New Roman"/>
          <w:color w:val="000000"/>
          <w:kern w:val="0"/>
          <w:sz w:val="32"/>
          <w:szCs w:val="32"/>
          <w:highlight w:val="none"/>
          <w:shd w:val="clear" w:color="auto" w:fill="FFFFFF"/>
          <w:lang w:val="en-US" w:eastAsia="zh-CN"/>
        </w:rPr>
        <w:t>1.8</w:t>
      </w:r>
      <w:r>
        <w:rPr>
          <w:rFonts w:hint="eastAsia" w:ascii="Times New Roman" w:hAnsi="Times New Roman" w:eastAsia="方正仿宋_GB2312" w:cs="Times New Roman"/>
          <w:color w:val="000000"/>
          <w:kern w:val="0"/>
          <w:sz w:val="32"/>
          <w:szCs w:val="32"/>
          <w:highlight w:val="none"/>
          <w:shd w:val="clear" w:color="auto" w:fill="FFFFFF"/>
          <w:lang w:val="en-US" w:eastAsia="zh-CN"/>
        </w:rPr>
        <w:t>分。</w:t>
      </w:r>
    </w:p>
    <w:p w14:paraId="33ABB95D">
      <w:pPr>
        <w:bidi w:val="0"/>
        <w:rPr>
          <w:rFonts w:hint="eastAsia" w:ascii="Times New Roman" w:hAnsi="Times New Roman" w:eastAsia="仿宋_GB2312" w:cs="Times New Roman"/>
          <w:kern w:val="2"/>
          <w:sz w:val="32"/>
          <w:szCs w:val="24"/>
          <w:lang w:val="zh-CN" w:eastAsia="zh-CN" w:bidi="ar-SA"/>
        </w:rPr>
      </w:pPr>
      <w:r>
        <w:rPr>
          <w:rFonts w:hint="eastAsia" w:ascii="Times New Roman" w:hAnsi="Times New Roman" w:eastAsia="仿宋_GB2312" w:cs="Times New Roman"/>
          <w:kern w:val="2"/>
          <w:sz w:val="32"/>
          <w:szCs w:val="24"/>
          <w:lang w:val="zh-CN" w:eastAsia="zh-CN" w:bidi="ar-SA"/>
        </w:rPr>
        <w:t>（</w:t>
      </w:r>
      <w:r>
        <w:rPr>
          <w:rFonts w:hint="eastAsia" w:ascii="Times New Roman" w:hAnsi="Times New Roman" w:eastAsia="仿宋_GB2312" w:cs="Times New Roman"/>
          <w:kern w:val="2"/>
          <w:sz w:val="32"/>
          <w:szCs w:val="24"/>
          <w:lang w:val="en-US" w:eastAsia="zh-CN" w:bidi="ar-SA"/>
        </w:rPr>
        <w:t>2</w:t>
      </w:r>
      <w:r>
        <w:rPr>
          <w:rFonts w:hint="eastAsia" w:ascii="Times New Roman" w:hAnsi="Times New Roman" w:eastAsia="仿宋_GB2312" w:cs="Times New Roman"/>
          <w:kern w:val="2"/>
          <w:sz w:val="32"/>
          <w:szCs w:val="24"/>
          <w:lang w:val="zh-CN" w:eastAsia="zh-CN" w:bidi="ar-SA"/>
        </w:rPr>
        <w:t>）资产利用率</w:t>
      </w:r>
      <w:r>
        <w:rPr>
          <w:rFonts w:hint="eastAsia" w:ascii="楷体_GB2312" w:hAnsi="楷体_GB2312" w:cs="楷体_GB2312"/>
          <w:color w:val="000000"/>
          <w:kern w:val="0"/>
          <w:szCs w:val="32"/>
          <w:highlight w:val="none"/>
          <w:shd w:val="clear" w:color="auto" w:fill="FFFFFF"/>
          <w:lang w:val="zh-CN"/>
        </w:rPr>
        <w:t>（</w:t>
      </w:r>
      <w:r>
        <w:rPr>
          <w:rFonts w:hint="eastAsia" w:ascii="楷体_GB2312" w:hAnsi="楷体_GB2312" w:cs="楷体_GB2312"/>
          <w:color w:val="000000"/>
          <w:kern w:val="0"/>
          <w:szCs w:val="32"/>
          <w:highlight w:val="none"/>
          <w:shd w:val="clear" w:color="auto" w:fill="FFFFFF"/>
          <w:lang w:val="en-US" w:eastAsia="zh-CN"/>
        </w:rPr>
        <w:t>3分</w:t>
      </w:r>
      <w:r>
        <w:rPr>
          <w:rFonts w:hint="eastAsia" w:ascii="楷体_GB2312" w:hAnsi="楷体_GB2312" w:cs="楷体_GB2312"/>
          <w:color w:val="000000"/>
          <w:kern w:val="0"/>
          <w:szCs w:val="32"/>
          <w:highlight w:val="none"/>
          <w:shd w:val="clear" w:color="auto" w:fill="FFFFFF"/>
          <w:lang w:val="zh-CN"/>
        </w:rPr>
        <w:t>）</w:t>
      </w:r>
    </w:p>
    <w:p w14:paraId="5989DD8D">
      <w:pPr>
        <w:bidi w:val="0"/>
        <w:rPr>
          <w:rFonts w:hint="eastAsia"/>
        </w:rPr>
      </w:pPr>
      <w:r>
        <w:rPr>
          <w:rFonts w:hint="eastAsia"/>
        </w:rPr>
        <w:t>固定资产利用率100%，所有</w:t>
      </w:r>
      <w:r>
        <w:rPr>
          <w:rFonts w:hint="eastAsia"/>
          <w:lang w:eastAsia="zh-CN"/>
        </w:rPr>
        <w:t>资</w:t>
      </w:r>
      <w:r>
        <w:rPr>
          <w:rFonts w:hint="eastAsia"/>
        </w:rPr>
        <w:t>产均得到有效利用。</w:t>
      </w:r>
    </w:p>
    <w:p w14:paraId="69D006E5">
      <w:pPr>
        <w:widowControl/>
        <w:numPr>
          <w:ilvl w:val="0"/>
          <w:numId w:val="0"/>
        </w:numPr>
        <w:adjustRightInd w:val="0"/>
        <w:snapToGrid/>
        <w:spacing w:line="578" w:lineRule="exact"/>
        <w:ind w:firstLine="640" w:firstLineChars="200"/>
        <w:contextualSpacing/>
        <w:outlineLvl w:val="9"/>
        <w:rPr>
          <w:rFonts w:hint="eastAsia"/>
          <w:lang w:val="zh-CN"/>
        </w:rPr>
      </w:pPr>
      <w:r>
        <w:rPr>
          <w:rFonts w:hint="eastAsia" w:ascii="Times New Roman" w:hAnsi="Times New Roman" w:eastAsia="方正仿宋_GB2312" w:cs="Times New Roman"/>
          <w:color w:val="000000"/>
          <w:kern w:val="0"/>
          <w:sz w:val="32"/>
          <w:szCs w:val="32"/>
          <w:highlight w:val="none"/>
          <w:shd w:val="clear" w:color="auto" w:fill="FFFFFF"/>
          <w:lang w:val="en-US" w:eastAsia="zh-CN"/>
        </w:rPr>
        <w:t>“</w:t>
      </w:r>
      <w:r>
        <w:rPr>
          <w:rFonts w:hint="default" w:ascii="Times New Roman" w:hAnsi="Times New Roman" w:eastAsia="方正仿宋_GB2312" w:cs="Times New Roman"/>
          <w:sz w:val="32"/>
          <w:szCs w:val="32"/>
        </w:rPr>
        <w:t>固定</w:t>
      </w:r>
      <w:r>
        <w:rPr>
          <w:rFonts w:hint="default" w:ascii="Times New Roman" w:hAnsi="Times New Roman" w:eastAsia="方正仿宋_GB2312" w:cs="Times New Roman"/>
          <w:sz w:val="32"/>
          <w:szCs w:val="32"/>
          <w:lang w:eastAsia="zh-CN"/>
        </w:rPr>
        <w:t>资产</w:t>
      </w:r>
      <w:r>
        <w:rPr>
          <w:rFonts w:hint="default" w:ascii="Times New Roman" w:hAnsi="Times New Roman" w:eastAsia="方正仿宋_GB2312" w:cs="Times New Roman"/>
          <w:sz w:val="32"/>
          <w:szCs w:val="32"/>
        </w:rPr>
        <w:t>利用率</w:t>
      </w:r>
      <w:r>
        <w:rPr>
          <w:rFonts w:hint="eastAsia" w:ascii="Times New Roman" w:hAnsi="Times New Roman" w:eastAsia="方正仿宋_GB2312" w:cs="Times New Roman"/>
          <w:color w:val="000000"/>
          <w:kern w:val="0"/>
          <w:sz w:val="32"/>
          <w:szCs w:val="32"/>
          <w:highlight w:val="none"/>
          <w:shd w:val="clear" w:color="auto" w:fill="FFFFFF"/>
          <w:lang w:val="en-US" w:eastAsia="zh-CN"/>
        </w:rPr>
        <w:t>”满分3分，自评得分3分。</w:t>
      </w:r>
    </w:p>
    <w:p w14:paraId="65C426CE">
      <w:pPr>
        <w:numPr>
          <w:ilvl w:val="0"/>
          <w:numId w:val="0"/>
        </w:numPr>
        <w:bidi w:val="0"/>
        <w:ind w:leftChars="200"/>
        <w:rPr>
          <w:rFonts w:hint="eastAsia"/>
          <w:lang w:val="zh-CN"/>
        </w:rPr>
      </w:pPr>
      <w:r>
        <w:rPr>
          <w:rFonts w:hint="eastAsia"/>
          <w:lang w:val="en-US" w:eastAsia="zh-CN"/>
        </w:rPr>
        <w:t>（3）</w:t>
      </w:r>
      <w:r>
        <w:rPr>
          <w:rFonts w:hint="eastAsia"/>
          <w:lang w:val="zh-CN"/>
        </w:rPr>
        <w:t>资产盘活率</w:t>
      </w:r>
      <w:r>
        <w:rPr>
          <w:rFonts w:hint="eastAsia" w:ascii="楷体_GB2312" w:hAnsi="楷体_GB2312" w:cs="楷体_GB2312"/>
          <w:color w:val="000000"/>
          <w:kern w:val="0"/>
          <w:szCs w:val="32"/>
          <w:highlight w:val="none"/>
          <w:shd w:val="clear" w:color="auto" w:fill="FFFFFF"/>
          <w:lang w:val="zh-CN"/>
        </w:rPr>
        <w:t>（</w:t>
      </w:r>
      <w:r>
        <w:rPr>
          <w:rFonts w:hint="eastAsia" w:ascii="楷体_GB2312" w:hAnsi="楷体_GB2312" w:cs="楷体_GB2312"/>
          <w:color w:val="000000"/>
          <w:kern w:val="0"/>
          <w:szCs w:val="32"/>
          <w:highlight w:val="none"/>
          <w:shd w:val="clear" w:color="auto" w:fill="FFFFFF"/>
          <w:lang w:val="en-US" w:eastAsia="zh-CN"/>
        </w:rPr>
        <w:t>3分</w:t>
      </w:r>
      <w:r>
        <w:rPr>
          <w:rFonts w:hint="eastAsia" w:ascii="楷体_GB2312" w:hAnsi="楷体_GB2312" w:cs="楷体_GB2312"/>
          <w:color w:val="000000"/>
          <w:kern w:val="0"/>
          <w:szCs w:val="32"/>
          <w:highlight w:val="none"/>
          <w:shd w:val="clear" w:color="auto" w:fill="FFFFFF"/>
          <w:lang w:val="zh-CN"/>
        </w:rPr>
        <w:t>）</w:t>
      </w:r>
    </w:p>
    <w:p w14:paraId="2596AEA8">
      <w:pPr>
        <w:keepNext w:val="0"/>
        <w:keepLines w:val="0"/>
        <w:pageBreakBefore w:val="0"/>
        <w:widowControl/>
        <w:numPr>
          <w:ilvl w:val="0"/>
          <w:numId w:val="0"/>
        </w:numPr>
        <w:kinsoku/>
        <w:wordWrap/>
        <w:overflowPunct/>
        <w:topLinePunct w:val="0"/>
        <w:autoSpaceDE/>
        <w:autoSpaceDN/>
        <w:bidi w:val="0"/>
        <w:adjustRightInd w:val="0"/>
        <w:snapToGrid/>
        <w:spacing w:line="578" w:lineRule="exact"/>
        <w:ind w:firstLine="640" w:firstLineChars="200"/>
        <w:contextualSpacing/>
        <w:jc w:val="left"/>
        <w:textAlignment w:val="auto"/>
        <w:outlineLvl w:val="9"/>
        <w:rPr>
          <w:rFonts w:hint="eastAsia" w:ascii="Times New Roman" w:hAnsi="Times New Roman" w:eastAsia="方正仿宋_GB2312" w:cs="Times New Roman"/>
          <w:color w:val="000000"/>
          <w:kern w:val="0"/>
          <w:sz w:val="32"/>
          <w:szCs w:val="32"/>
          <w:highlight w:val="none"/>
          <w:shd w:val="clear" w:color="auto" w:fill="FFFFFF"/>
          <w:lang w:val="zh-CN"/>
        </w:rPr>
      </w:pPr>
      <w:r>
        <w:rPr>
          <w:rFonts w:hint="eastAsia" w:ascii="Times New Roman" w:hAnsi="Times New Roman" w:eastAsia="方正仿宋_GB2312" w:cs="Times New Roman"/>
          <w:color w:val="000000"/>
          <w:kern w:val="0"/>
          <w:sz w:val="32"/>
          <w:szCs w:val="32"/>
          <w:highlight w:val="none"/>
          <w:shd w:val="clear" w:color="auto" w:fill="FFFFFF"/>
          <w:lang w:val="zh-CN" w:eastAsia="zh-CN"/>
        </w:rPr>
        <w:t>宝城镇人民政府</w:t>
      </w:r>
      <w:r>
        <w:rPr>
          <w:rFonts w:hint="eastAsia" w:ascii="Times New Roman" w:hAnsi="Times New Roman" w:eastAsia="方正仿宋_GB2312" w:cs="Times New Roman"/>
          <w:color w:val="000000"/>
          <w:kern w:val="0"/>
          <w:sz w:val="32"/>
          <w:szCs w:val="32"/>
          <w:highlight w:val="none"/>
          <w:shd w:val="clear" w:color="auto" w:fill="FFFFFF"/>
          <w:lang w:val="en-US" w:eastAsia="zh-CN"/>
        </w:rPr>
        <w:t>2023年、2024年均无</w:t>
      </w:r>
      <w:r>
        <w:rPr>
          <w:rFonts w:hint="eastAsia" w:ascii="Times New Roman" w:hAnsi="Times New Roman" w:eastAsia="方正仿宋_GB2312" w:cs="Times New Roman"/>
          <w:color w:val="000000"/>
          <w:kern w:val="0"/>
          <w:sz w:val="32"/>
          <w:szCs w:val="32"/>
          <w:highlight w:val="none"/>
          <w:shd w:val="clear" w:color="auto" w:fill="FFFFFF"/>
          <w:lang w:val="zh-CN"/>
        </w:rPr>
        <w:t>闲置一年以上的资产。</w:t>
      </w:r>
    </w:p>
    <w:p w14:paraId="22E126C5">
      <w:pPr>
        <w:keepNext w:val="0"/>
        <w:keepLines w:val="0"/>
        <w:pageBreakBefore w:val="0"/>
        <w:widowControl/>
        <w:numPr>
          <w:ilvl w:val="0"/>
          <w:numId w:val="0"/>
        </w:numPr>
        <w:kinsoku/>
        <w:wordWrap/>
        <w:overflowPunct/>
        <w:topLinePunct w:val="0"/>
        <w:autoSpaceDE/>
        <w:autoSpaceDN/>
        <w:bidi w:val="0"/>
        <w:adjustRightInd w:val="0"/>
        <w:snapToGrid/>
        <w:spacing w:line="578" w:lineRule="exact"/>
        <w:ind w:firstLine="640" w:firstLineChars="200"/>
        <w:contextualSpacing/>
        <w:jc w:val="left"/>
        <w:textAlignment w:val="auto"/>
        <w:outlineLvl w:val="9"/>
        <w:rPr>
          <w:rFonts w:hint="eastAsia"/>
          <w:lang w:val="zh-CN"/>
        </w:rPr>
      </w:pPr>
      <w:r>
        <w:rPr>
          <w:rFonts w:hint="eastAsia" w:ascii="Times New Roman" w:hAnsi="Times New Roman" w:eastAsia="方正仿宋_GB2312" w:cs="Times New Roman"/>
          <w:color w:val="000000"/>
          <w:kern w:val="0"/>
          <w:sz w:val="32"/>
          <w:szCs w:val="32"/>
          <w:highlight w:val="none"/>
          <w:shd w:val="clear" w:color="auto" w:fill="FFFFFF"/>
          <w:lang w:val="en-US" w:eastAsia="zh-CN"/>
        </w:rPr>
        <w:t>“</w:t>
      </w:r>
      <w:r>
        <w:rPr>
          <w:rFonts w:hint="default" w:ascii="Times New Roman" w:hAnsi="Times New Roman" w:eastAsia="方正仿宋_GB2312" w:cs="Times New Roman"/>
          <w:color w:val="000000"/>
          <w:kern w:val="0"/>
          <w:sz w:val="32"/>
          <w:szCs w:val="32"/>
          <w:highlight w:val="none"/>
          <w:shd w:val="clear" w:color="auto" w:fill="FFFFFF"/>
          <w:lang w:val="zh-CN"/>
        </w:rPr>
        <w:t>资产盘活率</w:t>
      </w:r>
      <w:r>
        <w:rPr>
          <w:rFonts w:hint="eastAsia" w:ascii="Times New Roman" w:hAnsi="Times New Roman" w:eastAsia="方正仿宋_GB2312" w:cs="Times New Roman"/>
          <w:color w:val="000000"/>
          <w:kern w:val="0"/>
          <w:sz w:val="32"/>
          <w:szCs w:val="32"/>
          <w:highlight w:val="none"/>
          <w:shd w:val="clear" w:color="auto" w:fill="FFFFFF"/>
          <w:lang w:val="en-US" w:eastAsia="zh-CN"/>
        </w:rPr>
        <w:t>”满分3分，自评得分3分。</w:t>
      </w:r>
    </w:p>
    <w:p w14:paraId="09041AB2">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lang w:val="zh-CN"/>
        </w:rPr>
      </w:pPr>
      <w:r>
        <w:rPr>
          <w:rFonts w:hint="eastAsia"/>
          <w:lang w:val="en-US" w:eastAsia="zh-CN"/>
        </w:rPr>
        <w:t>5.</w:t>
      </w:r>
      <w:r>
        <w:rPr>
          <w:rFonts w:hint="default"/>
          <w:lang w:val="zh-CN"/>
        </w:rPr>
        <w:t>采购管理</w:t>
      </w:r>
      <w:r>
        <w:rPr>
          <w:rFonts w:hint="eastAsia"/>
          <w:lang w:val="zh-CN"/>
        </w:rPr>
        <w:t>（</w:t>
      </w:r>
      <w:r>
        <w:rPr>
          <w:rFonts w:hint="eastAsia"/>
          <w:lang w:val="en-US" w:eastAsia="zh-CN"/>
        </w:rPr>
        <w:t>6分</w:t>
      </w:r>
      <w:r>
        <w:rPr>
          <w:rFonts w:hint="eastAsia"/>
          <w:lang w:val="zh-CN"/>
        </w:rPr>
        <w:t>）</w:t>
      </w:r>
    </w:p>
    <w:p w14:paraId="4582ADB2">
      <w:pPr>
        <w:numPr>
          <w:ilvl w:val="0"/>
          <w:numId w:val="5"/>
        </w:numPr>
        <w:bidi w:val="0"/>
        <w:rPr>
          <w:rFonts w:hint="default"/>
          <w:lang w:val="zh-CN"/>
        </w:rPr>
      </w:pPr>
      <w:r>
        <w:rPr>
          <w:rFonts w:hint="eastAsia"/>
          <w:lang w:val="zh-CN"/>
        </w:rPr>
        <w:t>支持中小企业发展</w:t>
      </w:r>
      <w:r>
        <w:rPr>
          <w:rFonts w:hint="eastAsia"/>
          <w:lang w:val="en-US" w:eastAsia="zh-CN"/>
        </w:rPr>
        <w:t>（3分）</w:t>
      </w:r>
    </w:p>
    <w:p w14:paraId="77F3750C">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lang w:val="zh-CN"/>
        </w:rPr>
      </w:pPr>
      <w:r>
        <w:rPr>
          <w:rFonts w:hint="default"/>
          <w:lang w:val="zh-CN"/>
        </w:rPr>
        <w:t>202</w:t>
      </w:r>
      <w:r>
        <w:rPr>
          <w:rFonts w:hint="default"/>
          <w:lang w:val="en-US" w:eastAsia="zh-CN"/>
        </w:rPr>
        <w:t>4</w:t>
      </w:r>
      <w:r>
        <w:rPr>
          <w:rFonts w:hint="default"/>
          <w:lang w:val="zh-CN"/>
        </w:rPr>
        <w:t>年严格执行政府采购支持中小企业发展管理办法。</w:t>
      </w:r>
    </w:p>
    <w:p w14:paraId="37935034">
      <w:pPr>
        <w:bidi w:val="0"/>
        <w:rPr>
          <w:rFonts w:hint="default"/>
          <w:lang w:val="zh-CN"/>
        </w:rPr>
      </w:pPr>
      <w:r>
        <w:rPr>
          <w:rFonts w:hint="eastAsia"/>
          <w:lang w:val="en-US" w:eastAsia="zh-CN"/>
        </w:rPr>
        <w:t>“</w:t>
      </w:r>
      <w:r>
        <w:rPr>
          <w:rFonts w:hint="default"/>
          <w:lang w:val="zh-CN"/>
        </w:rPr>
        <w:t>支持中小企业发展</w:t>
      </w:r>
      <w:r>
        <w:rPr>
          <w:rFonts w:hint="eastAsia"/>
          <w:lang w:val="en-US" w:eastAsia="zh-CN"/>
        </w:rPr>
        <w:t>”满分3分，自评得分3分。</w:t>
      </w:r>
    </w:p>
    <w:p w14:paraId="7E08E163">
      <w:pPr>
        <w:numPr>
          <w:ilvl w:val="0"/>
          <w:numId w:val="5"/>
        </w:numPr>
        <w:bidi w:val="0"/>
        <w:rPr>
          <w:rFonts w:hint="eastAsia"/>
          <w:lang w:val="zh-CN"/>
        </w:rPr>
      </w:pPr>
      <w:r>
        <w:rPr>
          <w:rFonts w:hint="eastAsia"/>
          <w:lang w:val="zh-CN"/>
        </w:rPr>
        <w:t>采购执行率（</w:t>
      </w:r>
      <w:r>
        <w:rPr>
          <w:rFonts w:hint="eastAsia"/>
          <w:lang w:val="en-US" w:eastAsia="zh-CN"/>
        </w:rPr>
        <w:t>3分</w:t>
      </w:r>
      <w:r>
        <w:rPr>
          <w:rFonts w:hint="eastAsia"/>
          <w:lang w:val="zh-CN"/>
        </w:rPr>
        <w:t>）</w:t>
      </w:r>
    </w:p>
    <w:p w14:paraId="5A16C8FF">
      <w:pPr>
        <w:bidi w:val="0"/>
        <w:rPr>
          <w:rFonts w:hint="eastAsia"/>
          <w:lang w:val="en-US" w:eastAsia="zh-CN"/>
        </w:rPr>
      </w:pPr>
      <w:r>
        <w:rPr>
          <w:rFonts w:hint="eastAsia"/>
          <w:lang w:val="zh-CN"/>
        </w:rPr>
        <w:t>渠县宝城镇人民政府</w:t>
      </w:r>
      <w:r>
        <w:rPr>
          <w:rFonts w:hint="eastAsia"/>
          <w:lang w:val="en-US" w:eastAsia="zh-CN"/>
        </w:rPr>
        <w:t>2024年</w:t>
      </w:r>
      <w:r>
        <w:rPr>
          <w:rFonts w:hint="default" w:ascii="Times New Roman" w:hAnsi="Times New Roman" w:eastAsia="方正仿宋_GB2312" w:cs="Times New Roman"/>
          <w:color w:val="000000"/>
          <w:kern w:val="0"/>
          <w:sz w:val="32"/>
          <w:szCs w:val="32"/>
          <w:highlight w:val="none"/>
          <w:shd w:val="clear" w:color="auto" w:fill="FFFFFF"/>
          <w:lang w:val="zh-CN"/>
        </w:rPr>
        <w:t>无采购预算</w:t>
      </w:r>
      <w:r>
        <w:rPr>
          <w:rFonts w:hint="eastAsia"/>
          <w:lang w:val="en-US" w:eastAsia="zh-CN"/>
        </w:rPr>
        <w:t>。</w:t>
      </w:r>
    </w:p>
    <w:p w14:paraId="5F112E4A">
      <w:pPr>
        <w:bidi w:val="0"/>
        <w:rPr>
          <w:rFonts w:hint="eastAsia"/>
          <w:lang w:val="zh-CN"/>
        </w:rPr>
      </w:pPr>
      <w:r>
        <w:rPr>
          <w:rFonts w:hint="eastAsia" w:ascii="Times New Roman" w:hAnsi="Times New Roman" w:eastAsia="方正仿宋_GB2312" w:cs="Times New Roman"/>
          <w:color w:val="000000"/>
          <w:kern w:val="0"/>
          <w:sz w:val="32"/>
          <w:szCs w:val="32"/>
          <w:highlight w:val="none"/>
          <w:shd w:val="clear" w:color="auto" w:fill="FFFFFF"/>
          <w:lang w:val="en-US" w:eastAsia="zh-CN"/>
        </w:rPr>
        <w:t>“</w:t>
      </w:r>
      <w:r>
        <w:rPr>
          <w:rFonts w:hint="default" w:ascii="Times New Roman" w:hAnsi="Times New Roman" w:eastAsia="方正仿宋_GB2312" w:cs="Times New Roman"/>
          <w:color w:val="000000"/>
          <w:kern w:val="0"/>
          <w:sz w:val="32"/>
          <w:szCs w:val="32"/>
          <w:highlight w:val="none"/>
          <w:shd w:val="clear" w:color="auto" w:fill="FFFFFF"/>
          <w:lang w:val="zh-CN"/>
        </w:rPr>
        <w:t>采购执行率</w:t>
      </w:r>
      <w:r>
        <w:rPr>
          <w:rFonts w:hint="eastAsia" w:ascii="Times New Roman" w:hAnsi="Times New Roman" w:eastAsia="方正仿宋_GB2312" w:cs="Times New Roman"/>
          <w:color w:val="000000"/>
          <w:kern w:val="0"/>
          <w:sz w:val="32"/>
          <w:szCs w:val="32"/>
          <w:highlight w:val="none"/>
          <w:shd w:val="clear" w:color="auto" w:fill="FFFFFF"/>
          <w:lang w:val="en-US" w:eastAsia="zh-CN"/>
        </w:rPr>
        <w:t>”满分3分，自评得分3分。</w:t>
      </w:r>
    </w:p>
    <w:p w14:paraId="5C7E668E">
      <w:pPr>
        <w:pStyle w:val="12"/>
        <w:bidi w:val="0"/>
        <w:rPr>
          <w:rFonts w:hint="default"/>
          <w:lang w:val="zh-CN"/>
        </w:rPr>
      </w:pPr>
      <w:r>
        <w:rPr>
          <w:rFonts w:hint="eastAsia" w:ascii="Arial" w:hAnsi="Arial" w:eastAsia="方正楷体_GBK" w:cs="Times New Roman"/>
          <w:b w:val="0"/>
          <w:kern w:val="2"/>
          <w:sz w:val="32"/>
          <w:szCs w:val="24"/>
          <w:lang w:val="zh-CN" w:eastAsia="zh-CN" w:bidi="ar-SA"/>
        </w:rPr>
        <w:t>（二）</w:t>
      </w:r>
      <w:r>
        <w:rPr>
          <w:rFonts w:hint="default"/>
          <w:lang w:val="zh-CN"/>
        </w:rPr>
        <w:t>部门预算项目绩效分析。</w:t>
      </w:r>
    </w:p>
    <w:p w14:paraId="482A1293">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cs="Times New Roman"/>
          <w:color w:val="000000"/>
          <w:kern w:val="0"/>
          <w:szCs w:val="32"/>
          <w:highlight w:val="none"/>
          <w:shd w:val="clear" w:color="auto" w:fill="FFFFFF"/>
          <w:lang w:val="zh-CN" w:eastAsia="zh-CN"/>
        </w:rPr>
      </w:pPr>
      <w:r>
        <w:rPr>
          <w:rFonts w:hint="default" w:cs="Times New Roman"/>
          <w:color w:val="000000"/>
          <w:kern w:val="0"/>
          <w:szCs w:val="32"/>
          <w:highlight w:val="none"/>
          <w:shd w:val="clear" w:color="auto" w:fill="FFFFFF"/>
          <w:lang w:val="en-US" w:eastAsia="zh-CN"/>
        </w:rPr>
        <w:t>常年项目绩效分析。</w:t>
      </w:r>
      <w:r>
        <w:rPr>
          <w:rFonts w:hint="default" w:cs="Times New Roman"/>
          <w:color w:val="000000"/>
          <w:kern w:val="0"/>
          <w:szCs w:val="32"/>
          <w:highlight w:val="none"/>
          <w:shd w:val="clear" w:color="auto" w:fill="FFFFFF"/>
          <w:lang w:val="zh-CN" w:eastAsia="zh-CN"/>
        </w:rPr>
        <w:t>该类项目总数</w:t>
      </w:r>
      <w:r>
        <w:rPr>
          <w:rFonts w:hint="eastAsia" w:cs="Times New Roman"/>
          <w:color w:val="000000"/>
          <w:kern w:val="0"/>
          <w:szCs w:val="32"/>
          <w:highlight w:val="none"/>
          <w:shd w:val="clear" w:color="auto" w:fill="FFFFFF"/>
          <w:lang w:val="en-US" w:eastAsia="zh-CN"/>
        </w:rPr>
        <w:t>17</w:t>
      </w:r>
      <w:r>
        <w:rPr>
          <w:rFonts w:hint="default" w:cs="Times New Roman"/>
          <w:color w:val="000000"/>
          <w:kern w:val="0"/>
          <w:szCs w:val="32"/>
          <w:highlight w:val="none"/>
          <w:shd w:val="clear" w:color="auto" w:fill="FFFFFF"/>
          <w:lang w:val="zh-CN" w:eastAsia="zh-CN"/>
        </w:rPr>
        <w:t>个，涉及预算总金额</w:t>
      </w:r>
      <w:r>
        <w:rPr>
          <w:rFonts w:hint="eastAsia" w:cs="Times New Roman"/>
          <w:color w:val="000000"/>
          <w:kern w:val="0"/>
          <w:szCs w:val="32"/>
          <w:highlight w:val="none"/>
          <w:shd w:val="clear" w:color="auto" w:fill="FFFFFF"/>
          <w:lang w:val="en-US" w:eastAsia="zh-CN"/>
        </w:rPr>
        <w:t>282.86</w:t>
      </w:r>
      <w:r>
        <w:rPr>
          <w:rFonts w:hint="default" w:cs="Times New Roman"/>
          <w:color w:val="000000"/>
          <w:kern w:val="0"/>
          <w:szCs w:val="32"/>
          <w:highlight w:val="none"/>
          <w:shd w:val="clear" w:color="auto" w:fill="FFFFFF"/>
          <w:lang w:val="zh-CN" w:eastAsia="zh-CN"/>
        </w:rPr>
        <w:t>万元，</w:t>
      </w:r>
      <w:r>
        <w:rPr>
          <w:rFonts w:hint="default" w:cs="Times New Roman"/>
          <w:color w:val="000000"/>
          <w:kern w:val="0"/>
          <w:szCs w:val="32"/>
          <w:highlight w:val="none"/>
          <w:shd w:val="clear" w:color="auto" w:fill="FFFFFF"/>
          <w:lang w:val="zh-CN"/>
        </w:rPr>
        <w:t>1</w:t>
      </w:r>
      <w:r>
        <w:rPr>
          <w:rFonts w:hint="eastAsia" w:cs="Times New Roman"/>
          <w:color w:val="000000"/>
          <w:kern w:val="0"/>
          <w:szCs w:val="32"/>
          <w:highlight w:val="none"/>
          <w:shd w:val="clear" w:color="auto" w:fill="FFFFFF"/>
          <w:lang w:val="zh-CN" w:eastAsia="zh-CN"/>
        </w:rPr>
        <w:t>—</w:t>
      </w:r>
      <w:r>
        <w:rPr>
          <w:rFonts w:hint="default" w:cs="Times New Roman"/>
          <w:color w:val="000000"/>
          <w:kern w:val="0"/>
          <w:szCs w:val="32"/>
          <w:highlight w:val="none"/>
          <w:shd w:val="clear" w:color="auto" w:fill="FFFFFF"/>
          <w:lang w:val="zh-CN"/>
        </w:rPr>
        <w:t>1</w:t>
      </w:r>
      <w:r>
        <w:rPr>
          <w:rFonts w:hint="default" w:cs="Times New Roman"/>
          <w:color w:val="000000"/>
          <w:kern w:val="0"/>
          <w:szCs w:val="32"/>
          <w:highlight w:val="none"/>
          <w:shd w:val="clear" w:color="auto" w:fill="FFFFFF"/>
          <w:lang w:val="en-US" w:eastAsia="zh-CN"/>
        </w:rPr>
        <w:t>2</w:t>
      </w:r>
      <w:r>
        <w:rPr>
          <w:rFonts w:hint="default" w:cs="Times New Roman"/>
          <w:color w:val="000000"/>
          <w:kern w:val="0"/>
          <w:szCs w:val="32"/>
          <w:highlight w:val="none"/>
          <w:shd w:val="clear" w:color="auto" w:fill="FFFFFF"/>
          <w:lang w:val="zh-CN"/>
        </w:rPr>
        <w:t>月预算执行总体进度为</w:t>
      </w:r>
      <w:r>
        <w:rPr>
          <w:rFonts w:hint="eastAsia" w:cs="Times New Roman"/>
          <w:color w:val="000000"/>
          <w:kern w:val="0"/>
          <w:szCs w:val="32"/>
          <w:highlight w:val="none"/>
          <w:shd w:val="clear" w:color="auto" w:fill="FFFFFF"/>
          <w:lang w:val="en-US" w:eastAsia="zh-CN"/>
        </w:rPr>
        <w:t>100</w:t>
      </w:r>
      <w:r>
        <w:rPr>
          <w:rFonts w:hint="default" w:cs="Times New Roman"/>
          <w:color w:val="000000"/>
          <w:kern w:val="0"/>
          <w:szCs w:val="32"/>
          <w:highlight w:val="none"/>
          <w:shd w:val="clear" w:color="auto" w:fill="FFFFFF"/>
          <w:lang w:val="zh-CN"/>
        </w:rPr>
        <w:t>%，其中：</w:t>
      </w:r>
      <w:r>
        <w:rPr>
          <w:rFonts w:hint="default" w:cs="Times New Roman"/>
          <w:color w:val="000000"/>
          <w:kern w:val="0"/>
          <w:szCs w:val="32"/>
          <w:highlight w:val="none"/>
          <w:shd w:val="clear" w:color="auto" w:fill="FFFFFF"/>
          <w:lang w:val="zh-CN" w:eastAsia="zh-CN"/>
        </w:rPr>
        <w:t>预算结余率大于</w:t>
      </w:r>
      <w:r>
        <w:rPr>
          <w:rFonts w:hint="default" w:cs="Times New Roman"/>
          <w:color w:val="000000"/>
          <w:kern w:val="0"/>
          <w:szCs w:val="32"/>
          <w:highlight w:val="none"/>
          <w:shd w:val="clear" w:color="auto" w:fill="FFFFFF"/>
          <w:lang w:val="en-US" w:eastAsia="zh-CN"/>
        </w:rPr>
        <w:t>10%</w:t>
      </w:r>
      <w:r>
        <w:rPr>
          <w:rFonts w:hint="default" w:cs="Times New Roman"/>
          <w:color w:val="000000"/>
          <w:kern w:val="0"/>
          <w:szCs w:val="32"/>
          <w:highlight w:val="none"/>
          <w:shd w:val="clear" w:color="auto" w:fill="FFFFFF"/>
          <w:lang w:val="zh-CN" w:eastAsia="zh-CN"/>
        </w:rPr>
        <w:t>的项目共计</w:t>
      </w:r>
      <w:r>
        <w:rPr>
          <w:rFonts w:hint="eastAsia" w:cs="Times New Roman"/>
          <w:color w:val="000000"/>
          <w:kern w:val="0"/>
          <w:szCs w:val="32"/>
          <w:highlight w:val="none"/>
          <w:shd w:val="clear" w:color="auto" w:fill="FFFFFF"/>
          <w:lang w:val="en-US" w:eastAsia="zh-CN"/>
        </w:rPr>
        <w:t>0</w:t>
      </w:r>
      <w:r>
        <w:rPr>
          <w:rFonts w:hint="default" w:cs="Times New Roman"/>
          <w:color w:val="000000"/>
          <w:kern w:val="0"/>
          <w:szCs w:val="32"/>
          <w:highlight w:val="none"/>
          <w:shd w:val="clear" w:color="auto" w:fill="FFFFFF"/>
          <w:lang w:val="zh-CN" w:eastAsia="zh-CN"/>
        </w:rPr>
        <w:t>个。</w:t>
      </w:r>
    </w:p>
    <w:p w14:paraId="6DCB131A">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cs="Times New Roman"/>
          <w:color w:val="000000"/>
          <w:kern w:val="0"/>
          <w:szCs w:val="32"/>
          <w:highlight w:val="none"/>
          <w:shd w:val="clear" w:color="auto" w:fill="FFFFFF"/>
          <w:lang w:val="zh-CN" w:eastAsia="zh-CN"/>
        </w:rPr>
      </w:pPr>
      <w:r>
        <w:rPr>
          <w:rFonts w:hint="default" w:cs="Times New Roman"/>
          <w:color w:val="000000"/>
          <w:kern w:val="0"/>
          <w:szCs w:val="32"/>
          <w:highlight w:val="none"/>
          <w:shd w:val="clear" w:color="auto" w:fill="FFFFFF"/>
          <w:lang w:val="en-US" w:eastAsia="zh-CN"/>
        </w:rPr>
        <w:t>阶段</w:t>
      </w:r>
      <w:r>
        <w:rPr>
          <w:rFonts w:hint="eastAsia" w:cs="Times New Roman"/>
          <w:color w:val="000000"/>
          <w:kern w:val="0"/>
          <w:szCs w:val="32"/>
          <w:highlight w:val="none"/>
          <w:shd w:val="clear" w:color="auto" w:fill="FFFFFF"/>
          <w:lang w:val="en-US" w:eastAsia="zh-CN"/>
        </w:rPr>
        <w:t>（</w:t>
      </w:r>
      <w:r>
        <w:rPr>
          <w:rFonts w:hint="default" w:cs="Times New Roman"/>
          <w:color w:val="000000"/>
          <w:kern w:val="0"/>
          <w:szCs w:val="32"/>
          <w:highlight w:val="none"/>
          <w:shd w:val="clear" w:color="auto" w:fill="FFFFFF"/>
          <w:lang w:val="en-US" w:eastAsia="zh-CN"/>
        </w:rPr>
        <w:t>一次性</w:t>
      </w:r>
      <w:r>
        <w:rPr>
          <w:rFonts w:hint="eastAsia" w:cs="Times New Roman"/>
          <w:color w:val="000000"/>
          <w:kern w:val="0"/>
          <w:szCs w:val="32"/>
          <w:highlight w:val="none"/>
          <w:shd w:val="clear" w:color="auto" w:fill="FFFFFF"/>
          <w:lang w:val="en-US" w:eastAsia="zh-CN"/>
        </w:rPr>
        <w:t>）</w:t>
      </w:r>
      <w:r>
        <w:rPr>
          <w:rFonts w:hint="default" w:cs="Times New Roman"/>
          <w:color w:val="000000"/>
          <w:kern w:val="0"/>
          <w:szCs w:val="32"/>
          <w:highlight w:val="none"/>
          <w:shd w:val="clear" w:color="auto" w:fill="FFFFFF"/>
          <w:lang w:val="en-US" w:eastAsia="zh-CN"/>
        </w:rPr>
        <w:t>项目绩效分析。</w:t>
      </w:r>
      <w:r>
        <w:rPr>
          <w:rFonts w:hint="default" w:cs="Times New Roman"/>
          <w:color w:val="000000"/>
          <w:kern w:val="0"/>
          <w:szCs w:val="32"/>
          <w:highlight w:val="none"/>
          <w:shd w:val="clear" w:color="auto" w:fill="FFFFFF"/>
          <w:lang w:val="zh-CN" w:eastAsia="zh-CN"/>
        </w:rPr>
        <w:t>该类项目总数</w:t>
      </w:r>
      <w:r>
        <w:rPr>
          <w:rFonts w:hint="eastAsia" w:cs="Times New Roman"/>
          <w:color w:val="000000"/>
          <w:kern w:val="0"/>
          <w:szCs w:val="32"/>
          <w:highlight w:val="none"/>
          <w:shd w:val="clear" w:color="auto" w:fill="FFFFFF"/>
          <w:lang w:val="en-US" w:eastAsia="zh-CN"/>
        </w:rPr>
        <w:t>10</w:t>
      </w:r>
      <w:r>
        <w:rPr>
          <w:rFonts w:hint="default" w:cs="Times New Roman"/>
          <w:color w:val="000000"/>
          <w:kern w:val="0"/>
          <w:szCs w:val="32"/>
          <w:highlight w:val="none"/>
          <w:shd w:val="clear" w:color="auto" w:fill="FFFFFF"/>
          <w:lang w:val="zh-CN" w:eastAsia="zh-CN"/>
        </w:rPr>
        <w:t>个，涉及预算总金额</w:t>
      </w:r>
      <w:r>
        <w:rPr>
          <w:rFonts w:hint="eastAsia" w:cs="Times New Roman"/>
          <w:color w:val="000000"/>
          <w:kern w:val="0"/>
          <w:szCs w:val="32"/>
          <w:highlight w:val="none"/>
          <w:shd w:val="clear" w:color="auto" w:fill="FFFFFF"/>
          <w:lang w:val="en-US" w:eastAsia="zh-CN"/>
        </w:rPr>
        <w:t>89.1</w:t>
      </w:r>
      <w:r>
        <w:rPr>
          <w:rFonts w:hint="default" w:cs="Times New Roman"/>
          <w:color w:val="000000"/>
          <w:kern w:val="0"/>
          <w:szCs w:val="32"/>
          <w:highlight w:val="none"/>
          <w:shd w:val="clear" w:color="auto" w:fill="FFFFFF"/>
          <w:lang w:val="zh-CN" w:eastAsia="zh-CN"/>
        </w:rPr>
        <w:t>万元，</w:t>
      </w:r>
      <w:r>
        <w:rPr>
          <w:rFonts w:hint="default" w:cs="Times New Roman"/>
          <w:color w:val="000000"/>
          <w:kern w:val="0"/>
          <w:szCs w:val="32"/>
          <w:highlight w:val="none"/>
          <w:shd w:val="clear" w:color="auto" w:fill="FFFFFF"/>
          <w:lang w:val="zh-CN"/>
        </w:rPr>
        <w:t>1</w:t>
      </w:r>
      <w:r>
        <w:rPr>
          <w:rFonts w:hint="eastAsia" w:cs="Times New Roman"/>
          <w:color w:val="000000"/>
          <w:kern w:val="0"/>
          <w:szCs w:val="32"/>
          <w:highlight w:val="none"/>
          <w:shd w:val="clear" w:color="auto" w:fill="FFFFFF"/>
          <w:lang w:val="zh-CN" w:eastAsia="zh-CN"/>
        </w:rPr>
        <w:t>—</w:t>
      </w:r>
      <w:r>
        <w:rPr>
          <w:rFonts w:hint="default" w:cs="Times New Roman"/>
          <w:color w:val="000000"/>
          <w:kern w:val="0"/>
          <w:szCs w:val="32"/>
          <w:highlight w:val="none"/>
          <w:shd w:val="clear" w:color="auto" w:fill="FFFFFF"/>
          <w:lang w:val="zh-CN"/>
        </w:rPr>
        <w:t>1</w:t>
      </w:r>
      <w:r>
        <w:rPr>
          <w:rFonts w:hint="default" w:cs="Times New Roman"/>
          <w:color w:val="000000"/>
          <w:kern w:val="0"/>
          <w:szCs w:val="32"/>
          <w:highlight w:val="none"/>
          <w:shd w:val="clear" w:color="auto" w:fill="FFFFFF"/>
          <w:lang w:val="en-US" w:eastAsia="zh-CN"/>
        </w:rPr>
        <w:t>2</w:t>
      </w:r>
      <w:r>
        <w:rPr>
          <w:rFonts w:hint="default" w:cs="Times New Roman"/>
          <w:color w:val="000000"/>
          <w:kern w:val="0"/>
          <w:szCs w:val="32"/>
          <w:highlight w:val="none"/>
          <w:shd w:val="clear" w:color="auto" w:fill="FFFFFF"/>
          <w:lang w:val="zh-CN"/>
        </w:rPr>
        <w:t>月预算执行总体进度为</w:t>
      </w:r>
      <w:r>
        <w:rPr>
          <w:rFonts w:hint="eastAsia" w:cs="Times New Roman"/>
          <w:color w:val="000000"/>
          <w:kern w:val="0"/>
          <w:szCs w:val="32"/>
          <w:highlight w:val="none"/>
          <w:shd w:val="clear" w:color="auto" w:fill="FFFFFF"/>
          <w:lang w:val="en-US" w:eastAsia="zh-CN"/>
        </w:rPr>
        <w:t>100</w:t>
      </w:r>
      <w:r>
        <w:rPr>
          <w:rFonts w:hint="default" w:cs="Times New Roman"/>
          <w:color w:val="000000"/>
          <w:kern w:val="0"/>
          <w:szCs w:val="32"/>
          <w:highlight w:val="none"/>
          <w:shd w:val="clear" w:color="auto" w:fill="FFFFFF"/>
          <w:lang w:val="zh-CN"/>
        </w:rPr>
        <w:t>%，其中：</w:t>
      </w:r>
      <w:r>
        <w:rPr>
          <w:rFonts w:hint="default" w:cs="Times New Roman"/>
          <w:color w:val="000000"/>
          <w:kern w:val="0"/>
          <w:szCs w:val="32"/>
          <w:highlight w:val="none"/>
          <w:shd w:val="clear" w:color="auto" w:fill="FFFFFF"/>
          <w:lang w:val="zh-CN" w:eastAsia="zh-CN"/>
        </w:rPr>
        <w:t>预算结余率大于</w:t>
      </w:r>
      <w:r>
        <w:rPr>
          <w:rFonts w:hint="default" w:cs="Times New Roman"/>
          <w:color w:val="000000"/>
          <w:kern w:val="0"/>
          <w:szCs w:val="32"/>
          <w:highlight w:val="none"/>
          <w:shd w:val="clear" w:color="auto" w:fill="FFFFFF"/>
          <w:lang w:val="en-US" w:eastAsia="zh-CN"/>
        </w:rPr>
        <w:t>10%</w:t>
      </w:r>
      <w:r>
        <w:rPr>
          <w:rFonts w:hint="default" w:cs="Times New Roman"/>
          <w:color w:val="000000"/>
          <w:kern w:val="0"/>
          <w:szCs w:val="32"/>
          <w:highlight w:val="none"/>
          <w:shd w:val="clear" w:color="auto" w:fill="FFFFFF"/>
          <w:lang w:val="zh-CN" w:eastAsia="zh-CN"/>
        </w:rPr>
        <w:t>的项目共计</w:t>
      </w:r>
      <w:r>
        <w:rPr>
          <w:rFonts w:hint="eastAsia" w:cs="Times New Roman"/>
          <w:color w:val="000000"/>
          <w:kern w:val="0"/>
          <w:szCs w:val="32"/>
          <w:highlight w:val="none"/>
          <w:shd w:val="clear" w:color="auto" w:fill="FFFFFF"/>
          <w:lang w:val="en-US" w:eastAsia="zh-CN"/>
        </w:rPr>
        <w:t>0</w:t>
      </w:r>
      <w:r>
        <w:rPr>
          <w:rFonts w:hint="default" w:cs="Times New Roman"/>
          <w:color w:val="000000"/>
          <w:kern w:val="0"/>
          <w:szCs w:val="32"/>
          <w:highlight w:val="none"/>
          <w:shd w:val="clear" w:color="auto" w:fill="FFFFFF"/>
          <w:lang w:val="zh-CN" w:eastAsia="zh-CN"/>
        </w:rPr>
        <w:t>个。</w:t>
      </w:r>
    </w:p>
    <w:p w14:paraId="08C834BE">
      <w:pPr>
        <w:bidi w:val="0"/>
        <w:rPr>
          <w:rFonts w:hint="default"/>
          <w:lang w:val="en-US"/>
        </w:rPr>
      </w:pPr>
      <w:r>
        <w:rPr>
          <w:rFonts w:hint="default"/>
          <w:lang w:val="en-US" w:eastAsia="zh-CN"/>
        </w:rPr>
        <w:t>1.</w:t>
      </w:r>
      <w:r>
        <w:rPr>
          <w:rFonts w:hint="default"/>
          <w:lang w:val="en-US"/>
        </w:rPr>
        <w:t>项目决策（</w:t>
      </w:r>
      <w:r>
        <w:rPr>
          <w:rFonts w:hint="default"/>
          <w:lang w:val="en-US" w:eastAsia="zh-CN"/>
        </w:rPr>
        <w:t>12分</w:t>
      </w:r>
      <w:r>
        <w:rPr>
          <w:rFonts w:hint="default"/>
          <w:lang w:val="en-US"/>
        </w:rPr>
        <w:t>）</w:t>
      </w:r>
    </w:p>
    <w:p w14:paraId="3228852C">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2312" w:cs="Times New Roman"/>
          <w:color w:val="000000"/>
          <w:kern w:val="0"/>
          <w:sz w:val="32"/>
          <w:szCs w:val="32"/>
          <w:highlight w:val="none"/>
          <w:shd w:val="clear" w:color="auto" w:fill="FFFFFF"/>
          <w:lang w:val="en-US" w:eastAsia="zh-CN"/>
        </w:rPr>
      </w:pPr>
      <w:r>
        <w:rPr>
          <w:rFonts w:hint="default" w:ascii="Times New Roman" w:hAnsi="Times New Roman" w:eastAsia="方正仿宋_GB2312" w:cs="Times New Roman"/>
          <w:color w:val="000000"/>
          <w:kern w:val="0"/>
          <w:sz w:val="32"/>
          <w:szCs w:val="32"/>
          <w:shd w:val="clear" w:fill="FFFFFF"/>
          <w:lang w:val="zh-CN" w:eastAsia="zh-CN" w:bidi="ar-SA"/>
        </w:rPr>
        <w:t>（1）</w:t>
      </w:r>
      <w:r>
        <w:rPr>
          <w:rFonts w:hint="default" w:ascii="Times New Roman" w:hAnsi="Times New Roman" w:eastAsia="方正仿宋_GB2312" w:cs="Times New Roman"/>
          <w:color w:val="000000"/>
          <w:kern w:val="0"/>
          <w:sz w:val="32"/>
          <w:szCs w:val="32"/>
          <w:highlight w:val="none"/>
          <w:shd w:val="clear" w:color="auto" w:fill="FFFFFF"/>
          <w:lang w:val="en-US" w:eastAsia="zh-CN"/>
        </w:rPr>
        <w:t>决策程序</w:t>
      </w:r>
      <w:r>
        <w:rPr>
          <w:rFonts w:hint="eastAsia" w:ascii="Times New Roman" w:hAnsi="Times New Roman" w:eastAsia="方正仿宋_GB2312" w:cs="Times New Roman"/>
          <w:color w:val="000000"/>
          <w:kern w:val="0"/>
          <w:sz w:val="32"/>
          <w:szCs w:val="32"/>
          <w:highlight w:val="none"/>
          <w:shd w:val="clear" w:color="auto" w:fill="FFFFFF"/>
          <w:lang w:val="en-US" w:eastAsia="zh-CN"/>
        </w:rPr>
        <w:t>（4分）</w:t>
      </w:r>
      <w:r>
        <w:rPr>
          <w:rFonts w:hint="default" w:ascii="Times New Roman" w:hAnsi="Times New Roman" w:eastAsia="方正仿宋_GB2312" w:cs="Times New Roman"/>
          <w:color w:val="000000"/>
          <w:kern w:val="0"/>
          <w:sz w:val="32"/>
          <w:szCs w:val="32"/>
          <w:highlight w:val="none"/>
          <w:shd w:val="clear" w:color="auto" w:fill="FFFFFF"/>
          <w:lang w:val="en-US" w:eastAsia="zh-CN"/>
        </w:rPr>
        <w:t>。</w:t>
      </w:r>
    </w:p>
    <w:p w14:paraId="40ED5F04">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2312" w:cs="Times New Roman"/>
          <w:color w:val="000000"/>
          <w:kern w:val="0"/>
          <w:sz w:val="32"/>
          <w:szCs w:val="32"/>
          <w:highlight w:val="none"/>
          <w:shd w:val="clear" w:color="auto" w:fill="FFFFFF"/>
          <w:lang w:val="zh-CN"/>
        </w:rPr>
      </w:pPr>
      <w:r>
        <w:rPr>
          <w:rFonts w:hint="default" w:ascii="Times New Roman" w:hAnsi="Times New Roman" w:eastAsia="方正仿宋_GB2312" w:cs="Times New Roman"/>
          <w:color w:val="000000"/>
          <w:kern w:val="0"/>
          <w:sz w:val="32"/>
          <w:szCs w:val="32"/>
          <w:highlight w:val="none"/>
          <w:shd w:val="clear" w:color="auto" w:fill="FFFFFF"/>
          <w:lang w:val="en-US" w:eastAsia="zh-CN"/>
        </w:rPr>
        <w:t>部门预算项目的设立履行了项目申报论证程序，与部门的职能职责相符，项目申报经过集体决策</w:t>
      </w:r>
      <w:r>
        <w:rPr>
          <w:rFonts w:hint="default" w:ascii="Times New Roman" w:hAnsi="Times New Roman" w:eastAsia="方正仿宋_GB2312" w:cs="Times New Roman"/>
          <w:color w:val="000000"/>
          <w:kern w:val="0"/>
          <w:sz w:val="32"/>
          <w:szCs w:val="32"/>
          <w:highlight w:val="none"/>
          <w:shd w:val="clear" w:color="auto" w:fill="FFFFFF"/>
          <w:lang w:val="zh-CN"/>
        </w:rPr>
        <w:t>。</w:t>
      </w:r>
    </w:p>
    <w:p w14:paraId="17AAEBE8">
      <w:pPr>
        <w:keepNext w:val="0"/>
        <w:keepLines w:val="0"/>
        <w:pageBreakBefore w:val="0"/>
        <w:widowControl w:val="0"/>
        <w:numPr>
          <w:ilvl w:val="-1"/>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2312" w:cs="Times New Roman"/>
          <w:color w:val="000000"/>
          <w:kern w:val="0"/>
          <w:sz w:val="32"/>
          <w:szCs w:val="32"/>
          <w:highlight w:val="none"/>
          <w:shd w:val="clear" w:color="auto" w:fill="FFFFFF"/>
          <w:lang w:val="zh-CN"/>
        </w:rPr>
      </w:pPr>
      <w:r>
        <w:rPr>
          <w:rFonts w:hint="eastAsia" w:ascii="Times New Roman" w:hAnsi="Times New Roman" w:eastAsia="方正仿宋_GB2312" w:cs="Times New Roman"/>
          <w:color w:val="000000"/>
          <w:kern w:val="0"/>
          <w:sz w:val="32"/>
          <w:szCs w:val="32"/>
          <w:highlight w:val="none"/>
          <w:shd w:val="clear" w:color="auto" w:fill="FFFFFF"/>
          <w:lang w:val="zh-CN"/>
        </w:rPr>
        <w:t>“</w:t>
      </w:r>
      <w:r>
        <w:rPr>
          <w:rFonts w:hint="default" w:ascii="Times New Roman" w:hAnsi="Times New Roman" w:eastAsia="方正仿宋_GB2312" w:cs="Times New Roman"/>
          <w:color w:val="000000"/>
          <w:kern w:val="0"/>
          <w:sz w:val="32"/>
          <w:szCs w:val="32"/>
          <w:highlight w:val="none"/>
          <w:shd w:val="clear" w:color="auto" w:fill="FFFFFF"/>
          <w:lang w:val="en-US" w:eastAsia="zh-CN"/>
        </w:rPr>
        <w:t>决策程序</w:t>
      </w:r>
      <w:r>
        <w:rPr>
          <w:rFonts w:hint="eastAsia" w:ascii="Times New Roman" w:hAnsi="Times New Roman" w:eastAsia="方正仿宋_GB2312" w:cs="Times New Roman"/>
          <w:color w:val="000000"/>
          <w:kern w:val="0"/>
          <w:sz w:val="32"/>
          <w:szCs w:val="32"/>
          <w:highlight w:val="none"/>
          <w:shd w:val="clear" w:color="auto" w:fill="FFFFFF"/>
          <w:lang w:val="zh-CN"/>
        </w:rPr>
        <w:t>”</w:t>
      </w:r>
      <w:r>
        <w:rPr>
          <w:rFonts w:hint="default" w:ascii="Times New Roman" w:hAnsi="Times New Roman" w:eastAsia="方正仿宋_GB2312" w:cs="Times New Roman"/>
          <w:color w:val="000000"/>
          <w:kern w:val="0"/>
          <w:sz w:val="32"/>
          <w:szCs w:val="32"/>
          <w:highlight w:val="none"/>
          <w:shd w:val="clear" w:color="auto" w:fill="FFFFFF"/>
          <w:lang w:val="en-US" w:eastAsia="zh-CN"/>
        </w:rPr>
        <w:t>指标满分4分，自评得分4分。</w:t>
      </w:r>
    </w:p>
    <w:p w14:paraId="00D0ACCD">
      <w:pPr>
        <w:keepNext w:val="0"/>
        <w:keepLines w:val="0"/>
        <w:pageBreakBefore w:val="0"/>
        <w:widowControl w:val="0"/>
        <w:numPr>
          <w:ilvl w:val="-1"/>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2312" w:cs="Times New Roman"/>
          <w:color w:val="000000"/>
          <w:kern w:val="0"/>
          <w:sz w:val="32"/>
          <w:szCs w:val="32"/>
          <w:highlight w:val="none"/>
          <w:shd w:val="clear" w:color="auto" w:fill="FFFFFF"/>
          <w:lang w:val="en-US" w:eastAsia="zh-CN"/>
        </w:rPr>
      </w:pPr>
      <w:r>
        <w:rPr>
          <w:rFonts w:hint="eastAsia" w:ascii="Times New Roman" w:hAnsi="Times New Roman" w:eastAsia="方正仿宋_GB2312" w:cs="Times New Roman"/>
          <w:color w:val="000000"/>
          <w:kern w:val="0"/>
          <w:sz w:val="32"/>
          <w:szCs w:val="32"/>
          <w:highlight w:val="none"/>
          <w:shd w:val="clear" w:color="auto" w:fill="FFFFFF"/>
          <w:lang w:val="en-US" w:eastAsia="zh-CN"/>
        </w:rPr>
        <w:t>（2）</w:t>
      </w:r>
      <w:r>
        <w:rPr>
          <w:rFonts w:hint="default" w:ascii="Times New Roman" w:hAnsi="Times New Roman" w:eastAsia="方正仿宋_GB2312" w:cs="Times New Roman"/>
          <w:color w:val="000000"/>
          <w:kern w:val="0"/>
          <w:sz w:val="32"/>
          <w:szCs w:val="32"/>
          <w:highlight w:val="none"/>
          <w:shd w:val="clear" w:color="auto" w:fill="FFFFFF"/>
          <w:lang w:val="en-US" w:eastAsia="zh-CN"/>
        </w:rPr>
        <w:t>目标设置</w:t>
      </w:r>
      <w:r>
        <w:rPr>
          <w:rFonts w:hint="eastAsia" w:ascii="Times New Roman" w:hAnsi="Times New Roman" w:eastAsia="方正仿宋_GB2312" w:cs="Times New Roman"/>
          <w:color w:val="000000"/>
          <w:kern w:val="0"/>
          <w:sz w:val="32"/>
          <w:szCs w:val="32"/>
          <w:highlight w:val="none"/>
          <w:shd w:val="clear" w:color="auto" w:fill="FFFFFF"/>
          <w:lang w:val="en-US" w:eastAsia="zh-CN"/>
        </w:rPr>
        <w:t>（4分）</w:t>
      </w:r>
      <w:r>
        <w:rPr>
          <w:rFonts w:hint="default" w:ascii="Times New Roman" w:hAnsi="Times New Roman" w:eastAsia="方正仿宋_GB2312" w:cs="Times New Roman"/>
          <w:color w:val="000000"/>
          <w:kern w:val="0"/>
          <w:sz w:val="32"/>
          <w:szCs w:val="32"/>
          <w:highlight w:val="none"/>
          <w:shd w:val="clear" w:color="auto" w:fill="FFFFFF"/>
          <w:lang w:val="en-US" w:eastAsia="zh-CN"/>
        </w:rPr>
        <w:t>。绩效目标制定科学合理，规范完整，量化细化，并与预算安排匹配。</w:t>
      </w:r>
    </w:p>
    <w:p w14:paraId="61DC5133">
      <w:pPr>
        <w:keepNext w:val="0"/>
        <w:keepLines w:val="0"/>
        <w:pageBreakBefore w:val="0"/>
        <w:widowControl w:val="0"/>
        <w:numPr>
          <w:ilvl w:val="-1"/>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2312" w:cs="Times New Roman"/>
          <w:color w:val="000000"/>
          <w:kern w:val="0"/>
          <w:sz w:val="32"/>
          <w:szCs w:val="32"/>
          <w:highlight w:val="none"/>
          <w:shd w:val="clear" w:color="auto" w:fill="FFFFFF"/>
          <w:lang w:val="zh-CN"/>
        </w:rPr>
      </w:pPr>
      <w:r>
        <w:rPr>
          <w:rFonts w:hint="eastAsia" w:ascii="Times New Roman" w:hAnsi="Times New Roman" w:eastAsia="方正仿宋_GB2312" w:cs="Times New Roman"/>
          <w:color w:val="000000"/>
          <w:kern w:val="0"/>
          <w:sz w:val="32"/>
          <w:szCs w:val="32"/>
          <w:highlight w:val="none"/>
          <w:shd w:val="clear" w:color="auto" w:fill="FFFFFF"/>
          <w:lang w:val="en-US" w:eastAsia="zh-CN"/>
        </w:rPr>
        <w:t>“</w:t>
      </w:r>
      <w:r>
        <w:rPr>
          <w:rFonts w:hint="default" w:ascii="Times New Roman" w:hAnsi="Times New Roman" w:eastAsia="方正仿宋_GB2312" w:cs="Times New Roman"/>
          <w:color w:val="000000"/>
          <w:kern w:val="0"/>
          <w:sz w:val="32"/>
          <w:szCs w:val="32"/>
          <w:highlight w:val="none"/>
          <w:shd w:val="clear" w:color="auto" w:fill="FFFFFF"/>
          <w:lang w:val="en-US" w:eastAsia="zh-CN"/>
        </w:rPr>
        <w:t>目标设置</w:t>
      </w:r>
      <w:r>
        <w:rPr>
          <w:rFonts w:hint="eastAsia" w:ascii="Times New Roman" w:hAnsi="Times New Roman" w:eastAsia="方正仿宋_GB2312" w:cs="Times New Roman"/>
          <w:color w:val="000000"/>
          <w:kern w:val="0"/>
          <w:sz w:val="32"/>
          <w:szCs w:val="32"/>
          <w:highlight w:val="none"/>
          <w:shd w:val="clear" w:color="auto" w:fill="FFFFFF"/>
          <w:lang w:val="en-US" w:eastAsia="zh-CN"/>
        </w:rPr>
        <w:t>”</w:t>
      </w:r>
      <w:r>
        <w:rPr>
          <w:rFonts w:hint="default" w:ascii="Times New Roman" w:hAnsi="Times New Roman" w:eastAsia="方正仿宋_GB2312" w:cs="Times New Roman"/>
          <w:color w:val="000000"/>
          <w:kern w:val="0"/>
          <w:sz w:val="32"/>
          <w:szCs w:val="32"/>
          <w:highlight w:val="none"/>
          <w:shd w:val="clear" w:color="auto" w:fill="FFFFFF"/>
          <w:lang w:val="en-US" w:eastAsia="zh-CN"/>
        </w:rPr>
        <w:t>满分4分，自评得分4分。</w:t>
      </w:r>
    </w:p>
    <w:p w14:paraId="15BA1D52">
      <w:pPr>
        <w:keepNext w:val="0"/>
        <w:keepLines w:val="0"/>
        <w:pageBreakBefore w:val="0"/>
        <w:widowControl w:val="0"/>
        <w:numPr>
          <w:ilvl w:val="0"/>
          <w:numId w:val="5"/>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outlineLvl w:val="9"/>
        <w:rPr>
          <w:rFonts w:hint="default" w:ascii="Times New Roman" w:hAnsi="Times New Roman" w:eastAsia="方正仿宋_GB2312" w:cs="Times New Roman"/>
          <w:color w:val="000000"/>
          <w:kern w:val="0"/>
          <w:sz w:val="32"/>
          <w:szCs w:val="32"/>
          <w:highlight w:val="none"/>
          <w:shd w:val="clear" w:color="auto" w:fill="FFFFFF"/>
          <w:lang w:val="en-US" w:eastAsia="zh-CN"/>
        </w:rPr>
      </w:pPr>
      <w:r>
        <w:rPr>
          <w:rFonts w:hint="default" w:ascii="Times New Roman" w:hAnsi="Times New Roman" w:eastAsia="方正仿宋_GB2312" w:cs="Times New Roman"/>
          <w:color w:val="000000"/>
          <w:kern w:val="0"/>
          <w:sz w:val="32"/>
          <w:szCs w:val="32"/>
          <w:highlight w:val="none"/>
          <w:shd w:val="clear" w:color="auto" w:fill="FFFFFF"/>
          <w:lang w:val="en-US" w:eastAsia="zh-CN"/>
        </w:rPr>
        <w:t>项目入库</w:t>
      </w:r>
      <w:r>
        <w:rPr>
          <w:rFonts w:hint="eastAsia" w:ascii="Times New Roman" w:hAnsi="Times New Roman" w:eastAsia="方正仿宋_GB2312" w:cs="Times New Roman"/>
          <w:color w:val="000000"/>
          <w:kern w:val="0"/>
          <w:sz w:val="32"/>
          <w:szCs w:val="32"/>
          <w:highlight w:val="none"/>
          <w:shd w:val="clear" w:color="auto" w:fill="FFFFFF"/>
          <w:lang w:val="en-US" w:eastAsia="zh-CN"/>
        </w:rPr>
        <w:t>（4分）</w:t>
      </w:r>
      <w:r>
        <w:rPr>
          <w:rFonts w:hint="default" w:ascii="Times New Roman" w:hAnsi="Times New Roman" w:eastAsia="方正仿宋_GB2312" w:cs="Times New Roman"/>
          <w:color w:val="000000"/>
          <w:kern w:val="0"/>
          <w:sz w:val="32"/>
          <w:szCs w:val="32"/>
          <w:highlight w:val="none"/>
          <w:shd w:val="clear" w:color="auto" w:fill="FFFFFF"/>
          <w:lang w:val="en-US" w:eastAsia="zh-CN"/>
        </w:rPr>
        <w:t>。</w:t>
      </w:r>
    </w:p>
    <w:p w14:paraId="70920D22">
      <w:pPr>
        <w:bidi w:val="0"/>
        <w:rPr>
          <w:rFonts w:hint="default"/>
          <w:lang w:val="en-US" w:eastAsia="zh-CN"/>
        </w:rPr>
      </w:pPr>
      <w:r>
        <w:rPr>
          <w:rFonts w:hint="default"/>
          <w:lang w:val="en-US" w:eastAsia="zh-CN"/>
        </w:rPr>
        <w:t>所有项目均在规定时间内完成入库。</w:t>
      </w:r>
    </w:p>
    <w:p w14:paraId="19F076B1">
      <w:pPr>
        <w:keepNext w:val="0"/>
        <w:keepLines w:val="0"/>
        <w:pageBreakBefore w:val="0"/>
        <w:widowControl w:val="0"/>
        <w:numPr>
          <w:ilvl w:val="-1"/>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2312" w:cs="Times New Roman"/>
          <w:color w:val="000000"/>
          <w:kern w:val="0"/>
          <w:sz w:val="32"/>
          <w:szCs w:val="32"/>
          <w:highlight w:val="none"/>
          <w:shd w:val="clear" w:color="auto" w:fill="FFFFFF"/>
          <w:lang w:val="en-US" w:eastAsia="zh-CN"/>
        </w:rPr>
      </w:pPr>
      <w:r>
        <w:rPr>
          <w:rFonts w:hint="eastAsia" w:ascii="Times New Roman" w:hAnsi="Times New Roman" w:eastAsia="方正仿宋_GB2312" w:cs="Times New Roman"/>
          <w:color w:val="000000"/>
          <w:kern w:val="0"/>
          <w:sz w:val="32"/>
          <w:szCs w:val="32"/>
          <w:highlight w:val="none"/>
          <w:shd w:val="clear" w:color="auto" w:fill="FFFFFF"/>
          <w:lang w:val="en-US" w:eastAsia="zh-CN"/>
        </w:rPr>
        <w:t>“</w:t>
      </w:r>
      <w:r>
        <w:rPr>
          <w:rFonts w:hint="default" w:ascii="Times New Roman" w:hAnsi="Times New Roman" w:eastAsia="方正仿宋_GB2312" w:cs="Times New Roman"/>
          <w:color w:val="000000"/>
          <w:kern w:val="0"/>
          <w:sz w:val="32"/>
          <w:szCs w:val="32"/>
          <w:highlight w:val="none"/>
          <w:shd w:val="clear" w:color="auto" w:fill="FFFFFF"/>
          <w:lang w:val="en-US" w:eastAsia="zh-CN"/>
        </w:rPr>
        <w:t>项目入库</w:t>
      </w:r>
      <w:r>
        <w:rPr>
          <w:rFonts w:hint="eastAsia" w:ascii="Times New Roman" w:hAnsi="Times New Roman" w:eastAsia="方正仿宋_GB2312" w:cs="Times New Roman"/>
          <w:color w:val="000000"/>
          <w:kern w:val="0"/>
          <w:sz w:val="32"/>
          <w:szCs w:val="32"/>
          <w:highlight w:val="none"/>
          <w:shd w:val="clear" w:color="auto" w:fill="FFFFFF"/>
          <w:lang w:val="en-US" w:eastAsia="zh-CN"/>
        </w:rPr>
        <w:t>”</w:t>
      </w:r>
      <w:r>
        <w:rPr>
          <w:rFonts w:hint="default" w:ascii="Times New Roman" w:hAnsi="Times New Roman" w:eastAsia="方正仿宋_GB2312" w:cs="Times New Roman"/>
          <w:color w:val="000000"/>
          <w:kern w:val="0"/>
          <w:sz w:val="32"/>
          <w:szCs w:val="32"/>
          <w:highlight w:val="none"/>
          <w:shd w:val="clear" w:color="auto" w:fill="FFFFFF"/>
          <w:lang w:val="en-US" w:eastAsia="zh-CN"/>
        </w:rPr>
        <w:t>满分4分，自评得分4分。</w:t>
      </w:r>
    </w:p>
    <w:p w14:paraId="658D1B51">
      <w:pPr>
        <w:bidi w:val="0"/>
        <w:rPr>
          <w:rFonts w:hint="eastAsia"/>
          <w:lang w:val="en-US" w:eastAsia="zh-CN"/>
        </w:rPr>
      </w:pPr>
      <w:r>
        <w:rPr>
          <w:rFonts w:hint="eastAsia"/>
          <w:lang w:val="en-US" w:eastAsia="zh-CN"/>
        </w:rPr>
        <w:t>2.</w:t>
      </w:r>
      <w:r>
        <w:rPr>
          <w:rFonts w:hint="default"/>
          <w:lang w:val="en-US" w:eastAsia="zh-CN"/>
        </w:rPr>
        <w:t>项目执行</w:t>
      </w:r>
      <w:r>
        <w:rPr>
          <w:rFonts w:hint="eastAsia"/>
          <w:lang w:val="en-US" w:eastAsia="zh-CN"/>
        </w:rPr>
        <w:t>（12分）</w:t>
      </w:r>
    </w:p>
    <w:p w14:paraId="5E318DFD">
      <w:pPr>
        <w:bidi w:val="0"/>
        <w:rPr>
          <w:rFonts w:hint="eastAsia"/>
          <w:lang w:val="en-US" w:eastAsia="zh-CN"/>
        </w:rPr>
      </w:pPr>
      <w:r>
        <w:rPr>
          <w:rFonts w:hint="default"/>
          <w:lang w:val="en-US" w:eastAsia="zh-CN"/>
        </w:rPr>
        <w:t>（1）执行同向</w:t>
      </w:r>
      <w:r>
        <w:rPr>
          <w:rFonts w:hint="eastAsia"/>
          <w:lang w:val="en-US" w:eastAsia="zh-CN"/>
        </w:rPr>
        <w:t>（4分）</w:t>
      </w:r>
    </w:p>
    <w:p w14:paraId="1BB75E43">
      <w:pPr>
        <w:bidi w:val="0"/>
        <w:rPr>
          <w:rFonts w:hint="default"/>
          <w:lang w:val="en-US" w:eastAsia="zh-CN"/>
        </w:rPr>
      </w:pPr>
      <w:r>
        <w:rPr>
          <w:rFonts w:hint="default"/>
          <w:lang w:val="en-US" w:eastAsia="zh-CN"/>
        </w:rPr>
        <w:t>根据现场评价，抽查项目实际列支内容与项目绩效目标设置方向基本相符。</w:t>
      </w:r>
    </w:p>
    <w:p w14:paraId="7647A90E">
      <w:pPr>
        <w:bidi w:val="0"/>
        <w:rPr>
          <w:rFonts w:hint="default"/>
          <w:lang w:val="zh-CN"/>
        </w:rPr>
      </w:pPr>
      <w:r>
        <w:rPr>
          <w:rFonts w:hint="eastAsia"/>
          <w:lang w:val="en-US" w:eastAsia="zh-CN"/>
        </w:rPr>
        <w:t>“执行同向”</w:t>
      </w:r>
      <w:r>
        <w:rPr>
          <w:rFonts w:hint="default"/>
          <w:lang w:val="en-US" w:eastAsia="zh-CN"/>
        </w:rPr>
        <w:t>满分4分，自评得分4分。</w:t>
      </w:r>
    </w:p>
    <w:p w14:paraId="2D4C1868">
      <w:pPr>
        <w:numPr>
          <w:ilvl w:val="0"/>
          <w:numId w:val="6"/>
        </w:numPr>
        <w:bidi w:val="0"/>
        <w:rPr>
          <w:rFonts w:hint="eastAsia"/>
          <w:lang w:val="en-US" w:eastAsia="zh-CN"/>
        </w:rPr>
      </w:pPr>
      <w:r>
        <w:rPr>
          <w:rFonts w:hint="default"/>
          <w:lang w:val="en-US" w:eastAsia="zh-CN"/>
        </w:rPr>
        <w:t>项目调整</w:t>
      </w:r>
      <w:r>
        <w:rPr>
          <w:rFonts w:hint="eastAsia"/>
          <w:lang w:val="en-US" w:eastAsia="zh-CN"/>
        </w:rPr>
        <w:t>（4分）</w:t>
      </w:r>
    </w:p>
    <w:p w14:paraId="2B484408">
      <w:pPr>
        <w:bidi w:val="0"/>
        <w:rPr>
          <w:rFonts w:hint="default"/>
          <w:lang w:val="en-US" w:eastAsia="zh-CN"/>
        </w:rPr>
      </w:pPr>
      <w:r>
        <w:rPr>
          <w:rFonts w:hint="default"/>
          <w:lang w:val="en-US" w:eastAsia="zh-CN"/>
        </w:rPr>
        <w:t>根据现场评价情况，抽查项目中涉及预算调整的项目</w:t>
      </w:r>
      <w:r>
        <w:rPr>
          <w:rFonts w:hint="eastAsia"/>
          <w:lang w:val="en-US" w:eastAsia="zh-CN"/>
        </w:rPr>
        <w:t>5</w:t>
      </w:r>
      <w:r>
        <w:rPr>
          <w:rFonts w:hint="default"/>
          <w:lang w:val="en-US" w:eastAsia="zh-CN"/>
        </w:rPr>
        <w:t>个，能按照相关履行调整报批手续，调整程序规范，依据较充分。</w:t>
      </w:r>
    </w:p>
    <w:p w14:paraId="3EFAADDF">
      <w:pPr>
        <w:bidi w:val="0"/>
        <w:rPr>
          <w:rFonts w:hint="default"/>
          <w:lang w:val="en-US" w:eastAsia="zh-CN"/>
        </w:rPr>
      </w:pPr>
      <w:r>
        <w:rPr>
          <w:rFonts w:hint="eastAsia"/>
          <w:lang w:val="en-US" w:eastAsia="zh-CN"/>
        </w:rPr>
        <w:t>“</w:t>
      </w:r>
      <w:r>
        <w:rPr>
          <w:rFonts w:hint="default"/>
          <w:lang w:val="en-US" w:eastAsia="zh-CN"/>
        </w:rPr>
        <w:t>项目调整</w:t>
      </w:r>
      <w:r>
        <w:rPr>
          <w:rFonts w:hint="eastAsia"/>
          <w:lang w:val="en-US" w:eastAsia="zh-CN"/>
        </w:rPr>
        <w:t>”</w:t>
      </w:r>
      <w:r>
        <w:rPr>
          <w:rFonts w:hint="default"/>
          <w:lang w:val="en-US" w:eastAsia="zh-CN"/>
        </w:rPr>
        <w:t>指标满分4分，</w:t>
      </w:r>
      <w:r>
        <w:rPr>
          <w:rFonts w:hint="eastAsia"/>
          <w:lang w:val="en-US" w:eastAsia="zh-CN"/>
        </w:rPr>
        <w:t>自评得分</w:t>
      </w:r>
      <w:r>
        <w:rPr>
          <w:rFonts w:hint="default"/>
          <w:lang w:val="en-US" w:eastAsia="zh-CN"/>
        </w:rPr>
        <w:t>4分。</w:t>
      </w:r>
    </w:p>
    <w:p w14:paraId="3CE9D3CD">
      <w:pPr>
        <w:numPr>
          <w:ilvl w:val="0"/>
          <w:numId w:val="6"/>
        </w:numPr>
        <w:bidi w:val="0"/>
        <w:ind w:left="0" w:leftChars="0" w:firstLine="640" w:firstLineChars="200"/>
        <w:rPr>
          <w:rFonts w:hint="eastAsia"/>
          <w:lang w:val="en-US" w:eastAsia="zh-CN"/>
        </w:rPr>
      </w:pPr>
      <w:r>
        <w:rPr>
          <w:rFonts w:hint="default"/>
          <w:lang w:val="en-US" w:eastAsia="zh-CN"/>
        </w:rPr>
        <w:t>执行结果</w:t>
      </w:r>
      <w:r>
        <w:rPr>
          <w:rFonts w:hint="eastAsia"/>
          <w:lang w:val="en-US" w:eastAsia="zh-CN"/>
        </w:rPr>
        <w:t>（4分）</w:t>
      </w:r>
    </w:p>
    <w:p w14:paraId="11C0255F">
      <w:pPr>
        <w:bidi w:val="0"/>
        <w:rPr>
          <w:rFonts w:hint="default"/>
          <w:lang w:val="en-US" w:eastAsia="zh-CN"/>
        </w:rPr>
      </w:pPr>
      <w:r>
        <w:rPr>
          <w:rFonts w:hint="default"/>
          <w:lang w:val="en-US" w:eastAsia="zh-CN"/>
        </w:rPr>
        <w:t>根据</w:t>
      </w:r>
      <w:r>
        <w:rPr>
          <w:rFonts w:hint="eastAsia"/>
          <w:lang w:val="en-US" w:eastAsia="zh-CN"/>
        </w:rPr>
        <w:t>宝城</w:t>
      </w:r>
      <w:r>
        <w:rPr>
          <w:rFonts w:hint="default"/>
          <w:lang w:val="en-US" w:eastAsia="zh-CN"/>
        </w:rPr>
        <w:t>镇人民政府提供资料，</w:t>
      </w:r>
      <w:r>
        <w:rPr>
          <w:rFonts w:hint="eastAsia"/>
          <w:lang w:val="en-US" w:eastAsia="zh-CN"/>
        </w:rPr>
        <w:t>宝城</w:t>
      </w:r>
      <w:r>
        <w:rPr>
          <w:rFonts w:hint="default"/>
          <w:lang w:val="en-US" w:eastAsia="zh-CN"/>
        </w:rPr>
        <w:t>镇人民政府部门预算项目</w:t>
      </w:r>
      <w:r>
        <w:rPr>
          <w:rFonts w:hint="eastAsia"/>
          <w:lang w:val="en-US" w:eastAsia="zh-CN"/>
        </w:rPr>
        <w:t>27</w:t>
      </w:r>
      <w:r>
        <w:rPr>
          <w:rFonts w:hint="default"/>
          <w:lang w:val="en-US" w:eastAsia="zh-CN"/>
        </w:rPr>
        <w:t>个，预算结余率小于10%项目</w:t>
      </w:r>
      <w:r>
        <w:rPr>
          <w:rFonts w:hint="eastAsia"/>
          <w:lang w:val="en-US" w:eastAsia="zh-CN"/>
        </w:rPr>
        <w:t>27</w:t>
      </w:r>
      <w:r>
        <w:rPr>
          <w:rFonts w:hint="default"/>
          <w:lang w:val="en-US" w:eastAsia="zh-CN"/>
        </w:rPr>
        <w:t>个占项目总数100%。</w:t>
      </w:r>
    </w:p>
    <w:p w14:paraId="0058EB02">
      <w:pPr>
        <w:bidi w:val="0"/>
        <w:rPr>
          <w:rFonts w:hint="default"/>
          <w:lang w:val="en-US" w:eastAsia="zh-CN"/>
        </w:rPr>
      </w:pPr>
      <w:r>
        <w:rPr>
          <w:rFonts w:hint="eastAsia"/>
          <w:lang w:val="en-US" w:eastAsia="zh-CN"/>
        </w:rPr>
        <w:t>“</w:t>
      </w:r>
      <w:r>
        <w:rPr>
          <w:rFonts w:hint="default"/>
          <w:lang w:val="en-US" w:eastAsia="zh-CN"/>
        </w:rPr>
        <w:t>执行结果</w:t>
      </w:r>
      <w:r>
        <w:rPr>
          <w:rFonts w:hint="eastAsia"/>
          <w:lang w:val="en-US" w:eastAsia="zh-CN"/>
        </w:rPr>
        <w:t>”</w:t>
      </w:r>
      <w:r>
        <w:rPr>
          <w:rFonts w:hint="default"/>
          <w:lang w:val="en-US" w:eastAsia="zh-CN"/>
        </w:rPr>
        <w:t>指标满分4分，</w:t>
      </w:r>
      <w:r>
        <w:rPr>
          <w:rFonts w:hint="eastAsia"/>
          <w:lang w:val="en-US" w:eastAsia="zh-CN"/>
        </w:rPr>
        <w:t>自评得分</w:t>
      </w:r>
      <w:r>
        <w:rPr>
          <w:rFonts w:hint="default"/>
          <w:lang w:val="en-US" w:eastAsia="zh-CN"/>
        </w:rPr>
        <w:t>4分。</w:t>
      </w:r>
    </w:p>
    <w:p w14:paraId="267F3E78">
      <w:pPr>
        <w:bidi w:val="0"/>
        <w:rPr>
          <w:rFonts w:hint="default"/>
          <w:lang w:val="en-US" w:eastAsia="zh-CN"/>
        </w:rPr>
      </w:pPr>
      <w:r>
        <w:rPr>
          <w:rFonts w:hint="default"/>
          <w:lang w:val="en-US" w:eastAsia="zh-CN"/>
        </w:rPr>
        <w:t>3</w:t>
      </w:r>
      <w:r>
        <w:rPr>
          <w:rFonts w:hint="default"/>
          <w:lang w:val="en" w:eastAsia="zh-CN"/>
        </w:rPr>
        <w:t>.</w:t>
      </w:r>
      <w:r>
        <w:rPr>
          <w:rFonts w:hint="default"/>
          <w:lang w:val="en-US" w:eastAsia="zh-CN"/>
        </w:rPr>
        <w:t>目标实现</w:t>
      </w:r>
      <w:r>
        <w:rPr>
          <w:rFonts w:hint="eastAsia"/>
          <w:lang w:val="en-US" w:eastAsia="zh-CN"/>
        </w:rPr>
        <w:t>（11分）</w:t>
      </w:r>
    </w:p>
    <w:p w14:paraId="73CBB1A6">
      <w:pPr>
        <w:bidi w:val="0"/>
        <w:rPr>
          <w:rFonts w:hint="default"/>
          <w:lang w:val="en-US" w:eastAsia="zh-CN"/>
        </w:rPr>
      </w:pPr>
      <w:r>
        <w:rPr>
          <w:rFonts w:hint="default"/>
          <w:lang w:val="en-US" w:eastAsia="zh-CN"/>
        </w:rPr>
        <w:t>（1）目标完成</w:t>
      </w:r>
      <w:r>
        <w:rPr>
          <w:rFonts w:hint="eastAsia"/>
          <w:lang w:val="en-US" w:eastAsia="zh-CN"/>
        </w:rPr>
        <w:t>（4分）</w:t>
      </w:r>
    </w:p>
    <w:p w14:paraId="44A4AA26">
      <w:pPr>
        <w:bidi w:val="0"/>
        <w:rPr>
          <w:rFonts w:hint="eastAsia"/>
          <w:lang w:val="en-US" w:eastAsia="zh-CN"/>
        </w:rPr>
      </w:pPr>
      <w:r>
        <w:rPr>
          <w:rFonts w:hint="eastAsia"/>
          <w:lang w:val="en-US" w:eastAsia="zh-CN"/>
        </w:rPr>
        <w:t>部门预算27个项目中，完成绩效目标数量指标的项目有27个，完成率100%。</w:t>
      </w:r>
    </w:p>
    <w:p w14:paraId="21009CB9">
      <w:pPr>
        <w:bidi w:val="0"/>
        <w:rPr>
          <w:rFonts w:hint="default"/>
          <w:lang w:val="en-US" w:eastAsia="zh-CN"/>
        </w:rPr>
      </w:pPr>
      <w:r>
        <w:rPr>
          <w:rFonts w:hint="eastAsia"/>
          <w:lang w:val="en-US" w:eastAsia="zh-CN"/>
        </w:rPr>
        <w:t>“</w:t>
      </w:r>
      <w:r>
        <w:rPr>
          <w:rFonts w:hint="default"/>
          <w:lang w:val="en-US" w:eastAsia="zh-CN"/>
        </w:rPr>
        <w:t>目标完成</w:t>
      </w:r>
      <w:r>
        <w:rPr>
          <w:rFonts w:hint="eastAsia"/>
          <w:lang w:val="en-US" w:eastAsia="zh-CN"/>
        </w:rPr>
        <w:t>”</w:t>
      </w:r>
      <w:r>
        <w:rPr>
          <w:rFonts w:hint="default"/>
          <w:lang w:val="en-US" w:eastAsia="zh-CN"/>
        </w:rPr>
        <w:t>指标满分4分，</w:t>
      </w:r>
      <w:r>
        <w:rPr>
          <w:rFonts w:hint="eastAsia"/>
          <w:lang w:val="en-US" w:eastAsia="zh-CN"/>
        </w:rPr>
        <w:t>自评得分</w:t>
      </w:r>
      <w:r>
        <w:rPr>
          <w:rFonts w:hint="default"/>
          <w:lang w:val="en-US" w:eastAsia="zh-CN"/>
        </w:rPr>
        <w:t>4分。</w:t>
      </w:r>
    </w:p>
    <w:p w14:paraId="32CEFFC2">
      <w:pPr>
        <w:bidi w:val="0"/>
        <w:rPr>
          <w:rFonts w:hint="default"/>
          <w:lang w:val="en-US" w:eastAsia="zh-CN"/>
        </w:rPr>
      </w:pPr>
      <w:r>
        <w:rPr>
          <w:rFonts w:hint="default"/>
          <w:lang w:val="en-US" w:eastAsia="zh-CN"/>
        </w:rPr>
        <w:t>（2）项目偏离</w:t>
      </w:r>
      <w:r>
        <w:rPr>
          <w:rFonts w:hint="eastAsia"/>
          <w:lang w:val="en-US" w:eastAsia="zh-CN"/>
        </w:rPr>
        <w:t>（4分）</w:t>
      </w:r>
    </w:p>
    <w:p w14:paraId="5CD02AA3">
      <w:pPr>
        <w:bidi w:val="0"/>
        <w:rPr>
          <w:rFonts w:hint="default"/>
          <w:lang w:val="en-US" w:eastAsia="zh-CN"/>
        </w:rPr>
      </w:pPr>
      <w:r>
        <w:rPr>
          <w:rFonts w:hint="default"/>
          <w:lang w:val="en-US" w:eastAsia="zh-CN"/>
        </w:rPr>
        <w:t>已完成预期指标值的数量指标中偏离度在30%内的指标</w:t>
      </w:r>
      <w:r>
        <w:rPr>
          <w:rFonts w:hint="eastAsia"/>
          <w:lang w:val="en-US" w:eastAsia="zh-CN"/>
        </w:rPr>
        <w:t>0</w:t>
      </w:r>
      <w:r>
        <w:rPr>
          <w:rFonts w:hint="default"/>
          <w:lang w:val="en-US" w:eastAsia="zh-CN"/>
        </w:rPr>
        <w:t>个，已完成预期指标值的数量指标</w:t>
      </w:r>
      <w:r>
        <w:rPr>
          <w:rFonts w:hint="eastAsia"/>
          <w:lang w:val="en-US" w:eastAsia="zh-CN"/>
        </w:rPr>
        <w:t>27</w:t>
      </w:r>
      <w:r>
        <w:rPr>
          <w:rFonts w:hint="default"/>
          <w:lang w:val="en-US" w:eastAsia="zh-CN"/>
        </w:rPr>
        <w:t>个，部门项目中已完成的数量指标偏离度在30%内的指标占比</w:t>
      </w:r>
      <w:r>
        <w:rPr>
          <w:rFonts w:hint="eastAsia"/>
          <w:lang w:val="en-US" w:eastAsia="zh-CN"/>
        </w:rPr>
        <w:t>0</w:t>
      </w:r>
      <w:r>
        <w:rPr>
          <w:rFonts w:hint="default"/>
          <w:lang w:val="en-US" w:eastAsia="zh-CN"/>
        </w:rPr>
        <w:t>%。</w:t>
      </w:r>
    </w:p>
    <w:p w14:paraId="3142695D">
      <w:pPr>
        <w:bidi w:val="0"/>
        <w:rPr>
          <w:rFonts w:hint="default"/>
          <w:lang w:val="en-US" w:eastAsia="zh-CN"/>
        </w:rPr>
      </w:pPr>
      <w:r>
        <w:rPr>
          <w:rFonts w:hint="eastAsia"/>
          <w:lang w:val="en-US" w:eastAsia="zh-CN"/>
        </w:rPr>
        <w:t>“</w:t>
      </w:r>
      <w:r>
        <w:rPr>
          <w:rFonts w:hint="default"/>
          <w:lang w:val="en-US" w:eastAsia="zh-CN"/>
        </w:rPr>
        <w:t>项目偏离</w:t>
      </w:r>
      <w:r>
        <w:rPr>
          <w:rFonts w:hint="eastAsia"/>
          <w:lang w:val="en-US" w:eastAsia="zh-CN"/>
        </w:rPr>
        <w:t>”</w:t>
      </w:r>
      <w:r>
        <w:rPr>
          <w:rFonts w:hint="default"/>
          <w:lang w:val="en-US" w:eastAsia="zh-CN"/>
        </w:rPr>
        <w:t>指标满分4分，</w:t>
      </w:r>
      <w:r>
        <w:rPr>
          <w:rFonts w:hint="eastAsia"/>
          <w:lang w:val="en-US" w:eastAsia="zh-CN"/>
        </w:rPr>
        <w:t>自评得分4分</w:t>
      </w:r>
      <w:r>
        <w:rPr>
          <w:rFonts w:hint="default"/>
          <w:lang w:val="en-US" w:eastAsia="zh-CN"/>
        </w:rPr>
        <w:t>。</w:t>
      </w:r>
    </w:p>
    <w:p w14:paraId="201AFDB8">
      <w:pPr>
        <w:bidi w:val="0"/>
        <w:rPr>
          <w:rFonts w:hint="default"/>
          <w:lang w:val="en-US" w:eastAsia="zh-CN"/>
        </w:rPr>
      </w:pPr>
      <w:r>
        <w:rPr>
          <w:rFonts w:hint="default"/>
          <w:lang w:val="en-US" w:eastAsia="zh-CN"/>
        </w:rPr>
        <w:t>（3）实现效果</w:t>
      </w:r>
      <w:r>
        <w:rPr>
          <w:rFonts w:hint="eastAsia"/>
          <w:lang w:val="en-US" w:eastAsia="zh-CN"/>
        </w:rPr>
        <w:t>（3分）</w:t>
      </w:r>
    </w:p>
    <w:p w14:paraId="5838FA5F">
      <w:pPr>
        <w:bidi w:val="0"/>
        <w:rPr>
          <w:rFonts w:hint="default"/>
          <w:lang w:val="en-US" w:eastAsia="zh-CN"/>
        </w:rPr>
      </w:pPr>
      <w:r>
        <w:rPr>
          <w:rFonts w:hint="eastAsia"/>
          <w:lang w:val="en-US" w:eastAsia="zh-CN"/>
        </w:rPr>
        <w:t>部门预算项目绩效目标效益指标27个，已完成预期指标值的27个，占比100%</w:t>
      </w:r>
      <w:r>
        <w:rPr>
          <w:rFonts w:hint="default"/>
          <w:lang w:val="en-US" w:eastAsia="zh-CN"/>
        </w:rPr>
        <w:t>。</w:t>
      </w:r>
    </w:p>
    <w:p w14:paraId="49355BF4">
      <w:pPr>
        <w:bidi w:val="0"/>
        <w:rPr>
          <w:rFonts w:hint="default"/>
          <w:lang w:val="en-US" w:eastAsia="zh-CN"/>
        </w:rPr>
      </w:pPr>
      <w:r>
        <w:rPr>
          <w:rFonts w:hint="eastAsia"/>
          <w:lang w:val="en-US" w:eastAsia="zh-CN"/>
        </w:rPr>
        <w:t>“实现效果”</w:t>
      </w:r>
      <w:r>
        <w:rPr>
          <w:rFonts w:hint="default"/>
          <w:lang w:val="en-US" w:eastAsia="zh-CN"/>
        </w:rPr>
        <w:t>指标满分</w:t>
      </w:r>
      <w:r>
        <w:rPr>
          <w:rFonts w:hint="eastAsia"/>
          <w:lang w:val="en-US" w:eastAsia="zh-CN"/>
        </w:rPr>
        <w:t>3</w:t>
      </w:r>
      <w:r>
        <w:rPr>
          <w:rFonts w:hint="default"/>
          <w:lang w:val="en-US" w:eastAsia="zh-CN"/>
        </w:rPr>
        <w:t>分，</w:t>
      </w:r>
      <w:r>
        <w:rPr>
          <w:rFonts w:hint="eastAsia"/>
          <w:lang w:val="en-US" w:eastAsia="zh-CN"/>
        </w:rPr>
        <w:t>自评得分3分</w:t>
      </w:r>
      <w:r>
        <w:rPr>
          <w:rFonts w:hint="default"/>
          <w:lang w:val="en-US" w:eastAsia="zh-CN"/>
        </w:rPr>
        <w:t>。</w:t>
      </w:r>
    </w:p>
    <w:p w14:paraId="392C7197">
      <w:pPr>
        <w:pStyle w:val="12"/>
        <w:bidi w:val="0"/>
        <w:rPr>
          <w:rFonts w:hint="eastAsia"/>
          <w:lang w:val="zh-CN" w:eastAsia="zh-CN"/>
        </w:rPr>
      </w:pPr>
      <w:r>
        <w:rPr>
          <w:rFonts w:hint="eastAsia" w:ascii="Arial" w:hAnsi="Arial" w:eastAsia="方正楷体_GBK" w:cs="Times New Roman"/>
          <w:b w:val="0"/>
          <w:kern w:val="2"/>
          <w:sz w:val="32"/>
          <w:szCs w:val="24"/>
          <w:lang w:val="zh-CN" w:eastAsia="zh-CN" w:bidi="ar-SA"/>
        </w:rPr>
        <w:t>（</w:t>
      </w:r>
      <w:r>
        <w:rPr>
          <w:rFonts w:hint="eastAsia" w:cs="Times New Roman"/>
          <w:b w:val="0"/>
          <w:kern w:val="2"/>
          <w:sz w:val="32"/>
          <w:szCs w:val="24"/>
          <w:lang w:val="zh-CN" w:eastAsia="zh-CN" w:bidi="ar-SA"/>
        </w:rPr>
        <w:t>三</w:t>
      </w:r>
      <w:r>
        <w:rPr>
          <w:rFonts w:hint="eastAsia" w:ascii="Arial" w:hAnsi="Arial" w:eastAsia="方正楷体_GBK" w:cs="Times New Roman"/>
          <w:b w:val="0"/>
          <w:kern w:val="2"/>
          <w:sz w:val="32"/>
          <w:szCs w:val="24"/>
          <w:lang w:val="zh-CN" w:eastAsia="zh-CN" w:bidi="ar-SA"/>
        </w:rPr>
        <w:t>）</w:t>
      </w:r>
      <w:r>
        <w:rPr>
          <w:rFonts w:hint="eastAsia"/>
          <w:lang w:val="zh-CN" w:eastAsia="zh-CN"/>
        </w:rPr>
        <w:t>其他“两本”预算和重点领域项目情况</w:t>
      </w:r>
    </w:p>
    <w:p w14:paraId="2A0F10EE">
      <w:pPr>
        <w:bidi w:val="0"/>
        <w:rPr>
          <w:rFonts w:hint="default"/>
          <w:lang w:val="en-US" w:eastAsia="zh-CN"/>
        </w:rPr>
      </w:pPr>
      <w:r>
        <w:rPr>
          <w:rFonts w:hint="default"/>
          <w:lang w:val="en-US" w:eastAsia="zh-CN"/>
        </w:rPr>
        <w:t>2024年，</w:t>
      </w:r>
      <w:r>
        <w:rPr>
          <w:rFonts w:hint="eastAsia"/>
          <w:lang w:val="en-US" w:eastAsia="zh-CN"/>
        </w:rPr>
        <w:t>宝城</w:t>
      </w:r>
      <w:r>
        <w:rPr>
          <w:rFonts w:hint="default"/>
          <w:lang w:val="en-US" w:eastAsia="zh-CN"/>
        </w:rPr>
        <w:t>镇人民政府共有</w:t>
      </w:r>
      <w:r>
        <w:rPr>
          <w:rFonts w:hint="eastAsia"/>
          <w:lang w:val="en-US" w:eastAsia="zh-CN"/>
        </w:rPr>
        <w:t>27</w:t>
      </w:r>
      <w:r>
        <w:rPr>
          <w:rFonts w:hint="default"/>
          <w:lang w:val="en-US" w:eastAsia="zh-CN"/>
        </w:rPr>
        <w:t>个部门预算项目，其中一般公共预算项目</w:t>
      </w:r>
      <w:r>
        <w:rPr>
          <w:rFonts w:hint="eastAsia"/>
          <w:lang w:val="en-US" w:eastAsia="zh-CN"/>
        </w:rPr>
        <w:t>24</w:t>
      </w:r>
      <w:r>
        <w:rPr>
          <w:rFonts w:hint="default"/>
          <w:lang w:val="en-US" w:eastAsia="zh-CN"/>
        </w:rPr>
        <w:t>个，政府性基金预算项目</w:t>
      </w:r>
      <w:r>
        <w:rPr>
          <w:rFonts w:hint="eastAsia"/>
          <w:lang w:val="en-US" w:eastAsia="zh-CN"/>
        </w:rPr>
        <w:t>3</w:t>
      </w:r>
      <w:r>
        <w:rPr>
          <w:rFonts w:hint="default"/>
          <w:lang w:val="en-US" w:eastAsia="zh-CN"/>
        </w:rPr>
        <w:t>个，国有资本经营预算项目</w:t>
      </w:r>
      <w:r>
        <w:rPr>
          <w:rFonts w:hint="eastAsia"/>
          <w:lang w:val="en-US" w:eastAsia="zh-CN"/>
        </w:rPr>
        <w:t>0</w:t>
      </w:r>
      <w:r>
        <w:rPr>
          <w:rFonts w:hint="default"/>
          <w:lang w:val="en-US" w:eastAsia="zh-CN"/>
        </w:rPr>
        <w:t>个。</w:t>
      </w:r>
    </w:p>
    <w:p w14:paraId="0CF69BD6">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lang w:val="en-US" w:eastAsia="zh-CN"/>
        </w:rPr>
      </w:pPr>
      <w:r>
        <w:rPr>
          <w:rFonts w:hint="eastAsia"/>
          <w:lang w:val="en-US" w:eastAsia="zh-CN"/>
        </w:rPr>
        <w:t>政府性基金预算项目分别为2024年城乡环境综合治理项目62.33万元，人居环境整治提升项目8万元及宝城镇原区财政所危房拆除项目6.84万元，政府性基金预算的绩效目标均已完成。</w:t>
      </w:r>
    </w:p>
    <w:p w14:paraId="4681B295">
      <w:pPr>
        <w:pStyle w:val="12"/>
        <w:bidi w:val="0"/>
        <w:rPr>
          <w:rFonts w:hint="eastAsia"/>
          <w:lang w:val="zh-CN"/>
        </w:rPr>
      </w:pPr>
      <w:r>
        <w:rPr>
          <w:rFonts w:hint="eastAsia" w:ascii="Arial" w:hAnsi="Arial" w:eastAsia="方正楷体_GBK" w:cs="Times New Roman"/>
          <w:b w:val="0"/>
          <w:kern w:val="2"/>
          <w:sz w:val="32"/>
          <w:szCs w:val="24"/>
          <w:lang w:val="zh-CN" w:eastAsia="zh-CN" w:bidi="ar-SA"/>
        </w:rPr>
        <w:t>（</w:t>
      </w:r>
      <w:r>
        <w:rPr>
          <w:rFonts w:hint="eastAsia" w:cs="Times New Roman"/>
          <w:b w:val="0"/>
          <w:kern w:val="2"/>
          <w:sz w:val="32"/>
          <w:szCs w:val="24"/>
          <w:lang w:val="zh-CN" w:eastAsia="zh-CN" w:bidi="ar-SA"/>
        </w:rPr>
        <w:t>四</w:t>
      </w:r>
      <w:r>
        <w:rPr>
          <w:rFonts w:hint="eastAsia" w:ascii="Arial" w:hAnsi="Arial" w:eastAsia="方正楷体_GBK" w:cs="Times New Roman"/>
          <w:b w:val="0"/>
          <w:kern w:val="2"/>
          <w:sz w:val="32"/>
          <w:szCs w:val="24"/>
          <w:lang w:val="zh-CN" w:eastAsia="zh-CN" w:bidi="ar-SA"/>
        </w:rPr>
        <w:t>）</w:t>
      </w:r>
      <w:r>
        <w:rPr>
          <w:rFonts w:hint="default"/>
          <w:lang w:val="zh-CN"/>
        </w:rPr>
        <w:t>绩效结果应用情况</w:t>
      </w:r>
    </w:p>
    <w:p w14:paraId="01F5FB92">
      <w:pPr>
        <w:numPr>
          <w:ilvl w:val="0"/>
          <w:numId w:val="7"/>
        </w:numPr>
        <w:bidi w:val="0"/>
        <w:rPr>
          <w:rFonts w:hint="eastAsia"/>
        </w:rPr>
      </w:pPr>
      <w:r>
        <w:rPr>
          <w:rFonts w:hint="eastAsia"/>
          <w:lang w:val="zh-CN" w:eastAsia="zh-CN"/>
        </w:rPr>
        <w:t>内部应用情况</w:t>
      </w:r>
    </w:p>
    <w:p w14:paraId="639720DA">
      <w:pPr>
        <w:bidi w:val="0"/>
        <w:rPr>
          <w:rFonts w:hint="eastAsia"/>
        </w:rPr>
      </w:pPr>
      <w:r>
        <w:rPr>
          <w:rFonts w:hint="eastAsia"/>
        </w:rPr>
        <w:t>建立绩效评价激励与</w:t>
      </w:r>
      <w:r>
        <w:rPr>
          <w:rFonts w:hint="eastAsia"/>
          <w:lang w:eastAsia="zh-CN"/>
        </w:rPr>
        <w:t>约</w:t>
      </w:r>
      <w:r>
        <w:rPr>
          <w:rFonts w:hint="eastAsia"/>
        </w:rPr>
        <w:t>束机</w:t>
      </w:r>
      <w:r>
        <w:rPr>
          <w:rFonts w:hint="eastAsia"/>
          <w:lang w:eastAsia="zh-CN"/>
        </w:rPr>
        <w:t>制，</w:t>
      </w:r>
      <w:r>
        <w:rPr>
          <w:rFonts w:hint="eastAsia"/>
        </w:rPr>
        <w:t>根</w:t>
      </w:r>
      <w:r>
        <w:rPr>
          <w:rFonts w:hint="eastAsia"/>
          <w:lang w:eastAsia="zh-CN"/>
        </w:rPr>
        <w:t>据</w:t>
      </w:r>
      <w:r>
        <w:rPr>
          <w:rFonts w:hint="eastAsia"/>
        </w:rPr>
        <w:t>单位绩效评价结果，在安</w:t>
      </w:r>
      <w:r>
        <w:rPr>
          <w:rFonts w:hint="eastAsia"/>
          <w:lang w:eastAsia="zh-CN"/>
        </w:rPr>
        <w:t>排</w:t>
      </w:r>
      <w:r>
        <w:rPr>
          <w:rFonts w:hint="eastAsia"/>
        </w:rPr>
        <w:t>项目资金进行综合考虑。一</w:t>
      </w:r>
      <w:r>
        <w:rPr>
          <w:rFonts w:hint="eastAsia"/>
          <w:lang w:eastAsia="zh-CN"/>
        </w:rPr>
        <w:t>是</w:t>
      </w:r>
      <w:r>
        <w:rPr>
          <w:rFonts w:hint="eastAsia"/>
        </w:rPr>
        <w:t>对于</w:t>
      </w:r>
      <w:r>
        <w:rPr>
          <w:rFonts w:hint="eastAsia"/>
          <w:lang w:eastAsia="zh-CN"/>
        </w:rPr>
        <w:t>绩</w:t>
      </w:r>
      <w:r>
        <w:rPr>
          <w:rFonts w:hint="eastAsia"/>
        </w:rPr>
        <w:t>效评价结果优秀且绩效突出的，在</w:t>
      </w:r>
      <w:r>
        <w:rPr>
          <w:rFonts w:hint="eastAsia"/>
          <w:lang w:eastAsia="zh-CN"/>
        </w:rPr>
        <w:t>安排</w:t>
      </w:r>
      <w:r>
        <w:rPr>
          <w:rFonts w:hint="eastAsia"/>
        </w:rPr>
        <w:t>该项目后续资金时给</w:t>
      </w:r>
      <w:r>
        <w:rPr>
          <w:rFonts w:hint="eastAsia"/>
          <w:lang w:eastAsia="zh-CN"/>
        </w:rPr>
        <w:t>予</w:t>
      </w:r>
      <w:r>
        <w:rPr>
          <w:rFonts w:hint="eastAsia"/>
        </w:rPr>
        <w:t>优先保</w:t>
      </w:r>
      <w:r>
        <w:rPr>
          <w:rFonts w:hint="eastAsia"/>
          <w:lang w:eastAsia="zh-CN"/>
        </w:rPr>
        <w:t>障</w:t>
      </w:r>
      <w:r>
        <w:rPr>
          <w:rFonts w:hint="eastAsia"/>
        </w:rPr>
        <w:t>：</w:t>
      </w:r>
      <w:r>
        <w:rPr>
          <w:rFonts w:hint="eastAsia"/>
          <w:lang w:eastAsia="zh-CN"/>
        </w:rPr>
        <w:t>二</w:t>
      </w:r>
      <w:r>
        <w:rPr>
          <w:rFonts w:hint="eastAsia"/>
          <w:lang w:val="en-US" w:eastAsia="zh-CN"/>
        </w:rPr>
        <w:t>是</w:t>
      </w:r>
      <w:r>
        <w:rPr>
          <w:rFonts w:hint="eastAsia"/>
        </w:rPr>
        <w:t>绩效评价结果为良好的</w:t>
      </w:r>
      <w:r>
        <w:rPr>
          <w:rFonts w:hint="eastAsia"/>
          <w:lang w:eastAsia="zh-CN"/>
        </w:rPr>
        <w:t>，</w:t>
      </w:r>
      <w:r>
        <w:rPr>
          <w:rFonts w:hint="eastAsia"/>
        </w:rPr>
        <w:t>在安排该项目后</w:t>
      </w:r>
      <w:r>
        <w:rPr>
          <w:rFonts w:hint="eastAsia"/>
          <w:lang w:eastAsia="zh-CN"/>
        </w:rPr>
        <w:t>续</w:t>
      </w:r>
      <w:r>
        <w:rPr>
          <w:rFonts w:hint="eastAsia"/>
        </w:rPr>
        <w:t>资</w:t>
      </w:r>
      <w:r>
        <w:rPr>
          <w:rFonts w:hint="eastAsia"/>
          <w:lang w:eastAsia="zh-CN"/>
        </w:rPr>
        <w:t>金</w:t>
      </w:r>
      <w:r>
        <w:rPr>
          <w:rFonts w:hint="eastAsia"/>
        </w:rPr>
        <w:t>时给</w:t>
      </w:r>
      <w:r>
        <w:rPr>
          <w:rFonts w:hint="eastAsia"/>
          <w:lang w:eastAsia="zh-CN"/>
        </w:rPr>
        <w:t>予保障，力求延续项目能够</w:t>
      </w:r>
      <w:r>
        <w:rPr>
          <w:rFonts w:hint="eastAsia"/>
        </w:rPr>
        <w:t>持续有效开展。三</w:t>
      </w:r>
      <w:r>
        <w:rPr>
          <w:rFonts w:hint="eastAsia"/>
          <w:lang w:val="en-US" w:eastAsia="zh-CN"/>
        </w:rPr>
        <w:t>是</w:t>
      </w:r>
      <w:r>
        <w:rPr>
          <w:rFonts w:hint="eastAsia"/>
          <w:lang w:eastAsia="zh-CN"/>
        </w:rPr>
        <w:t>绩</w:t>
      </w:r>
      <w:r>
        <w:rPr>
          <w:rFonts w:hint="eastAsia"/>
        </w:rPr>
        <w:t>效</w:t>
      </w:r>
      <w:r>
        <w:rPr>
          <w:rFonts w:hint="eastAsia"/>
          <w:lang w:eastAsia="zh-CN"/>
        </w:rPr>
        <w:t>评</w:t>
      </w:r>
      <w:r>
        <w:rPr>
          <w:rFonts w:hint="eastAsia"/>
        </w:rPr>
        <w:t>价结</w:t>
      </w:r>
      <w:r>
        <w:rPr>
          <w:rFonts w:hint="eastAsia"/>
          <w:lang w:eastAsia="zh-CN"/>
        </w:rPr>
        <w:t>果</w:t>
      </w:r>
      <w:r>
        <w:rPr>
          <w:rFonts w:hint="eastAsia"/>
        </w:rPr>
        <w:t>为合格</w:t>
      </w:r>
      <w:r>
        <w:rPr>
          <w:rFonts w:hint="eastAsia"/>
          <w:lang w:eastAsia="zh-CN"/>
        </w:rPr>
        <w:t>的</w:t>
      </w:r>
      <w:r>
        <w:rPr>
          <w:rFonts w:hint="eastAsia"/>
        </w:rPr>
        <w:t>，</w:t>
      </w:r>
      <w:r>
        <w:rPr>
          <w:rFonts w:hint="eastAsia"/>
          <w:lang w:eastAsia="zh-CN"/>
        </w:rPr>
        <w:t>提出整改意见</w:t>
      </w:r>
      <w:r>
        <w:rPr>
          <w:rFonts w:hint="eastAsia"/>
        </w:rPr>
        <w:t>，</w:t>
      </w:r>
      <w:r>
        <w:rPr>
          <w:rFonts w:hint="eastAsia"/>
          <w:lang w:eastAsia="zh-CN"/>
        </w:rPr>
        <w:t>并对整改意见落实情况进行跟踪观察，在此过程中，拨款及支付暂缓进行。</w:t>
      </w:r>
      <w:r>
        <w:rPr>
          <w:rFonts w:hint="eastAsia"/>
        </w:rPr>
        <w:t>四</w:t>
      </w:r>
      <w:r>
        <w:rPr>
          <w:rFonts w:hint="eastAsia"/>
          <w:lang w:val="en-US" w:eastAsia="zh-CN"/>
        </w:rPr>
        <w:t>是</w:t>
      </w:r>
      <w:r>
        <w:rPr>
          <w:rFonts w:hint="eastAsia"/>
          <w:lang w:eastAsia="zh-CN"/>
        </w:rPr>
        <w:t>绩效评价</w:t>
      </w:r>
      <w:r>
        <w:rPr>
          <w:rFonts w:hint="eastAsia"/>
        </w:rPr>
        <w:t>结果</w:t>
      </w:r>
      <w:r>
        <w:rPr>
          <w:rFonts w:hint="eastAsia"/>
          <w:lang w:eastAsia="zh-CN"/>
        </w:rPr>
        <w:t>为</w:t>
      </w:r>
      <w:r>
        <w:rPr>
          <w:rFonts w:hint="eastAsia"/>
        </w:rPr>
        <w:t>不合</w:t>
      </w:r>
      <w:r>
        <w:rPr>
          <w:rFonts w:hint="eastAsia"/>
          <w:lang w:eastAsia="zh-CN"/>
        </w:rPr>
        <w:t>格的</w:t>
      </w:r>
      <w:r>
        <w:rPr>
          <w:rFonts w:hint="eastAsia"/>
        </w:rPr>
        <w:t>，</w:t>
      </w:r>
      <w:r>
        <w:rPr>
          <w:rFonts w:hint="eastAsia"/>
          <w:lang w:eastAsia="zh-CN"/>
        </w:rPr>
        <w:t>及时提出</w:t>
      </w:r>
      <w:r>
        <w:rPr>
          <w:rFonts w:hint="eastAsia"/>
        </w:rPr>
        <w:t>整改</w:t>
      </w:r>
      <w:r>
        <w:rPr>
          <w:rFonts w:hint="eastAsia"/>
          <w:lang w:eastAsia="zh-CN"/>
        </w:rPr>
        <w:t>意见，整改期间停止安排资金的拨款和支付，对于完成绩效评价的项目，</w:t>
      </w:r>
      <w:r>
        <w:rPr>
          <w:rFonts w:hint="eastAsia"/>
        </w:rPr>
        <w:t>加强项目前期论证和综合分析，以确保项目资金使用的安全有效。对项目单位绩</w:t>
      </w:r>
      <w:r>
        <w:rPr>
          <w:rFonts w:hint="eastAsia"/>
          <w:lang w:eastAsia="zh-CN"/>
        </w:rPr>
        <w:t>效</w:t>
      </w:r>
      <w:r>
        <w:rPr>
          <w:rFonts w:hint="eastAsia"/>
        </w:rPr>
        <w:t>自评完成</w:t>
      </w:r>
      <w:r>
        <w:rPr>
          <w:rFonts w:hint="eastAsia"/>
          <w:lang w:eastAsia="zh-CN"/>
        </w:rPr>
        <w:t>进</w:t>
      </w:r>
      <w:r>
        <w:rPr>
          <w:rFonts w:hint="eastAsia"/>
        </w:rPr>
        <w:t>度、完成质量以及组织开展等情况，在一定范围内对其评价结论</w:t>
      </w:r>
      <w:r>
        <w:rPr>
          <w:rFonts w:hint="eastAsia"/>
          <w:lang w:eastAsia="zh-CN"/>
        </w:rPr>
        <w:t>予以通报</w:t>
      </w:r>
      <w:r>
        <w:rPr>
          <w:rFonts w:hint="eastAsia"/>
        </w:rPr>
        <w:t>，促使其自觉地、保质保量地完成</w:t>
      </w:r>
      <w:r>
        <w:rPr>
          <w:rFonts w:hint="eastAsia"/>
          <w:lang w:eastAsia="zh-CN"/>
        </w:rPr>
        <w:t>项</w:t>
      </w:r>
      <w:r>
        <w:rPr>
          <w:rFonts w:hint="eastAsia"/>
        </w:rPr>
        <w:t>目的绩效自评工作。同时</w:t>
      </w:r>
      <w:r>
        <w:rPr>
          <w:rFonts w:hint="eastAsia"/>
          <w:lang w:eastAsia="zh-CN"/>
        </w:rPr>
        <w:t>在</w:t>
      </w:r>
      <w:r>
        <w:rPr>
          <w:rFonts w:hint="eastAsia"/>
        </w:rPr>
        <w:t>本</w:t>
      </w:r>
      <w:r>
        <w:rPr>
          <w:rFonts w:hint="eastAsia"/>
          <w:lang w:eastAsia="zh-CN"/>
        </w:rPr>
        <w:t>县门户</w:t>
      </w:r>
      <w:r>
        <w:rPr>
          <w:rFonts w:hint="eastAsia"/>
        </w:rPr>
        <w:t>网站公开</w:t>
      </w:r>
      <w:r>
        <w:rPr>
          <w:rFonts w:hint="eastAsia"/>
          <w:lang w:eastAsia="zh-CN"/>
        </w:rPr>
        <w:t>财政</w:t>
      </w:r>
      <w:r>
        <w:rPr>
          <w:rFonts w:hint="eastAsia"/>
        </w:rPr>
        <w:t>支出绩效评价情况，使公众了解有关项目的实际</w:t>
      </w:r>
      <w:r>
        <w:rPr>
          <w:rFonts w:hint="eastAsia"/>
          <w:lang w:eastAsia="zh-CN"/>
        </w:rPr>
        <w:t>绩效水平</w:t>
      </w:r>
      <w:r>
        <w:rPr>
          <w:rFonts w:hint="eastAsia"/>
        </w:rPr>
        <w:t>，接受</w:t>
      </w:r>
      <w:r>
        <w:rPr>
          <w:rFonts w:hint="eastAsia"/>
          <w:lang w:eastAsia="zh-CN"/>
        </w:rPr>
        <w:t>社</w:t>
      </w:r>
      <w:r>
        <w:rPr>
          <w:rFonts w:hint="eastAsia"/>
        </w:rPr>
        <w:t>会公众监督。</w:t>
      </w:r>
    </w:p>
    <w:p w14:paraId="07095C7E">
      <w:pPr>
        <w:numPr>
          <w:ilvl w:val="0"/>
          <w:numId w:val="7"/>
        </w:numPr>
        <w:bidi w:val="0"/>
        <w:rPr>
          <w:rFonts w:hint="eastAsia"/>
          <w:lang w:val="zh-CN" w:eastAsia="zh-CN"/>
        </w:rPr>
      </w:pPr>
      <w:r>
        <w:rPr>
          <w:rFonts w:hint="default"/>
          <w:lang w:val="zh-CN" w:eastAsia="zh-CN"/>
        </w:rPr>
        <w:t>信息公开情况</w:t>
      </w:r>
    </w:p>
    <w:p w14:paraId="77704C6D">
      <w:pPr>
        <w:bidi w:val="0"/>
        <w:rPr>
          <w:rFonts w:hint="eastAsia"/>
          <w:lang w:val="en-US" w:eastAsia="zh-CN"/>
        </w:rPr>
      </w:pPr>
      <w:r>
        <w:rPr>
          <w:rFonts w:hint="eastAsia"/>
          <w:lang w:val="en-US" w:eastAsia="zh-CN"/>
        </w:rPr>
        <w:t>我单位于2024年7月9日公开了2024年预算，并将部门项目支出绩效目标、部门整体绩效目标和预算绩效管理情况随同预算公开。于2024年9月26日公开了2023年决算，并将部门整体绩效目标自评、项目支出绩效目标自评、部门整体绩效自评报告和项目绩效自评报告情况随同决算公开。</w:t>
      </w:r>
    </w:p>
    <w:p w14:paraId="0867546C">
      <w:pPr>
        <w:bidi w:val="0"/>
        <w:rPr>
          <w:rFonts w:hint="default"/>
          <w:lang w:val="en-US" w:eastAsia="zh-CN"/>
        </w:rPr>
      </w:pPr>
      <w:r>
        <w:rPr>
          <w:rFonts w:hint="eastAsia"/>
          <w:lang w:val="en-US" w:eastAsia="zh-CN"/>
        </w:rPr>
        <w:t>3、</w:t>
      </w:r>
      <w:r>
        <w:rPr>
          <w:rFonts w:hint="default"/>
          <w:lang w:val="zh-CN" w:eastAsia="zh-CN"/>
        </w:rPr>
        <w:t>整改反馈情况</w:t>
      </w:r>
      <w:r>
        <w:rPr>
          <w:rFonts w:hint="eastAsia"/>
          <w:lang w:val="zh-CN" w:eastAsia="zh-CN"/>
        </w:rPr>
        <w:t>分析</w:t>
      </w:r>
    </w:p>
    <w:p w14:paraId="0708399D">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2312" w:cs="Times New Roman"/>
          <w:color w:val="000000"/>
          <w:kern w:val="0"/>
          <w:sz w:val="32"/>
          <w:szCs w:val="32"/>
          <w:highlight w:val="none"/>
          <w:shd w:val="clear" w:color="auto" w:fill="FFFFFF"/>
          <w:lang w:eastAsia="zh-CN"/>
        </w:rPr>
      </w:pPr>
      <w:r>
        <w:rPr>
          <w:rFonts w:hint="default" w:ascii="Times New Roman" w:hAnsi="Times New Roman" w:eastAsia="方正仿宋_GB2312" w:cs="Times New Roman"/>
          <w:color w:val="000000"/>
          <w:kern w:val="0"/>
          <w:sz w:val="32"/>
          <w:szCs w:val="32"/>
          <w:highlight w:val="none"/>
          <w:shd w:val="clear" w:color="auto" w:fill="FFFFFF"/>
          <w:lang w:eastAsia="zh-CN"/>
        </w:rPr>
        <w:t>（1）结果整改</w:t>
      </w:r>
    </w:p>
    <w:p w14:paraId="15CDDE8E">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2312" w:cs="Times New Roman"/>
          <w:color w:val="000000"/>
          <w:kern w:val="0"/>
          <w:sz w:val="32"/>
          <w:szCs w:val="32"/>
          <w:highlight w:val="none"/>
          <w:shd w:val="clear" w:color="auto" w:fill="FFFFFF"/>
          <w:lang w:eastAsia="zh-CN"/>
        </w:rPr>
      </w:pPr>
      <w:r>
        <w:rPr>
          <w:rFonts w:hint="default" w:ascii="Times New Roman" w:hAnsi="Times New Roman" w:eastAsia="方正仿宋_GB2312" w:cs="Times New Roman"/>
          <w:color w:val="000000"/>
          <w:kern w:val="0"/>
          <w:sz w:val="32"/>
          <w:szCs w:val="32"/>
          <w:highlight w:val="none"/>
          <w:shd w:val="clear" w:color="auto" w:fill="FFFFFF"/>
          <w:lang w:eastAsia="zh-CN"/>
        </w:rPr>
        <w:t>渠县财政局在202</w:t>
      </w:r>
      <w:r>
        <w:rPr>
          <w:rFonts w:hint="default" w:ascii="Times New Roman" w:hAnsi="Times New Roman" w:eastAsia="方正仿宋_GB2312" w:cs="Times New Roman"/>
          <w:color w:val="000000"/>
          <w:kern w:val="0"/>
          <w:sz w:val="32"/>
          <w:szCs w:val="32"/>
          <w:highlight w:val="none"/>
          <w:shd w:val="clear" w:color="auto" w:fill="FFFFFF"/>
          <w:lang w:val="en-US" w:eastAsia="zh-CN"/>
        </w:rPr>
        <w:t>4</w:t>
      </w:r>
      <w:r>
        <w:rPr>
          <w:rFonts w:hint="default" w:ascii="Times New Roman" w:hAnsi="Times New Roman" w:eastAsia="方正仿宋_GB2312" w:cs="Times New Roman"/>
          <w:color w:val="000000"/>
          <w:kern w:val="0"/>
          <w:sz w:val="32"/>
          <w:szCs w:val="32"/>
          <w:highlight w:val="none"/>
          <w:shd w:val="clear" w:color="auto" w:fill="FFFFFF"/>
          <w:lang w:eastAsia="zh-CN"/>
        </w:rPr>
        <w:t>年部门预算绩效目标审查、绩效监控和202</w:t>
      </w:r>
      <w:r>
        <w:rPr>
          <w:rFonts w:hint="default" w:ascii="Times New Roman" w:hAnsi="Times New Roman" w:eastAsia="方正仿宋_GB2312" w:cs="Times New Roman"/>
          <w:color w:val="000000"/>
          <w:kern w:val="0"/>
          <w:sz w:val="32"/>
          <w:szCs w:val="32"/>
          <w:highlight w:val="none"/>
          <w:shd w:val="clear" w:color="auto" w:fill="FFFFFF"/>
          <w:lang w:val="en-US" w:eastAsia="zh-CN"/>
        </w:rPr>
        <w:t>4</w:t>
      </w:r>
      <w:r>
        <w:rPr>
          <w:rFonts w:hint="default" w:ascii="Times New Roman" w:hAnsi="Times New Roman" w:eastAsia="方正仿宋_GB2312" w:cs="Times New Roman"/>
          <w:color w:val="000000"/>
          <w:kern w:val="0"/>
          <w:sz w:val="32"/>
          <w:szCs w:val="32"/>
          <w:highlight w:val="none"/>
          <w:shd w:val="clear" w:color="auto" w:fill="FFFFFF"/>
          <w:lang w:eastAsia="zh-CN"/>
        </w:rPr>
        <w:t>年重点绩效评价中，我单位202</w:t>
      </w:r>
      <w:r>
        <w:rPr>
          <w:rFonts w:hint="default" w:ascii="Times New Roman" w:hAnsi="Times New Roman" w:eastAsia="方正仿宋_GB2312" w:cs="Times New Roman"/>
          <w:color w:val="000000"/>
          <w:kern w:val="0"/>
          <w:sz w:val="32"/>
          <w:szCs w:val="32"/>
          <w:highlight w:val="none"/>
          <w:shd w:val="clear" w:color="auto" w:fill="FFFFFF"/>
          <w:lang w:val="en-US" w:eastAsia="zh-CN"/>
        </w:rPr>
        <w:t>4</w:t>
      </w:r>
      <w:r>
        <w:rPr>
          <w:rFonts w:hint="default" w:ascii="Times New Roman" w:hAnsi="Times New Roman" w:eastAsia="方正仿宋_GB2312" w:cs="Times New Roman"/>
          <w:color w:val="000000"/>
          <w:kern w:val="0"/>
          <w:sz w:val="32"/>
          <w:szCs w:val="32"/>
          <w:highlight w:val="none"/>
          <w:shd w:val="clear" w:color="auto" w:fill="FFFFFF"/>
          <w:lang w:eastAsia="zh-CN"/>
        </w:rPr>
        <w:t>年不涉及问题整改。</w:t>
      </w:r>
    </w:p>
    <w:p w14:paraId="40DD1E0B">
      <w:pPr>
        <w:keepNext w:val="0"/>
        <w:keepLines w:val="0"/>
        <w:pageBreakBefore w:val="0"/>
        <w:widowControl/>
        <w:numPr>
          <w:ilvl w:val="0"/>
          <w:numId w:val="8"/>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2312" w:cs="Times New Roman"/>
          <w:color w:val="000000"/>
          <w:kern w:val="0"/>
          <w:sz w:val="32"/>
          <w:szCs w:val="32"/>
          <w:highlight w:val="none"/>
          <w:shd w:val="clear" w:color="auto" w:fill="FFFFFF"/>
          <w:lang w:eastAsia="zh-CN"/>
        </w:rPr>
      </w:pPr>
      <w:r>
        <w:rPr>
          <w:rFonts w:hint="default" w:ascii="Times New Roman" w:hAnsi="Times New Roman" w:eastAsia="方正仿宋_GB2312" w:cs="Times New Roman"/>
          <w:color w:val="000000"/>
          <w:kern w:val="0"/>
          <w:sz w:val="32"/>
          <w:szCs w:val="32"/>
          <w:highlight w:val="none"/>
          <w:shd w:val="clear" w:color="auto" w:fill="FFFFFF"/>
          <w:lang w:eastAsia="zh-CN"/>
        </w:rPr>
        <w:t>应用反馈</w:t>
      </w:r>
    </w:p>
    <w:p w14:paraId="16D096F4">
      <w:pPr>
        <w:bidi w:val="0"/>
        <w:rPr>
          <w:rFonts w:hint="default"/>
          <w:lang w:eastAsia="zh-CN"/>
        </w:rPr>
      </w:pPr>
      <w:r>
        <w:rPr>
          <w:rFonts w:hint="default"/>
          <w:lang w:eastAsia="zh-CN"/>
        </w:rPr>
        <w:t>我单位未收到整改意见，因此也不涉及反馈结果应用报告。</w:t>
      </w:r>
    </w:p>
    <w:p w14:paraId="3BA531C0">
      <w:pPr>
        <w:pStyle w:val="11"/>
        <w:bidi w:val="0"/>
        <w:rPr>
          <w:rFonts w:hint="default"/>
        </w:rPr>
      </w:pPr>
      <w:r>
        <w:rPr>
          <w:rFonts w:hint="default"/>
          <w:lang w:eastAsia="zh-CN"/>
        </w:rPr>
        <w:t>四、</w:t>
      </w:r>
      <w:r>
        <w:rPr>
          <w:rFonts w:hint="default"/>
        </w:rPr>
        <w:t>评价结论及建议</w:t>
      </w:r>
    </w:p>
    <w:p w14:paraId="2D4BC428">
      <w:pPr>
        <w:pStyle w:val="12"/>
        <w:bidi w:val="0"/>
        <w:rPr>
          <w:rFonts w:hint="default"/>
          <w:lang w:val="zh-CN"/>
        </w:rPr>
      </w:pPr>
      <w:r>
        <w:rPr>
          <w:rFonts w:hint="default"/>
          <w:lang w:val="zh-CN"/>
        </w:rPr>
        <w:t>（一）评价结论</w:t>
      </w:r>
    </w:p>
    <w:p w14:paraId="6B1A6BE7">
      <w:pPr>
        <w:bidi w:val="0"/>
        <w:rPr>
          <w:rFonts w:hint="default"/>
          <w:lang w:val="en-US"/>
        </w:rPr>
      </w:pPr>
      <w:r>
        <w:rPr>
          <w:rFonts w:hint="eastAsia"/>
          <w:lang w:eastAsia="zh-CN"/>
        </w:rPr>
        <w:t>渠县宝城镇人民政府</w:t>
      </w:r>
      <w:r>
        <w:t>严格要求按照《</w:t>
      </w:r>
      <w:r>
        <w:rPr>
          <w:rFonts w:hint="eastAsia"/>
        </w:rPr>
        <w:t>部门预算绩效评价指标体系</w:t>
      </w:r>
      <w:r>
        <w:t>》标准进行自评，经自查，我镇部门整体支出绩效评价指标自评得分</w:t>
      </w:r>
      <w:r>
        <w:rPr>
          <w:rFonts w:hint="eastAsia"/>
          <w:lang w:val="en-US" w:eastAsia="zh-CN"/>
        </w:rPr>
        <w:t>93.8</w:t>
      </w:r>
      <w:r>
        <w:rPr>
          <w:rFonts w:hint="eastAsia"/>
        </w:rPr>
        <w:t>分。根据自评结果显示，我单位绩效管理情况较为理想，达到了年初设定的各项绩效目标。所有资金使用严格按审批程序办理、操作规范，会计核算结果真实、准确，各项支出严格按照各项制度执行。</w:t>
      </w:r>
    </w:p>
    <w:p w14:paraId="02A67F07">
      <w:pPr>
        <w:pStyle w:val="12"/>
        <w:numPr>
          <w:ilvl w:val="0"/>
          <w:numId w:val="9"/>
        </w:numPr>
        <w:bidi w:val="0"/>
        <w:rPr>
          <w:rFonts w:hint="eastAsia"/>
        </w:rPr>
      </w:pPr>
      <w:r>
        <w:rPr>
          <w:rFonts w:hint="default"/>
          <w:lang w:val="zh-CN"/>
        </w:rPr>
        <w:t>存在问题</w:t>
      </w:r>
    </w:p>
    <w:p w14:paraId="0C869310">
      <w:pPr>
        <w:bidi w:val="0"/>
        <w:rPr>
          <w:rFonts w:hint="eastAsia"/>
        </w:rPr>
      </w:pPr>
      <w:r>
        <w:rPr>
          <w:rFonts w:hint="eastAsia"/>
          <w:lang w:val="zh-CN"/>
        </w:rPr>
        <w:t>一是</w:t>
      </w:r>
      <w:r>
        <w:rPr>
          <w:rFonts w:hint="eastAsia"/>
          <w:lang w:val="en-US" w:eastAsia="zh-CN"/>
        </w:rPr>
        <w:t>预算控制率有待提高，追加预算较多。由于人员经费的政策性调整及年中落实县委、县政府重大决策和重大活动等原因，年中追加较多经费，预算控制率有待进一步降低。二是预算绩效意识有待进一步提升，单位绩效理念逐步提高，绩效管理基础不断夯实，但“重分配，轻管理；重使用，轻绩效”的思想尚未发生根本性改变。</w:t>
      </w:r>
    </w:p>
    <w:p w14:paraId="5BB45EE9">
      <w:pPr>
        <w:pStyle w:val="12"/>
        <w:numPr>
          <w:ilvl w:val="0"/>
          <w:numId w:val="9"/>
        </w:numPr>
        <w:bidi w:val="0"/>
        <w:rPr>
          <w:rFonts w:hint="default"/>
          <w:lang w:val="zh-CN" w:eastAsia="zh-CN"/>
        </w:rPr>
      </w:pPr>
      <w:r>
        <w:rPr>
          <w:rFonts w:hint="default"/>
          <w:lang w:val="zh-CN" w:eastAsia="zh-CN"/>
        </w:rPr>
        <w:t>改进建议</w:t>
      </w:r>
    </w:p>
    <w:p w14:paraId="0A1F2B7D">
      <w:pPr>
        <w:bidi w:val="0"/>
        <w:rPr>
          <w:rFonts w:hint="eastAsia"/>
          <w:lang w:val="en-US" w:eastAsia="zh-CN"/>
        </w:rPr>
      </w:pPr>
      <w:r>
        <w:rPr>
          <w:rFonts w:hint="eastAsia"/>
          <w:lang w:val="en-US" w:eastAsia="zh-CN"/>
        </w:rPr>
        <w:t>一是加强政策、制度学习，提高思想认识，认真学习新预算法、新会计制度、内部控制规范等相关法规制度，提高对全面预算管理的重视程度，增强财务人员的预算意识，坚持先有预算、后有支出，没有预算不得支出；二是提高预算执行率，进一步规范经费支出，严格按预算科目和金额执行，切实提高预算执行力；及时跟踪预算执行情况，提高预算执行的前瞻性和预见性。结合实际情况，完整、准确地披露相关信息，尽可能做到决算与预算相衔接；三是多开展相关业务工作的培训，提高财务人员的业务水平。</w:t>
      </w:r>
    </w:p>
    <w:p w14:paraId="466463DE">
      <w:pPr>
        <w:pStyle w:val="8"/>
        <w:rPr>
          <w:rFonts w:hint="eastAsia" w:ascii="Times New Roman" w:hAnsi="Times New Roman" w:eastAsia="方正仿宋_GB2312" w:cs="Times New Roman"/>
          <w:kern w:val="2"/>
          <w:sz w:val="32"/>
          <w:szCs w:val="24"/>
          <w:lang w:val="en-US" w:eastAsia="zh-CN" w:bidi="ar-SA"/>
        </w:rPr>
      </w:pPr>
    </w:p>
    <w:p w14:paraId="04D41984">
      <w:pPr>
        <w:pStyle w:val="8"/>
        <w:rPr>
          <w:rFonts w:hint="eastAsia" w:ascii="Times New Roman" w:hAnsi="Times New Roman" w:eastAsia="方正仿宋_GB2312" w:cs="Times New Roman"/>
          <w:kern w:val="2"/>
          <w:sz w:val="32"/>
          <w:szCs w:val="24"/>
          <w:lang w:val="en-US" w:eastAsia="zh-CN" w:bidi="ar-SA"/>
        </w:rPr>
      </w:pPr>
    </w:p>
    <w:p w14:paraId="025106CA">
      <w:pPr>
        <w:pStyle w:val="8"/>
        <w:rPr>
          <w:rFonts w:hint="eastAsia" w:ascii="Times New Roman" w:hAnsi="Times New Roman" w:eastAsia="方正仿宋_GB2312" w:cs="Times New Roman"/>
          <w:kern w:val="2"/>
          <w:sz w:val="32"/>
          <w:szCs w:val="24"/>
          <w:lang w:val="en-US" w:eastAsia="zh-CN" w:bidi="ar-SA"/>
        </w:rPr>
      </w:pPr>
    </w:p>
    <w:p w14:paraId="29581D94">
      <w:pPr>
        <w:pStyle w:val="8"/>
        <w:rPr>
          <w:rFonts w:hint="eastAsia" w:ascii="Times New Roman" w:hAnsi="Times New Roman" w:eastAsia="方正仿宋_GB2312" w:cs="Times New Roman"/>
          <w:kern w:val="2"/>
          <w:sz w:val="32"/>
          <w:szCs w:val="24"/>
          <w:lang w:val="en-US" w:eastAsia="zh-CN" w:bidi="ar-SA"/>
        </w:rPr>
      </w:pPr>
    </w:p>
    <w:p w14:paraId="58F490E8">
      <w:pPr>
        <w:pStyle w:val="8"/>
        <w:rPr>
          <w:rFonts w:hint="eastAsia" w:ascii="Times New Roman" w:hAnsi="Times New Roman" w:eastAsia="方正仿宋_GB2312" w:cs="Times New Roman"/>
          <w:kern w:val="2"/>
          <w:sz w:val="32"/>
          <w:szCs w:val="24"/>
          <w:lang w:val="en-US" w:eastAsia="zh-CN" w:bidi="ar-SA"/>
        </w:rPr>
      </w:pPr>
    </w:p>
    <w:p w14:paraId="5933A933">
      <w:pPr>
        <w:pStyle w:val="8"/>
        <w:rPr>
          <w:rFonts w:hint="eastAsia"/>
          <w:lang w:val="en-US" w:eastAsia="zh-CN"/>
        </w:rPr>
        <w:sectPr>
          <w:pgSz w:w="11906" w:h="16838"/>
          <w:pgMar w:top="2098" w:right="1474" w:bottom="1984" w:left="1587" w:header="720" w:footer="720" w:gutter="0"/>
          <w:pgNumType w:fmt="decimal"/>
          <w:cols w:space="0" w:num="1"/>
          <w:titlePg/>
          <w:rtlGutter w:val="0"/>
          <w:docGrid w:type="lines" w:linePitch="312" w:charSpace="0"/>
        </w:sectPr>
      </w:pPr>
    </w:p>
    <w:p w14:paraId="6088DC54">
      <w:pPr>
        <w:bidi w:val="0"/>
        <w:ind w:left="0" w:leftChars="0" w:firstLine="0" w:firstLineChars="0"/>
        <w:rPr>
          <w:rFonts w:hint="eastAsia"/>
          <w:lang w:val="en-US" w:eastAsia="zh-CN"/>
        </w:rPr>
      </w:pPr>
      <w:r>
        <w:rPr>
          <w:rFonts w:hint="eastAsia"/>
          <w:lang w:val="en-US" w:eastAsia="zh-CN"/>
        </w:rPr>
        <w:pict>
          <v:shape id="_x0000_s1026" o:spid="_x0000_s1026" o:spt="75" type="#_x0000_t75" style="position:absolute;left:0pt;margin-left:-28.45pt;margin-top:3.75pt;height:675.4pt;width:462.15pt;mso-wrap-distance-bottom:0pt;mso-wrap-distance-top:0pt;z-index:251659264;mso-width-relative:page;mso-height-relative:page;" o:ole="t" filled="f" o:preferrelative="t" stroked="f" coordsize="21600,21600">
            <v:path/>
            <v:fill on="f" focussize="0,0"/>
            <v:stroke on="f"/>
            <v:imagedata r:id="rId7" o:title=""/>
            <o:lock v:ext="edit" aspectratio="f"/>
            <w10:wrap type="topAndBottom"/>
          </v:shape>
          <o:OLEObject Type="Embed" ProgID="Office12.Excel.Template" ShapeID="_x0000_s1026" DrawAspect="Content" ObjectID="_1468075725" r:id="rId6">
            <o:LockedField>false</o:LockedField>
          </o:OLEObject>
        </w:pict>
      </w:r>
    </w:p>
    <w:p w14:paraId="22503BF6">
      <w:pPr>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pict>
          <v:shape id="_x0000_s1029" o:spid="_x0000_s1029" o:spt="75" type="#_x0000_t75" style="position:absolute;left:0pt;margin-left:-17.1pt;margin-top:5.7pt;height:682.6pt;width:450pt;mso-wrap-distance-bottom:0pt;mso-wrap-distance-top:0pt;z-index:251661312;mso-width-relative:page;mso-height-relative:page;" o:ole="t" filled="f" o:preferrelative="t" stroked="f" coordsize="21600,21600">
            <v:path/>
            <v:fill on="f" focussize="0,0"/>
            <v:stroke on="f"/>
            <v:imagedata r:id="rId9" o:title=""/>
            <o:lock v:ext="edit" aspectratio="f"/>
            <w10:wrap type="topAndBottom"/>
          </v:shape>
          <o:OLEObject Type="Embed" ProgID="Office12.Excel.Template" ShapeID="_x0000_s1029" DrawAspect="Content" ObjectID="_1468075726" r:id="rId8">
            <o:LockedField>false</o:LockedField>
          </o:OLEObject>
        </w:pict>
      </w:r>
    </w:p>
    <w:p w14:paraId="27C29A18">
      <w:pPr>
        <w:rPr>
          <w:rFonts w:hint="default" w:ascii="Times New Roman" w:hAnsi="Times New Roman" w:eastAsia="黑体" w:cs="黑体"/>
          <w:color w:val="auto"/>
          <w:sz w:val="32"/>
          <w:szCs w:val="32"/>
          <w:highlight w:val="none"/>
          <w:lang w:val="en-US"/>
        </w:rPr>
      </w:pPr>
      <w:r>
        <w:rPr>
          <w:rFonts w:hint="eastAsia" w:ascii="Times New Roman" w:hAnsi="Times New Roman" w:eastAsia="黑体" w:cs="黑体"/>
          <w:color w:val="auto"/>
          <w:sz w:val="32"/>
          <w:szCs w:val="32"/>
          <w:highlight w:val="none"/>
        </w:rPr>
        <w:pict>
          <v:shape id="_x0000_s1028" o:spid="_x0000_s1028" o:spt="75" type="#_x0000_t75" style="position:absolute;left:0pt;margin-left:-15.3pt;margin-top:20.25pt;height:660.25pt;width:452.7pt;mso-wrap-distance-bottom:0pt;mso-wrap-distance-top:0pt;z-index:251660288;mso-width-relative:page;mso-height-relative:page;" o:ole="t" filled="f" o:preferrelative="t" stroked="f" coordsize="21600,21600">
            <v:path/>
            <v:fill on="f" focussize="0,0"/>
            <v:stroke on="f"/>
            <v:imagedata r:id="rId11" o:title=""/>
            <o:lock v:ext="edit" aspectratio="f"/>
            <w10:wrap type="topAndBottom"/>
          </v:shape>
          <o:OLEObject Type="Embed" ProgID="Office12.Excel.Template" ShapeID="_x0000_s1028" DrawAspect="Content" ObjectID="_1468075727" r:id="rId10">
            <o:LockedField>false</o:LockedField>
          </o:OLEObject>
        </w:pic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AFF" w:usb1="C0007841" w:usb2="00000009" w:usb3="00000000" w:csb0="400001FF" w:csb1="FFFF0000"/>
  </w:font>
  <w:font w:name="宋体">
    <w:panose1 w:val="02010600030101010101"/>
    <w:charset w:val="3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9583E721-A4A8-447C-BA2D-E7B152D6784B}"/>
  </w:font>
  <w:font w:name="黑体">
    <w:panose1 w:val="02010609060101010101"/>
    <w:charset w:val="86"/>
    <w:family w:val="auto"/>
    <w:pitch w:val="default"/>
    <w:sig w:usb0="800002BF" w:usb1="38CF7CFA" w:usb2="00000016" w:usb3="00000000" w:csb0="00040001" w:csb1="00000000"/>
    <w:embedRegular r:id="rId2" w:fontKey="{B65F2604-AEFD-47F4-AED1-0FE967DC80E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embedRegular r:id="rId3" w:fontKey="{C093337E-8801-424D-BD60-4A2F3B86691E}"/>
  </w:font>
  <w:font w:name="仿宋_GB2312">
    <w:panose1 w:val="02010609030101010101"/>
    <w:charset w:val="86"/>
    <w:family w:val="modern"/>
    <w:pitch w:val="default"/>
    <w:sig w:usb0="00000001" w:usb1="080E0000" w:usb2="00000000" w:usb3="00000000" w:csb0="00040000" w:csb1="00000000"/>
    <w:embedRegular r:id="rId4" w:fontKey="{BF928DC3-CAAF-4F57-81E8-168F91F4AA49}"/>
  </w:font>
  <w:font w:name="方正仿宋_GB2312">
    <w:panose1 w:val="02000000000000000000"/>
    <w:charset w:val="86"/>
    <w:family w:val="auto"/>
    <w:pitch w:val="default"/>
    <w:sig w:usb0="A00002BF" w:usb1="184F6CFA" w:usb2="00000012" w:usb3="00000000" w:csb0="00040001" w:csb1="00000000"/>
    <w:embedRegular r:id="rId5" w:fontKey="{B0BF6FB5-5C48-4C5D-990D-3FFA9049A2ED}"/>
  </w:font>
  <w:font w:name="Calibri Light">
    <w:panose1 w:val="020F0302020204030204"/>
    <w:charset w:val="00"/>
    <w:family w:val="auto"/>
    <w:pitch w:val="default"/>
    <w:sig w:usb0="A00002EF" w:usb1="4000207B" w:usb2="00000000" w:usb3="00000000" w:csb0="2000019F" w:csb1="00000000"/>
  </w:font>
  <w:font w:name="方正黑体_GBK">
    <w:panose1 w:val="02000000000000000000"/>
    <w:charset w:val="86"/>
    <w:family w:val="auto"/>
    <w:pitch w:val="default"/>
    <w:sig w:usb0="A00002BF" w:usb1="38CF7CFA" w:usb2="00082016" w:usb3="00000000" w:csb0="00040001" w:csb1="00000000"/>
  </w:font>
  <w:font w:name="方正楷体_GB2312">
    <w:panose1 w:val="02000000000000000000"/>
    <w:charset w:val="86"/>
    <w:family w:val="auto"/>
    <w:pitch w:val="default"/>
    <w:sig w:usb0="A00002BF" w:usb1="184F6CFA" w:usb2="00000012" w:usb3="00000000" w:csb0="00040001" w:csb1="00000000"/>
  </w:font>
  <w:font w:name="方正小标宋简体">
    <w:panose1 w:val="03000509000000000000"/>
    <w:charset w:val="86"/>
    <w:family w:val="script"/>
    <w:pitch w:val="default"/>
    <w:sig w:usb0="00000001" w:usb1="080E0000" w:usb2="00000000" w:usb3="00000000" w:csb0="00040000" w:csb1="00000000"/>
    <w:embedRegular r:id="rId6" w:fontKey="{C84296E2-4AB5-41B6-B77F-568E429E3BE0}"/>
  </w:font>
  <w:font w:name="方正小标宋_GBK">
    <w:panose1 w:val="02000000000000000000"/>
    <w:charset w:val="86"/>
    <w:family w:val="auto"/>
    <w:pitch w:val="default"/>
    <w:sig w:usb0="A00002BF" w:usb1="38CF7CFA" w:usb2="00082016" w:usb3="00000000" w:csb0="00040001" w:csb1="00000000"/>
    <w:embedRegular r:id="rId7" w:fontKey="{12B388A9-48DE-4946-8A08-7DFCC442B67F}"/>
  </w:font>
  <w:font w:name="方正楷体_GBK">
    <w:panose1 w:val="02000000000000000000"/>
    <w:charset w:val="86"/>
    <w:family w:val="auto"/>
    <w:pitch w:val="default"/>
    <w:sig w:usb0="A00002BF" w:usb1="38CF7CFA" w:usb2="00082016" w:usb3="00000000" w:csb0="00040001" w:csb1="00000000"/>
    <w:embedRegular r:id="rId8" w:fontKey="{BD090FDE-93DF-4705-8FB3-76B15DEFBCED}"/>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9CB393"/>
    <w:multiLevelType w:val="singleLevel"/>
    <w:tmpl w:val="949CB393"/>
    <w:lvl w:ilvl="0" w:tentative="0">
      <w:start w:val="1"/>
      <w:numFmt w:val="decimal"/>
      <w:suff w:val="nothing"/>
      <w:lvlText w:val="（%1）"/>
      <w:lvlJc w:val="left"/>
    </w:lvl>
  </w:abstractNum>
  <w:abstractNum w:abstractNumId="1">
    <w:nsid w:val="971EDD9F"/>
    <w:multiLevelType w:val="singleLevel"/>
    <w:tmpl w:val="971EDD9F"/>
    <w:lvl w:ilvl="0" w:tentative="0">
      <w:start w:val="1"/>
      <w:numFmt w:val="decimal"/>
      <w:suff w:val="nothing"/>
      <w:lvlText w:val="%1、"/>
      <w:lvlJc w:val="left"/>
    </w:lvl>
  </w:abstractNum>
  <w:abstractNum w:abstractNumId="2">
    <w:nsid w:val="D88899E9"/>
    <w:multiLevelType w:val="singleLevel"/>
    <w:tmpl w:val="D88899E9"/>
    <w:lvl w:ilvl="0" w:tentative="0">
      <w:start w:val="2"/>
      <w:numFmt w:val="chineseCounting"/>
      <w:suff w:val="nothing"/>
      <w:lvlText w:val="（%1）"/>
      <w:lvlJc w:val="left"/>
      <w:rPr>
        <w:rFonts w:hint="eastAsia"/>
      </w:rPr>
    </w:lvl>
  </w:abstractNum>
  <w:abstractNum w:abstractNumId="3">
    <w:nsid w:val="FB6C89FC"/>
    <w:multiLevelType w:val="singleLevel"/>
    <w:tmpl w:val="FB6C89FC"/>
    <w:lvl w:ilvl="0" w:tentative="0">
      <w:start w:val="2"/>
      <w:numFmt w:val="chineseCounting"/>
      <w:suff w:val="nothing"/>
      <w:lvlText w:val="（%1）"/>
      <w:lvlJc w:val="left"/>
      <w:rPr>
        <w:rFonts w:hint="eastAsia"/>
      </w:rPr>
    </w:lvl>
  </w:abstractNum>
  <w:abstractNum w:abstractNumId="4">
    <w:nsid w:val="07C9C229"/>
    <w:multiLevelType w:val="singleLevel"/>
    <w:tmpl w:val="07C9C229"/>
    <w:lvl w:ilvl="0" w:tentative="0">
      <w:start w:val="1"/>
      <w:numFmt w:val="decimal"/>
      <w:suff w:val="nothing"/>
      <w:lvlText w:val="（%1）"/>
      <w:lvlJc w:val="left"/>
    </w:lvl>
  </w:abstractNum>
  <w:abstractNum w:abstractNumId="5">
    <w:nsid w:val="1C5030F3"/>
    <w:multiLevelType w:val="singleLevel"/>
    <w:tmpl w:val="1C5030F3"/>
    <w:lvl w:ilvl="0" w:tentative="0">
      <w:start w:val="2"/>
      <w:numFmt w:val="chineseCounting"/>
      <w:suff w:val="nothing"/>
      <w:lvlText w:val="（%1）"/>
      <w:lvlJc w:val="left"/>
      <w:rPr>
        <w:rFonts w:hint="eastAsia"/>
      </w:rPr>
    </w:lvl>
  </w:abstractNum>
  <w:abstractNum w:abstractNumId="6">
    <w:nsid w:val="38BAD117"/>
    <w:multiLevelType w:val="singleLevel"/>
    <w:tmpl w:val="38BAD117"/>
    <w:lvl w:ilvl="0" w:tentative="0">
      <w:start w:val="2"/>
      <w:numFmt w:val="decimal"/>
      <w:suff w:val="nothing"/>
      <w:lvlText w:val="（%1）"/>
      <w:lvlJc w:val="left"/>
    </w:lvl>
  </w:abstractNum>
  <w:abstractNum w:abstractNumId="7">
    <w:nsid w:val="486ACBF8"/>
    <w:multiLevelType w:val="singleLevel"/>
    <w:tmpl w:val="486ACBF8"/>
    <w:lvl w:ilvl="0" w:tentative="0">
      <w:start w:val="2"/>
      <w:numFmt w:val="decimal"/>
      <w:suff w:val="nothing"/>
      <w:lvlText w:val="（%1）"/>
      <w:lvlJc w:val="left"/>
    </w:lvl>
  </w:abstractNum>
  <w:abstractNum w:abstractNumId="8">
    <w:nsid w:val="74828D20"/>
    <w:multiLevelType w:val="singleLevel"/>
    <w:tmpl w:val="74828D20"/>
    <w:lvl w:ilvl="0" w:tentative="0">
      <w:start w:val="1"/>
      <w:numFmt w:val="decimal"/>
      <w:suff w:val="nothing"/>
      <w:lvlText w:val="（%1）"/>
      <w:lvlJc w:val="left"/>
    </w:lvl>
  </w:abstractNum>
  <w:num w:numId="1">
    <w:abstractNumId w:val="2"/>
  </w:num>
  <w:num w:numId="2">
    <w:abstractNumId w:val="3"/>
  </w:num>
  <w:num w:numId="3">
    <w:abstractNumId w:val="4"/>
  </w:num>
  <w:num w:numId="4">
    <w:abstractNumId w:val="8"/>
  </w:num>
  <w:num w:numId="5">
    <w:abstractNumId w:val="0"/>
  </w:num>
  <w:num w:numId="6">
    <w:abstractNumId w:val="6"/>
  </w:num>
  <w:num w:numId="7">
    <w:abstractNumId w:val="1"/>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4E2F6D"/>
    <w:rsid w:val="06B61066"/>
    <w:rsid w:val="09C32988"/>
    <w:rsid w:val="12143DAD"/>
    <w:rsid w:val="15FC55A2"/>
    <w:rsid w:val="17142866"/>
    <w:rsid w:val="20177511"/>
    <w:rsid w:val="225C2514"/>
    <w:rsid w:val="23D44F79"/>
    <w:rsid w:val="2A644032"/>
    <w:rsid w:val="2BC41526"/>
    <w:rsid w:val="30667A24"/>
    <w:rsid w:val="35595F8F"/>
    <w:rsid w:val="364A6F3B"/>
    <w:rsid w:val="3934504B"/>
    <w:rsid w:val="3AB1551E"/>
    <w:rsid w:val="42DE3B62"/>
    <w:rsid w:val="476B6BD2"/>
    <w:rsid w:val="486C2C02"/>
    <w:rsid w:val="4A496A31"/>
    <w:rsid w:val="4B1C1A2F"/>
    <w:rsid w:val="4D394083"/>
    <w:rsid w:val="4DC4528E"/>
    <w:rsid w:val="54497D6E"/>
    <w:rsid w:val="57DF67DE"/>
    <w:rsid w:val="5CB5471F"/>
    <w:rsid w:val="61D45648"/>
    <w:rsid w:val="67636EEB"/>
    <w:rsid w:val="69116DCE"/>
    <w:rsid w:val="694A0726"/>
    <w:rsid w:val="69675EB2"/>
    <w:rsid w:val="69967687"/>
    <w:rsid w:val="6FB76632"/>
    <w:rsid w:val="72A91BA0"/>
    <w:rsid w:val="7BD849B9"/>
    <w:rsid w:val="7EA333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78" w:lineRule="exact"/>
      <w:ind w:firstLine="1440" w:firstLineChars="200"/>
      <w:jc w:val="both"/>
    </w:pPr>
    <w:rPr>
      <w:rFonts w:ascii="Times New Roman" w:hAnsi="Times New Roman" w:eastAsia="方正仿宋_GB2312" w:cs="Times New Roman"/>
      <w:kern w:val="2"/>
      <w:sz w:val="32"/>
      <w:szCs w:val="24"/>
      <w:lang w:val="en-US" w:eastAsia="zh-CN" w:bidi="ar-SA"/>
    </w:rPr>
  </w:style>
  <w:style w:type="paragraph" w:styleId="3">
    <w:name w:val="heading 1"/>
    <w:basedOn w:val="1"/>
    <w:next w:val="1"/>
    <w:qFormat/>
    <w:uiPriority w:val="0"/>
    <w:pPr>
      <w:keepNext w:val="0"/>
      <w:keepLines w:val="0"/>
      <w:spacing w:beforeLines="0" w:beforeAutospacing="0" w:afterLines="0" w:afterAutospacing="0" w:line="578" w:lineRule="exact"/>
      <w:outlineLvl w:val="0"/>
    </w:pPr>
    <w:rPr>
      <w:rFonts w:ascii="黑体" w:hAnsi="黑体" w:eastAsia="黑体" w:cs="Times New Roman"/>
      <w:kern w:val="44"/>
    </w:rPr>
  </w:style>
  <w:style w:type="paragraph" w:styleId="4">
    <w:name w:val="heading 2"/>
    <w:basedOn w:val="1"/>
    <w:next w:val="1"/>
    <w:unhideWhenUsed/>
    <w:qFormat/>
    <w:uiPriority w:val="0"/>
    <w:pPr>
      <w:keepNext w:val="0"/>
      <w:keepLines w:val="0"/>
      <w:spacing w:beforeLines="0" w:beforeAutospacing="0" w:afterLines="0" w:afterAutospacing="0" w:line="578" w:lineRule="exact"/>
      <w:outlineLvl w:val="1"/>
    </w:pPr>
    <w:rPr>
      <w:rFonts w:ascii="楷体_GB2312" w:hAnsi="楷体_GB2312" w:eastAsia="楷体_GB2312"/>
    </w:rPr>
  </w:style>
  <w:style w:type="paragraph" w:styleId="5">
    <w:name w:val="heading 3"/>
    <w:basedOn w:val="1"/>
    <w:next w:val="1"/>
    <w:unhideWhenUsed/>
    <w:qFormat/>
    <w:uiPriority w:val="0"/>
    <w:pPr>
      <w:keepNext w:val="0"/>
      <w:keepLines w:val="0"/>
      <w:spacing w:beforeLines="0" w:beforeAutospacing="0" w:afterLines="0" w:afterAutospacing="0" w:line="578" w:lineRule="exact"/>
      <w:outlineLvl w:val="2"/>
    </w:pPr>
    <w:rPr>
      <w:rFonts w:ascii="仿宋_GB2312" w:hAnsi="仿宋_GB2312"/>
    </w:rPr>
  </w:style>
  <w:style w:type="paragraph" w:styleId="6">
    <w:name w:val="heading 4"/>
    <w:basedOn w:val="1"/>
    <w:next w:val="1"/>
    <w:unhideWhenUsed/>
    <w:qFormat/>
    <w:uiPriority w:val="0"/>
    <w:pPr>
      <w:keepNext w:val="0"/>
      <w:keepLines w:val="0"/>
      <w:spacing w:beforeLines="0" w:beforeAutospacing="0" w:afterLines="0" w:afterAutospacing="0" w:line="578" w:lineRule="exact"/>
      <w:outlineLvl w:val="3"/>
    </w:pPr>
  </w:style>
  <w:style w:type="paragraph" w:styleId="7">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10">
    <w:name w:val="Default Paragraph Font"/>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8">
    <w:name w:val="footnote text"/>
    <w:qFormat/>
    <w:uiPriority w:val="0"/>
    <w:pPr>
      <w:widowControl w:val="0"/>
      <w:snapToGrid w:val="0"/>
      <w:jc w:val="left"/>
    </w:pPr>
    <w:rPr>
      <w:rFonts w:ascii="Times New Roman" w:hAnsi="Times New Roman" w:eastAsia="宋体" w:cs="Times New Roman"/>
      <w:kern w:val="2"/>
      <w:sz w:val="18"/>
      <w:szCs w:val="24"/>
      <w:lang w:val="en-US" w:eastAsia="zh-CN" w:bidi="ar-SA"/>
    </w:rPr>
  </w:style>
  <w:style w:type="paragraph" w:customStyle="1" w:styleId="11">
    <w:name w:val="附件标题1"/>
    <w:basedOn w:val="1"/>
    <w:next w:val="1"/>
    <w:qFormat/>
    <w:uiPriority w:val="0"/>
    <w:pPr>
      <w:keepNext/>
      <w:keepLines/>
      <w:jc w:val="left"/>
      <w:outlineLvl w:val="9"/>
    </w:pPr>
    <w:rPr>
      <w:rFonts w:eastAsia="方正黑体_GBK" w:asciiTheme="majorAscii" w:hAnsiTheme="majorAscii" w:cstheme="majorBidi"/>
      <w:bCs/>
      <w:szCs w:val="32"/>
      <w:lang w:val="zh-CN"/>
    </w:rPr>
  </w:style>
  <w:style w:type="paragraph" w:customStyle="1" w:styleId="12">
    <w:name w:val="附件标题2"/>
    <w:basedOn w:val="1"/>
    <w:next w:val="1"/>
    <w:qFormat/>
    <w:uiPriority w:val="0"/>
    <w:pPr>
      <w:keepNext/>
      <w:keepLines/>
      <w:jc w:val="left"/>
      <w:outlineLvl w:val="9"/>
    </w:pPr>
    <w:rPr>
      <w:rFonts w:ascii="Times New Roman" w:hAnsi="Times New Roman" w:eastAsia="方正楷体_GB2312"/>
      <w:bCs/>
      <w:szCs w:val="32"/>
      <w:lang w:val="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2.bin"/><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3.emf"/><Relationship Id="rId10" Type="http://schemas.openxmlformats.org/officeDocument/2006/relationships/oleObject" Target="embeddings/oleObject3.bin"/><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5118</Words>
  <Characters>5483</Characters>
  <Lines>0</Lines>
  <Paragraphs>0</Paragraphs>
  <TotalTime>7</TotalTime>
  <ScaleCrop>false</ScaleCrop>
  <LinksUpToDate>false</LinksUpToDate>
  <CharactersWithSpaces>5483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2024-04-08T02:58:00Z</dcterms:created>
  <dc:creator>Administrator</dc:creator>
  <cp:lastModifiedBy>熊某某</cp:lastModifiedBy>
  <dcterms:modified xsi:type="dcterms:W3CDTF">2025-10-16T04:33:10Z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2DD508777722463BA61CBCC5E45E9C3A_12</vt:lpwstr>
  </property>
  <property fmtid="{D5CDD505-2E9C-101B-9397-08002B2CF9AE}" pid="4" name="KSOTemplateDocerSaveRecord">
    <vt:lpwstr>eyJoZGlkIjoiMDdiZDYxYmE0NDRjMTYxNWNlOTQ2ODU0ZDI1ODZjMzEiLCJ1c2VySWQiOiIxMDUwNzQ5MTE2In0=</vt:lpwstr>
  </property>
</Properties>
</file>