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2"/>
        <w:gridCol w:w="874"/>
        <w:gridCol w:w="1109"/>
        <w:gridCol w:w="1244"/>
        <w:gridCol w:w="620"/>
        <w:gridCol w:w="870"/>
        <w:gridCol w:w="855"/>
        <w:gridCol w:w="750"/>
        <w:gridCol w:w="1502"/>
      </w:tblGrid>
      <w:tr w14:paraId="70E4CA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03947AF5">
            <w:pPr>
              <w:widowControl/>
              <w:spacing w:line="360" w:lineRule="auto"/>
              <w:ind w:firstLine="3600" w:firstLineChars="900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/>
              </w:rPr>
              <w:t>2024年度</w:t>
            </w:r>
          </w:p>
          <w:p w14:paraId="43640659">
            <w:pPr>
              <w:widowControl/>
              <w:spacing w:line="36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专项预算项目绩效目标完成情况自评表</w:t>
            </w:r>
          </w:p>
        </w:tc>
      </w:tr>
      <w:tr w14:paraId="05430E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24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E60E7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75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FD6B1">
            <w:pPr>
              <w:spacing w:line="36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运转资金项目</w:t>
            </w:r>
          </w:p>
        </w:tc>
      </w:tr>
      <w:tr w14:paraId="08376C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24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B9BD1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预算单位</w:t>
            </w:r>
          </w:p>
        </w:tc>
        <w:tc>
          <w:tcPr>
            <w:tcW w:w="275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E3CEC">
            <w:pPr>
              <w:spacing w:line="36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渠县中滩镇第二学校</w:t>
            </w:r>
          </w:p>
        </w:tc>
      </w:tr>
      <w:tr w14:paraId="6555AD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24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C0CAA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275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77144"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行政运转</w:t>
            </w:r>
          </w:p>
        </w:tc>
      </w:tr>
      <w:tr w14:paraId="67CF19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C78D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项目 概况</w:t>
            </w:r>
          </w:p>
        </w:tc>
        <w:tc>
          <w:tcPr>
            <w:tcW w:w="1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202E2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中长期规划（名称、文号，仅指常年项目）</w:t>
            </w:r>
          </w:p>
        </w:tc>
        <w:tc>
          <w:tcPr>
            <w:tcW w:w="275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AEBA4"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AA436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DAD2F">
            <w:pPr>
              <w:spacing w:line="36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6455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资金管理办法（名称、文号）</w:t>
            </w:r>
          </w:p>
        </w:tc>
        <w:tc>
          <w:tcPr>
            <w:tcW w:w="275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A6A7E"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《关于安排2021年秋季公用经费的通知》（渠财科教〔2021〕0209号）</w:t>
            </w:r>
          </w:p>
        </w:tc>
      </w:tr>
      <w:tr w14:paraId="68A693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C4AC5">
            <w:pPr>
              <w:spacing w:line="36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18860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绩效分配方式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6E25">
            <w:pPr>
              <w:widowControl/>
              <w:spacing w:line="360" w:lineRule="auto"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4"/>
                <w:szCs w:val="24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szCs w:val="24"/>
              </w:rPr>
              <w:t>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因素法</w:t>
            </w:r>
          </w:p>
        </w:tc>
        <w:tc>
          <w:tcPr>
            <w:tcW w:w="10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C7603">
            <w:pPr>
              <w:widowControl/>
              <w:spacing w:line="360" w:lineRule="auto"/>
              <w:jc w:val="center"/>
              <w:textAlignment w:val="center"/>
              <w:rPr>
                <w:rFonts w:ascii="Wingdings 2" w:hAnsi="Wingdings 2" w:eastAsia="Wingdings 2" w:cs="Wingdings 2"/>
                <w:color w:val="000000"/>
                <w:sz w:val="24"/>
                <w:szCs w:val="24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szCs w:val="24"/>
              </w:rPr>
              <w:t>项目法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38EA5">
            <w:pPr>
              <w:widowControl/>
              <w:spacing w:line="360" w:lineRule="auto"/>
              <w:jc w:val="center"/>
              <w:textAlignment w:val="center"/>
              <w:rPr>
                <w:rFonts w:ascii="Wingdings 2" w:hAnsi="Wingdings 2" w:eastAsia="Wingdings 2" w:cs="Wingdings 2"/>
                <w:color w:val="000000"/>
                <w:sz w:val="24"/>
                <w:szCs w:val="24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szCs w:val="24"/>
              </w:rPr>
              <w:sym w:font="Wingdings 2" w:char="F052"/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据实据效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848EC">
            <w:pPr>
              <w:widowControl/>
              <w:spacing w:line="360" w:lineRule="auto"/>
              <w:jc w:val="center"/>
              <w:textAlignment w:val="center"/>
              <w:rPr>
                <w:rFonts w:ascii="Wingdings 2" w:hAnsi="Wingdings 2" w:eastAsia="Wingdings 2" w:cs="Wingdings 2"/>
                <w:color w:val="000000"/>
                <w:sz w:val="24"/>
                <w:szCs w:val="24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szCs w:val="24"/>
              </w:rPr>
              <w:sym w:font="Wingdings 2" w:char="0052"/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因素法与项目法相结合</w:t>
            </w:r>
          </w:p>
        </w:tc>
      </w:tr>
      <w:tr w14:paraId="58701F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D34E6">
            <w:pPr>
              <w:spacing w:line="36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E021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立项依据</w:t>
            </w:r>
          </w:p>
        </w:tc>
        <w:tc>
          <w:tcPr>
            <w:tcW w:w="275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E253E"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《四川省财政厅 四川省教育厅关于下达2021年第一批中央和省级教育补助资金预算的通知》(川财教〔2023〕34号)</w:t>
            </w:r>
          </w:p>
        </w:tc>
      </w:tr>
      <w:tr w14:paraId="20E5DB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CEB21">
            <w:pPr>
              <w:spacing w:line="36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5F4D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使用范围</w:t>
            </w:r>
          </w:p>
        </w:tc>
        <w:tc>
          <w:tcPr>
            <w:tcW w:w="275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4D6AA"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保障日常运转</w:t>
            </w:r>
          </w:p>
        </w:tc>
      </w:tr>
      <w:tr w14:paraId="570D2E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BC329">
            <w:pPr>
              <w:spacing w:line="36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C979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项目起止年限</w:t>
            </w:r>
          </w:p>
        </w:tc>
        <w:tc>
          <w:tcPr>
            <w:tcW w:w="275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3ECCD">
            <w:pPr>
              <w:spacing w:line="36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2021年度</w:t>
            </w:r>
          </w:p>
        </w:tc>
      </w:tr>
      <w:tr w14:paraId="4E5EB4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831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6F7B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项目资金</w:t>
            </w:r>
          </w:p>
          <w:p w14:paraId="620174E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4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87D2C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年度资金总额：</w:t>
            </w:r>
          </w:p>
        </w:tc>
        <w:tc>
          <w:tcPr>
            <w:tcW w:w="275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D2C46">
            <w:pPr>
              <w:spacing w:line="360" w:lineRule="auto"/>
              <w:jc w:val="righ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6.75</w:t>
            </w:r>
          </w:p>
        </w:tc>
      </w:tr>
      <w:tr w14:paraId="523BBD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83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A8AF2">
            <w:pPr>
              <w:spacing w:line="36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95AFF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其中：财政拨款</w:t>
            </w:r>
          </w:p>
        </w:tc>
        <w:tc>
          <w:tcPr>
            <w:tcW w:w="275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2E3AC">
            <w:pPr>
              <w:spacing w:line="360" w:lineRule="auto"/>
              <w:jc w:val="righ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6.75</w:t>
            </w:r>
          </w:p>
        </w:tc>
      </w:tr>
      <w:tr w14:paraId="052BE5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83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B4F39">
            <w:pPr>
              <w:spacing w:line="36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458B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其他资金</w:t>
            </w:r>
          </w:p>
        </w:tc>
        <w:tc>
          <w:tcPr>
            <w:tcW w:w="275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C91E7">
            <w:pPr>
              <w:spacing w:line="360" w:lineRule="auto"/>
              <w:jc w:val="righ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7AA2E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7FF8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总体 目标</w:t>
            </w:r>
          </w:p>
        </w:tc>
        <w:tc>
          <w:tcPr>
            <w:tcW w:w="469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86B8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年度目标</w:t>
            </w:r>
          </w:p>
        </w:tc>
      </w:tr>
      <w:tr w14:paraId="27DD1D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7A573">
            <w:pPr>
              <w:spacing w:line="36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69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7B970">
            <w:pPr>
              <w:spacing w:line="36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提高预算编制质量，严格执行预算，保障单位日常运转</w:t>
            </w:r>
          </w:p>
        </w:tc>
      </w:tr>
      <w:tr w14:paraId="34E967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77005E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绩效 指标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E9E7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761E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AB85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93B9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指标性质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C7C3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指标值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1A93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度量单位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BF81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权重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1806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实际完成指标值</w:t>
            </w:r>
          </w:p>
        </w:tc>
      </w:tr>
      <w:tr w14:paraId="3583CF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5B854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2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E5E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C15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7C1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科目调整次数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5EA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≤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717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69F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4F214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D7C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lang w:val="en-US" w:eastAsia="zh-CN"/>
              </w:rPr>
              <w:t>0</w:t>
            </w:r>
          </w:p>
        </w:tc>
      </w:tr>
      <w:tr w14:paraId="31373B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035E1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E35E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A0B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B44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预算编制准确率（计算方法为：∣（执行数-预算数）/预算数∣）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9F6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≤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F16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70D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98163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FEE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lang w:val="en-US" w:eastAsia="zh-CN"/>
              </w:rPr>
              <w:t>0</w:t>
            </w:r>
          </w:p>
        </w:tc>
      </w:tr>
      <w:tr w14:paraId="005F84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F77A5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2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386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F81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23D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“三公经费”控制率[计算方法为：（三公经费实际支出数/预算安排数]×100%）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AF7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≤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5AC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CDE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BEDBA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00CB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lang w:val="en-US" w:eastAsia="zh-CN"/>
              </w:rPr>
              <w:t>100</w:t>
            </w:r>
          </w:p>
        </w:tc>
      </w:tr>
      <w:tr w14:paraId="4F3A96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D3B60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5CF6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745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8C5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运转保障率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511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＝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17B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E09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DEEEA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0140B">
            <w:pPr>
              <w:widowControl/>
              <w:jc w:val="center"/>
              <w:textAlignment w:val="center"/>
              <w:rPr>
                <w:rFonts w:hint="eastAsia" w:ascii="宋体" w:hAnsi="宋体" w:eastAsia="微软雅黑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</w:rPr>
              <w:t>10</w:t>
            </w: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lang w:val="en-US" w:eastAsia="zh-CN"/>
              </w:rPr>
              <w:t>0</w:t>
            </w:r>
          </w:p>
        </w:tc>
      </w:tr>
    </w:tbl>
    <w:p w14:paraId="6A754A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D0377C"/>
    <w:rsid w:val="76D037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2025-10-16T02:11:00Z</dcterms:created>
  <dc:creator>南乡人</dc:creator>
  <cp:lastModifiedBy>南乡人</cp:lastModifiedBy>
  <dcterms:modified xsi:type="dcterms:W3CDTF">2025-10-16T02:13:03Z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E00E1A50302F4248B9353C931D83730E_11</vt:lpwstr>
  </property>
  <property fmtid="{D5CDD505-2E9C-101B-9397-08002B2CF9AE}" pid="4" name="KSOTemplateDocerSaveRecord">
    <vt:lpwstr>eyJoZGlkIjoiM2IyMjE1NGYwNzExNzAxODE4MDNlMzYyOTU3NWNmNjQiLCJ1c2VySWQiOiI0NzQ2NTQ5OTMifQ==</vt:lpwstr>
  </property>
</Properties>
</file>