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7398">
      <w:pPr>
        <w:keepNext w:val="0"/>
        <w:keepLines w:val="0"/>
        <w:pageBreakBefore w:val="0"/>
        <w:kinsoku/>
        <w:wordWrap/>
        <w:overflowPunct/>
        <w:topLinePunct w:val="0"/>
        <w:autoSpaceDE/>
        <w:autoSpaceDN/>
        <w:bidi w:val="0"/>
        <w:spacing w:line="578" w:lineRule="exact"/>
        <w:contextualSpacing/>
        <w:jc w:val="both"/>
        <w:textAlignment w:val="auto"/>
        <w:outlineLvl w:val="9"/>
        <w:rPr>
          <w:rFonts w:hint="eastAsia" w:ascii="方正小标宋_GBK" w:hAnsi="方正小标宋_GBK" w:eastAsia="方正小标宋_GBK" w:cs="方正小标宋_GBK"/>
          <w:sz w:val="44"/>
          <w:szCs w:val="44"/>
          <w:highlight w:val="none"/>
          <w:lang w:val="en-US" w:eastAsia="zh-CN"/>
        </w:rPr>
      </w:pPr>
    </w:p>
    <w:p w14:paraId="2E8D5038">
      <w:pPr>
        <w:keepNext w:val="0"/>
        <w:keepLines w:val="0"/>
        <w:pageBreakBefore w:val="0"/>
        <w:kinsoku/>
        <w:wordWrap/>
        <w:overflowPunct/>
        <w:topLinePunct w:val="0"/>
        <w:autoSpaceDE/>
        <w:autoSpaceDN/>
        <w:bidi w:val="0"/>
        <w:spacing w:line="578" w:lineRule="exact"/>
        <w:contextualSpacing/>
        <w:jc w:val="center"/>
        <w:textAlignment w:val="auto"/>
        <w:outlineLvl w:val="9"/>
        <w:rPr>
          <w:rFonts w:hint="eastAsia" w:ascii="方正仿宋_GBK" w:hAnsi="方正仿宋_GBK" w:eastAsia="方正仿宋_GBK" w:cs="方正仿宋_GBK"/>
          <w:color w:val="000000"/>
          <w:kern w:val="0"/>
          <w:sz w:val="32"/>
          <w:szCs w:val="32"/>
          <w:highlight w:val="none"/>
          <w:shd w:val="clear" w:color="auto" w:fill="FFFFFF"/>
        </w:rPr>
      </w:pPr>
      <w:r>
        <w:rPr>
          <w:rFonts w:hint="eastAsia" w:ascii="方正小标宋_GBK" w:hAnsi="方正小标宋_GBK" w:eastAsia="方正小标宋_GBK" w:cs="方正小标宋_GBK"/>
          <w:sz w:val="44"/>
          <w:szCs w:val="44"/>
          <w:highlight w:val="none"/>
          <w:lang w:val="en-US" w:eastAsia="zh-CN"/>
        </w:rPr>
        <w:t>部门预算绩效评价报告</w:t>
      </w:r>
    </w:p>
    <w:p w14:paraId="161F4D3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方正黑体_GBK" w:hAnsi="方正黑体_GBK" w:eastAsia="方正黑体_GBK" w:cs="方正黑体_GBK"/>
          <w:color w:val="000000"/>
          <w:kern w:val="0"/>
          <w:szCs w:val="32"/>
          <w:highlight w:val="none"/>
          <w:shd w:val="clear" w:color="auto" w:fill="FFFFFF"/>
          <w:lang w:val="zh-CN"/>
        </w:rPr>
      </w:pPr>
    </w:p>
    <w:p w14:paraId="0FE6332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方正黑体_GBK" w:hAnsi="方正黑体_GBK" w:eastAsia="方正黑体_GBK" w:cs="方正黑体_GBK"/>
          <w:szCs w:val="32"/>
        </w:rPr>
      </w:pPr>
      <w:r>
        <w:rPr>
          <w:rFonts w:hint="eastAsia" w:ascii="方正黑体_GBK" w:hAnsi="方正黑体_GBK" w:eastAsia="方正黑体_GBK" w:cs="方正黑体_GBK"/>
          <w:color w:val="000000"/>
          <w:kern w:val="0"/>
          <w:szCs w:val="32"/>
          <w:highlight w:val="none"/>
          <w:shd w:val="clear" w:color="auto" w:fill="FFFFFF"/>
          <w:lang w:val="zh-CN"/>
        </w:rPr>
        <w:t>一、部门基本情况</w:t>
      </w:r>
    </w:p>
    <w:p w14:paraId="747A34E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szCs w:val="32"/>
        </w:rPr>
      </w:pPr>
      <w:r>
        <w:rPr>
          <w:rFonts w:hint="eastAsia" w:eastAsia="楷体_GB2312" w:cs="Times New Roman"/>
          <w:b/>
          <w:bCs/>
          <w:color w:val="000000"/>
          <w:kern w:val="0"/>
          <w:szCs w:val="32"/>
          <w:highlight w:val="none"/>
          <w:shd w:val="clear" w:color="auto" w:fill="FFFFFF"/>
          <w:lang w:val="zh-CN"/>
        </w:rPr>
        <w:t>（一）</w:t>
      </w:r>
      <w:r>
        <w:rPr>
          <w:rFonts w:hint="default" w:ascii="Times New Roman" w:hAnsi="Times New Roman" w:eastAsia="楷体_GB2312" w:cs="Times New Roman"/>
          <w:b/>
          <w:bCs/>
          <w:color w:val="000000"/>
          <w:kern w:val="0"/>
          <w:szCs w:val="32"/>
          <w:highlight w:val="none"/>
          <w:shd w:val="clear" w:color="auto" w:fill="FFFFFF"/>
          <w:lang w:val="zh-CN"/>
        </w:rPr>
        <w:t>机构组成。</w:t>
      </w:r>
      <w:r>
        <w:rPr>
          <w:rFonts w:hint="eastAsia" w:ascii="Times New Roman" w:hAnsi="Times New Roman" w:eastAsia="方正仿宋_GBK" w:cs="Times New Roman"/>
          <w:b w:val="0"/>
          <w:i w:val="0"/>
          <w:strike w:val="0"/>
          <w:color w:val="000000"/>
          <w:sz w:val="32"/>
          <w:szCs w:val="32"/>
          <w:lang w:val="en-US" w:eastAsia="zh-CN"/>
        </w:rPr>
        <w:t>2023</w:t>
      </w:r>
      <w:r>
        <w:rPr>
          <w:rFonts w:hint="eastAsia" w:ascii="方正仿宋_GBK" w:hAnsi="方正仿宋_GBK" w:eastAsia="方正仿宋_GBK" w:cs="方正仿宋_GBK"/>
          <w:b w:val="0"/>
          <w:i w:val="0"/>
          <w:strike w:val="0"/>
          <w:color w:val="000000"/>
          <w:sz w:val="32"/>
          <w:szCs w:val="32"/>
          <w:lang w:val="en-US" w:eastAsia="zh-CN"/>
        </w:rPr>
        <w:t>年</w:t>
      </w:r>
      <w:r>
        <w:rPr>
          <w:rFonts w:hint="default" w:ascii="方正仿宋_GBK" w:hAnsi="方正仿宋_GBK" w:eastAsia="方正仿宋_GBK" w:cs="方正仿宋_GBK"/>
          <w:b w:val="0"/>
          <w:i w:val="0"/>
          <w:strike w:val="0"/>
          <w:color w:val="000000"/>
          <w:sz w:val="32"/>
          <w:szCs w:val="32"/>
          <w:lang w:val="en-US" w:eastAsia="zh-CN"/>
        </w:rPr>
        <w:t>，</w:t>
      </w:r>
      <w:r>
        <w:rPr>
          <w:rFonts w:hint="eastAsia" w:ascii="方正仿宋_GBK" w:hAnsi="方正仿宋_GBK" w:eastAsia="方正仿宋_GBK" w:cs="方正仿宋_GBK"/>
          <w:b w:val="0"/>
          <w:i w:val="0"/>
          <w:strike w:val="0"/>
          <w:color w:val="000000"/>
          <w:sz w:val="32"/>
          <w:szCs w:val="32"/>
          <w:lang w:val="en-US" w:eastAsia="zh-CN"/>
        </w:rPr>
        <w:t>县大数据中心是县政府直属的正科级公益一类事业单位，内设办公室（党建办）、建设管理股、数据资源股、规划设计股</w:t>
      </w:r>
      <w:r>
        <w:rPr>
          <w:rFonts w:hint="eastAsia" w:ascii="Times New Roman" w:hAnsi="Times New Roman" w:eastAsia="方正仿宋_GBK" w:cs="Times New Roman"/>
          <w:b w:val="0"/>
          <w:i w:val="0"/>
          <w:strike w:val="0"/>
          <w:color w:val="000000"/>
          <w:sz w:val="32"/>
          <w:szCs w:val="32"/>
          <w:lang w:val="en-US" w:eastAsia="zh-CN"/>
        </w:rPr>
        <w:t>4</w:t>
      </w:r>
      <w:r>
        <w:rPr>
          <w:rFonts w:hint="eastAsia" w:ascii="方正仿宋_GBK" w:hAnsi="方正仿宋_GBK" w:eastAsia="方正仿宋_GBK" w:cs="方正仿宋_GBK"/>
          <w:b w:val="0"/>
          <w:i w:val="0"/>
          <w:strike w:val="0"/>
          <w:color w:val="000000"/>
          <w:sz w:val="32"/>
          <w:szCs w:val="32"/>
          <w:lang w:val="en-US" w:eastAsia="zh-CN"/>
        </w:rPr>
        <w:t>个股室</w:t>
      </w:r>
      <w:r>
        <w:rPr>
          <w:rFonts w:hint="eastAsia" w:cs="Times New Roman"/>
          <w:szCs w:val="32"/>
          <w:lang w:val="en-US" w:eastAsia="zh-CN"/>
        </w:rPr>
        <w:t>。</w:t>
      </w:r>
    </w:p>
    <w:p w14:paraId="5F0F1EC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方正仿宋_GBK" w:hAnsi="方正仿宋_GBK" w:eastAsia="方正仿宋_GBK" w:cs="方正仿宋_GBK"/>
          <w:b w:val="0"/>
          <w:i w:val="0"/>
          <w:strike w:val="0"/>
          <w:color w:val="000000"/>
          <w:sz w:val="32"/>
          <w:szCs w:val="32"/>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rPr>
        <w:t>（二）机构职能</w:t>
      </w:r>
      <w:r>
        <w:rPr>
          <w:rFonts w:hint="eastAsia" w:eastAsia="楷体_GB2312" w:cs="Times New Roman"/>
          <w:b/>
          <w:bCs/>
          <w:color w:val="000000"/>
          <w:kern w:val="0"/>
          <w:szCs w:val="32"/>
          <w:highlight w:val="none"/>
          <w:shd w:val="clear" w:color="auto" w:fill="FFFFFF"/>
          <w:lang w:val="zh-CN"/>
        </w:rPr>
        <w:t>。</w:t>
      </w:r>
      <w:r>
        <w:rPr>
          <w:rFonts w:hint="eastAsia" w:ascii="方正仿宋_GBK" w:hAnsi="方正仿宋_GBK" w:eastAsia="方正仿宋_GBK" w:cs="方正仿宋_GBK"/>
          <w:b w:val="0"/>
          <w:i w:val="0"/>
          <w:strike w:val="0"/>
          <w:color w:val="000000"/>
          <w:sz w:val="32"/>
          <w:szCs w:val="32"/>
          <w:lang w:val="en-US" w:eastAsia="zh-CN"/>
        </w:rPr>
        <w:t>贯彻执行中央、省、市、县有关信息化建设、电子政务、电子商务和大数据资源管理运用的方针政策、法律法规和重大决策部署；拟订大数据资源管理运用规范性文件、工作流程并组织实施；指导全县大数据资源应用服务和管理相关工作；协调推进全县信息化、电子政务、电子商务、数字经济产业、智慧城市和大数据建设工作，为全县涉及大数据的电子政务、电子商务、信息化建设、数字经济产业和智慧城市的规划建设、组织实施、运行维护提供支撑服务；指导企业信息化、电子政务、电子商务和物联网发展；开展大数据、物联网、人工智能等新技术新模式研究应用；统筹协调信息基础设施建设的规划、管理，加快信息基础设施建设步伐，推进全县大数据发展应用的安全体系建设和安全保障工作；承担全县政府数据、公共数据、社会数据汇聚整合、互联互通、共享开放、应用融合等数据管理工作，负责全县大数据服务平台、大数据云地图、大数据云分析、云上渠县APP建设管理；负责全县大数据资源信息化领域的对外交流合作；会同有关部门做好全县大数据信息化人才培养等工作；受县人民政府或县经济和信息化局委托，负责县级部门信息化建设和公共数据管理应用项目的收集、审核、资金统筹、监督实施；受县人民政府或县经济和信息化局委托，提出全县信息化固定资产投资规模意见，组织信息化企业申报国家和省、市重点项目并监督实施；负责职责范围内的安全生产、职业健康、生态环境保护等工作；集中管理全县网络后台资源和服务，将县委、县政府和各个部门掌握的内网、外网、APP的后台维护和网络运行管理。</w:t>
      </w:r>
    </w:p>
    <w:p w14:paraId="29DDEFA5">
      <w:pPr>
        <w:spacing w:line="600" w:lineRule="exact"/>
        <w:ind w:firstLine="643" w:firstLineChars="200"/>
        <w:rPr>
          <w:rFonts w:hint="default" w:ascii="Times New Roman" w:hAnsi="Times New Roman" w:eastAsia="方正仿宋_GBK" w:cs="Times New Roman"/>
          <w:b w:val="0"/>
          <w:i w:val="0"/>
          <w:strike w:val="0"/>
          <w:color w:val="000000"/>
          <w:sz w:val="32"/>
          <w:szCs w:val="32"/>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）人员概况</w:t>
      </w:r>
      <w:r>
        <w:rPr>
          <w:rFonts w:hint="eastAsia" w:eastAsia="楷体_GB2312" w:cs="Times New Roman"/>
          <w:b/>
          <w:bCs/>
          <w:color w:val="000000"/>
          <w:kern w:val="0"/>
          <w:szCs w:val="32"/>
          <w:highlight w:val="none"/>
          <w:shd w:val="clear" w:color="auto" w:fill="FFFFFF"/>
          <w:lang w:val="zh-CN"/>
        </w:rPr>
        <w:t>。</w:t>
      </w:r>
      <w:r>
        <w:rPr>
          <w:rFonts w:hint="default" w:ascii="方正仿宋_GBK" w:hAnsi="方正仿宋_GBK" w:eastAsia="方正仿宋_GBK" w:cs="方正仿宋_GBK"/>
          <w:b w:val="0"/>
          <w:i w:val="0"/>
          <w:strike w:val="0"/>
          <w:color w:val="000000"/>
          <w:sz w:val="32"/>
          <w:szCs w:val="32"/>
          <w:lang w:val="en-US" w:eastAsia="zh-CN"/>
        </w:rPr>
        <w:t>截至</w:t>
      </w:r>
      <w:r>
        <w:rPr>
          <w:rFonts w:hint="default" w:ascii="Times New Roman" w:hAnsi="Times New Roman" w:eastAsia="方正仿宋_GBK" w:cs="Times New Roman"/>
          <w:b w:val="0"/>
          <w:i w:val="0"/>
          <w:strike w:val="0"/>
          <w:color w:val="000000"/>
          <w:sz w:val="32"/>
          <w:szCs w:val="32"/>
          <w:lang w:val="en-US" w:eastAsia="zh-CN"/>
        </w:rPr>
        <w:t>2023</w:t>
      </w:r>
      <w:r>
        <w:rPr>
          <w:rFonts w:hint="default" w:ascii="方正仿宋_GBK" w:hAnsi="方正仿宋_GBK" w:eastAsia="方正仿宋_GBK" w:cs="方正仿宋_GBK"/>
          <w:b w:val="0"/>
          <w:i w:val="0"/>
          <w:strike w:val="0"/>
          <w:color w:val="000000"/>
          <w:sz w:val="32"/>
          <w:szCs w:val="32"/>
          <w:lang w:val="en-US" w:eastAsia="zh-CN"/>
        </w:rPr>
        <w:t>年末，</w:t>
      </w:r>
      <w:r>
        <w:rPr>
          <w:rFonts w:hint="eastAsia" w:ascii="方正仿宋_GBK" w:hAnsi="方正仿宋_GBK" w:eastAsia="方正仿宋_GBK" w:cs="方正仿宋_GBK"/>
          <w:b w:val="0"/>
          <w:i w:val="0"/>
          <w:strike w:val="0"/>
          <w:color w:val="000000"/>
          <w:sz w:val="32"/>
          <w:szCs w:val="32"/>
          <w:lang w:val="en-US" w:eastAsia="zh-CN"/>
        </w:rPr>
        <w:t>县大数据中心编制总数</w:t>
      </w:r>
      <w:r>
        <w:rPr>
          <w:rFonts w:hint="default" w:ascii="Times New Roman" w:hAnsi="Times New Roman" w:eastAsia="方正仿宋_GBK" w:cs="Times New Roman"/>
          <w:b w:val="0"/>
          <w:i w:val="0"/>
          <w:strike w:val="0"/>
          <w:color w:val="000000"/>
          <w:sz w:val="32"/>
          <w:szCs w:val="32"/>
          <w:lang w:val="en-US" w:eastAsia="zh-CN"/>
        </w:rPr>
        <w:t>16人，其中事业编制15人，工勤编制1名。实际财政供养人员5人。</w:t>
      </w:r>
    </w:p>
    <w:p w14:paraId="06B82F9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方正黑体_GBK" w:hAnsi="方正黑体_GBK" w:eastAsia="方正黑体_GBK" w:cs="方正黑体_GBK"/>
          <w:color w:val="000000"/>
          <w:kern w:val="0"/>
          <w:szCs w:val="32"/>
          <w:highlight w:val="none"/>
          <w:shd w:val="clear" w:color="auto" w:fill="FFFFFF"/>
        </w:rPr>
      </w:pPr>
      <w:r>
        <w:rPr>
          <w:rFonts w:hint="eastAsia" w:ascii="方正黑体_GBK" w:hAnsi="方正黑体_GBK" w:eastAsia="方正黑体_GBK" w:cs="方正黑体_GBK"/>
          <w:color w:val="000000"/>
          <w:kern w:val="0"/>
          <w:szCs w:val="32"/>
          <w:highlight w:val="none"/>
          <w:shd w:val="clear" w:color="auto" w:fill="FFFFFF"/>
        </w:rPr>
        <w:t>二、</w:t>
      </w:r>
      <w:r>
        <w:rPr>
          <w:rFonts w:hint="eastAsia" w:ascii="方正黑体_GBK" w:hAnsi="方正黑体_GBK" w:eastAsia="方正黑体_GBK" w:cs="方正黑体_GBK"/>
          <w:color w:val="000000"/>
          <w:kern w:val="0"/>
          <w:szCs w:val="32"/>
          <w:highlight w:val="none"/>
          <w:shd w:val="clear" w:color="auto" w:fill="FFFFFF"/>
          <w:lang w:eastAsia="zh-CN"/>
        </w:rPr>
        <w:t>部门</w:t>
      </w:r>
      <w:r>
        <w:rPr>
          <w:rFonts w:hint="eastAsia" w:ascii="方正黑体_GBK" w:hAnsi="方正黑体_GBK" w:eastAsia="方正黑体_GBK" w:cs="方正黑体_GBK"/>
          <w:color w:val="000000"/>
          <w:kern w:val="0"/>
          <w:szCs w:val="32"/>
          <w:highlight w:val="none"/>
          <w:shd w:val="clear" w:color="auto" w:fill="FFFFFF"/>
        </w:rPr>
        <w:t>资金收支情况</w:t>
      </w:r>
    </w:p>
    <w:p w14:paraId="29CFE030">
      <w:pPr>
        <w:spacing w:line="600" w:lineRule="exact"/>
        <w:ind w:firstLine="643" w:firstLineChars="200"/>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收入情况</w:t>
      </w:r>
      <w:r>
        <w:rPr>
          <w:rFonts w:hint="default" w:ascii="Times New Roman" w:hAnsi="Times New Roman" w:eastAsia="楷体_GB2312" w:cs="Times New Roman"/>
          <w:b/>
          <w:bCs/>
          <w:color w:val="000000"/>
          <w:kern w:val="0"/>
          <w:szCs w:val="32"/>
          <w:highlight w:val="none"/>
          <w:shd w:val="clear" w:color="auto" w:fill="FFFFFF"/>
          <w:lang w:val="zh-CN"/>
        </w:rPr>
        <w:t>。</w:t>
      </w:r>
    </w:p>
    <w:p w14:paraId="0C667FDB">
      <w:pPr>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渠县大数据中心</w:t>
      </w:r>
      <w:r>
        <w:rPr>
          <w:rFonts w:hint="default" w:ascii="Times New Roman" w:hAnsi="Times New Roman" w:eastAsia="方正仿宋_GBK" w:cs="Times New Roman"/>
          <w:szCs w:val="32"/>
        </w:rPr>
        <w:t>2023年部门财政资金收入年初预算</w:t>
      </w:r>
      <w:r>
        <w:rPr>
          <w:rFonts w:hint="default" w:ascii="Times New Roman" w:hAnsi="Times New Roman" w:eastAsia="方正仿宋_GBK" w:cs="Times New Roman"/>
          <w:szCs w:val="32"/>
          <w:lang w:val="en-US" w:eastAsia="zh-CN"/>
        </w:rPr>
        <w:t>166.78</w:t>
      </w:r>
      <w:r>
        <w:rPr>
          <w:rFonts w:hint="default" w:ascii="Times New Roman" w:hAnsi="Times New Roman" w:eastAsia="方正仿宋_GBK" w:cs="Times New Roman"/>
          <w:szCs w:val="32"/>
        </w:rPr>
        <w:t>万元,中期调整增加</w:t>
      </w:r>
      <w:r>
        <w:rPr>
          <w:rFonts w:hint="default" w:ascii="Times New Roman" w:hAnsi="Times New Roman" w:eastAsia="方正仿宋_GBK" w:cs="Times New Roman"/>
          <w:szCs w:val="32"/>
          <w:lang w:val="en-US" w:eastAsia="zh-CN"/>
        </w:rPr>
        <w:t>60.61</w:t>
      </w:r>
      <w:r>
        <w:rPr>
          <w:rFonts w:hint="default" w:ascii="Times New Roman" w:hAnsi="Times New Roman" w:eastAsia="方正仿宋_GBK" w:cs="Times New Roman"/>
          <w:szCs w:val="32"/>
        </w:rPr>
        <w:t>万元，调整后财政资金预算收入</w:t>
      </w:r>
      <w:r>
        <w:rPr>
          <w:rFonts w:hint="default" w:ascii="Times New Roman" w:hAnsi="Times New Roman" w:eastAsia="方正仿宋_GBK" w:cs="Times New Roman"/>
          <w:szCs w:val="32"/>
          <w:lang w:val="en-US" w:eastAsia="zh-CN"/>
        </w:rPr>
        <w:t>227.39</w:t>
      </w:r>
      <w:r>
        <w:rPr>
          <w:rFonts w:hint="default" w:ascii="Times New Roman" w:hAnsi="Times New Roman" w:eastAsia="方正仿宋_GBK" w:cs="Times New Roman"/>
          <w:szCs w:val="32"/>
        </w:rPr>
        <w:t>万元，</w:t>
      </w:r>
      <w:r>
        <w:rPr>
          <w:rFonts w:hint="default" w:ascii="Times New Roman" w:hAnsi="Times New Roman" w:eastAsia="方正仿宋_GBK" w:cs="Times New Roman"/>
          <w:szCs w:val="32"/>
          <w:lang w:val="en-US" w:eastAsia="zh-CN"/>
        </w:rPr>
        <w:t>其中</w:t>
      </w:r>
      <w:r>
        <w:rPr>
          <w:rFonts w:hint="default" w:ascii="Times New Roman" w:hAnsi="Times New Roman" w:eastAsia="方正仿宋_GBK" w:cs="Times New Roman"/>
          <w:szCs w:val="32"/>
        </w:rPr>
        <w:t>一般公共预算收入</w:t>
      </w:r>
      <w:r>
        <w:rPr>
          <w:rFonts w:hint="default" w:ascii="Times New Roman" w:hAnsi="Times New Roman" w:eastAsia="方正仿宋_GBK" w:cs="Times New Roman"/>
          <w:szCs w:val="32"/>
          <w:lang w:val="en-US" w:eastAsia="zh-CN"/>
        </w:rPr>
        <w:t>197.39万元，占86.8%</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政府性基金预算财政拨款收入30万元，占13.2%。</w:t>
      </w:r>
      <w:r>
        <w:rPr>
          <w:rFonts w:hint="default" w:ascii="Times New Roman" w:hAnsi="Times New Roman" w:eastAsia="方正仿宋_GBK" w:cs="Times New Roman"/>
          <w:szCs w:val="32"/>
        </w:rPr>
        <w:t>按支出性质划分，其中：基本支出</w:t>
      </w:r>
      <w:r>
        <w:rPr>
          <w:rFonts w:hint="default" w:ascii="Times New Roman" w:hAnsi="Times New Roman" w:eastAsia="方正仿宋_GBK" w:cs="Times New Roman"/>
          <w:szCs w:val="32"/>
          <w:lang w:val="en-US" w:eastAsia="zh-CN"/>
        </w:rPr>
        <w:t>101.55</w:t>
      </w:r>
      <w:r>
        <w:rPr>
          <w:rFonts w:hint="default" w:ascii="Times New Roman" w:hAnsi="Times New Roman" w:eastAsia="方正仿宋_GBK" w:cs="Times New Roman"/>
          <w:szCs w:val="32"/>
        </w:rPr>
        <w:t>万元、项目支出</w:t>
      </w:r>
      <w:r>
        <w:rPr>
          <w:rFonts w:hint="default" w:ascii="Times New Roman" w:hAnsi="Times New Roman" w:eastAsia="方正仿宋_GBK" w:cs="Times New Roman"/>
          <w:szCs w:val="32"/>
          <w:lang w:val="en-US" w:eastAsia="zh-CN"/>
        </w:rPr>
        <w:t>95.84</w:t>
      </w:r>
      <w:r>
        <w:rPr>
          <w:rFonts w:hint="default" w:ascii="Times New Roman" w:hAnsi="Times New Roman" w:eastAsia="方正仿宋_GBK" w:cs="Times New Roman"/>
          <w:szCs w:val="32"/>
        </w:rPr>
        <w:t>万元。</w:t>
      </w:r>
    </w:p>
    <w:p w14:paraId="48EF2454">
      <w:pPr>
        <w:spacing w:line="600" w:lineRule="exact"/>
        <w:ind w:firstLine="640" w:firstLineChars="200"/>
        <w:rPr>
          <w:rFonts w:hint="default" w:ascii="仿宋" w:hAnsi="仿宋" w:eastAsia="仿宋" w:cs="仿宋"/>
          <w:szCs w:val="32"/>
          <w:lang w:val="en-US" w:eastAsia="zh-CN"/>
        </w:rPr>
      </w:pPr>
      <w:r>
        <w:rPr>
          <w:rFonts w:hint="eastAsia" w:ascii="仿宋" w:hAnsi="仿宋" w:eastAsia="仿宋" w:cs="仿宋"/>
          <w:szCs w:val="32"/>
          <w:lang w:val="en-US" w:eastAsia="zh-CN"/>
        </w:rPr>
        <w:t>2023年</w:t>
      </w:r>
      <w:r>
        <w:rPr>
          <w:rFonts w:hint="eastAsia" w:ascii="仿宋" w:hAnsi="仿宋" w:eastAsia="仿宋" w:cs="仿宋"/>
          <w:szCs w:val="32"/>
        </w:rPr>
        <w:t>决算收入总计</w:t>
      </w:r>
      <w:r>
        <w:rPr>
          <w:rFonts w:hint="eastAsia" w:ascii="仿宋" w:hAnsi="仿宋" w:eastAsia="仿宋" w:cs="仿宋"/>
          <w:szCs w:val="32"/>
          <w:lang w:val="en-US" w:eastAsia="zh-CN"/>
        </w:rPr>
        <w:t>227.39</w:t>
      </w:r>
      <w:r>
        <w:rPr>
          <w:rFonts w:hint="eastAsia" w:ascii="仿宋" w:hAnsi="仿宋" w:eastAsia="仿宋" w:cs="仿宋"/>
          <w:szCs w:val="32"/>
        </w:rPr>
        <w:t>万元，</w:t>
      </w:r>
      <w:r>
        <w:rPr>
          <w:rFonts w:hint="eastAsia" w:ascii="仿宋" w:hAnsi="仿宋" w:eastAsia="仿宋" w:cs="仿宋"/>
          <w:szCs w:val="32"/>
          <w:lang w:val="en-US" w:eastAsia="zh-CN"/>
        </w:rPr>
        <w:t>其中：一般公共预算财政拨款收入为197.39万元，占86.8%；政府性基金预算财政拨款收入为30万元，占13.2%；国有资本经营预算财政拨款收入为0万元，占0%；事业收入为0万元，占0%；其他收入为0万元，占0%。</w:t>
      </w:r>
    </w:p>
    <w:p w14:paraId="508C67C7">
      <w:pPr>
        <w:spacing w:line="600" w:lineRule="exact"/>
        <w:ind w:firstLine="643" w:firstLineChars="200"/>
        <w:rPr>
          <w:szCs w:val="32"/>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二</w:t>
      </w: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支出情况</w:t>
      </w:r>
      <w:r>
        <w:rPr>
          <w:rFonts w:hint="default" w:ascii="Times New Roman" w:hAnsi="Times New Roman" w:eastAsia="楷体_GB2312" w:cs="Times New Roman"/>
          <w:b/>
          <w:bCs/>
          <w:color w:val="000000"/>
          <w:kern w:val="0"/>
          <w:szCs w:val="32"/>
          <w:highlight w:val="none"/>
          <w:shd w:val="clear" w:color="auto" w:fill="FFFFFF"/>
          <w:lang w:val="zh-CN"/>
        </w:rPr>
        <w:t>。</w:t>
      </w:r>
    </w:p>
    <w:p w14:paraId="2DBC42C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both"/>
        <w:textAlignment w:val="auto"/>
        <w:outlineLvl w:val="9"/>
        <w:rPr>
          <w:rFonts w:hint="eastAsia" w:ascii="仿宋" w:hAnsi="仿宋" w:eastAsia="仿宋" w:cs="仿宋"/>
          <w:szCs w:val="32"/>
          <w:lang w:val="en-US" w:eastAsia="zh-CN"/>
        </w:rPr>
      </w:pPr>
      <w:bookmarkStart w:id="0" w:name="_Hlk173976096"/>
      <w:bookmarkStart w:id="1" w:name="_Hlk155711130"/>
      <w:bookmarkStart w:id="2" w:name="_Hlk174265910"/>
      <w:bookmarkStart w:id="3" w:name="_Hlk155687917"/>
      <w:r>
        <w:rPr>
          <w:rFonts w:hint="default" w:ascii="Times New Roman" w:hAnsi="Times New Roman" w:eastAsia="方正仿宋_GBK" w:cs="Times New Roman"/>
          <w:szCs w:val="32"/>
          <w:lang w:eastAsia="zh-CN"/>
        </w:rPr>
        <w:t>渠</w:t>
      </w:r>
      <w:r>
        <w:rPr>
          <w:rFonts w:hint="default" w:ascii="Times New Roman" w:hAnsi="Times New Roman" w:eastAsia="方正仿宋_GBK" w:cs="Times New Roman"/>
          <w:szCs w:val="32"/>
        </w:rPr>
        <w:t>县</w:t>
      </w:r>
      <w:bookmarkEnd w:id="0"/>
      <w:r>
        <w:rPr>
          <w:rFonts w:hint="default" w:ascii="Times New Roman" w:hAnsi="Times New Roman" w:eastAsia="方正仿宋_GBK" w:cs="Times New Roman"/>
          <w:szCs w:val="32"/>
          <w:lang w:val="en-US" w:eastAsia="zh-CN"/>
        </w:rPr>
        <w:t>大数据中心</w:t>
      </w:r>
      <w:r>
        <w:rPr>
          <w:rFonts w:hint="eastAsia" w:ascii="仿宋" w:hAnsi="仿宋" w:eastAsia="仿宋" w:cs="仿宋"/>
          <w:szCs w:val="32"/>
          <w:lang w:val="en-US" w:eastAsia="zh-CN"/>
        </w:rPr>
        <w:t>2023年年初预算支出为227.39万元，其中：基本支出101.55万元，占44.65%；项目支出125.84万元，占55.35%。</w:t>
      </w:r>
    </w:p>
    <w:p w14:paraId="2911ED8B">
      <w:pPr>
        <w:spacing w:line="600" w:lineRule="exact"/>
        <w:ind w:firstLine="640" w:firstLineChars="200"/>
        <w:rPr>
          <w:szCs w:val="32"/>
        </w:rPr>
      </w:pPr>
      <w:r>
        <w:rPr>
          <w:rFonts w:hint="eastAsia" w:ascii="仿宋" w:hAnsi="仿宋" w:eastAsia="仿宋" w:cs="仿宋"/>
          <w:szCs w:val="32"/>
          <w:lang w:val="en-US" w:eastAsia="zh-CN"/>
        </w:rPr>
        <w:t>2023年决算支出</w:t>
      </w:r>
      <w:r>
        <w:rPr>
          <w:rFonts w:hint="eastAsia" w:ascii="仿宋" w:hAnsi="仿宋" w:eastAsia="仿宋" w:cs="仿宋"/>
          <w:szCs w:val="32"/>
        </w:rPr>
        <w:t>总计</w:t>
      </w:r>
      <w:r>
        <w:rPr>
          <w:rFonts w:hint="eastAsia" w:ascii="仿宋" w:hAnsi="仿宋" w:eastAsia="仿宋" w:cs="仿宋"/>
          <w:szCs w:val="32"/>
          <w:lang w:val="en-US" w:eastAsia="zh-CN"/>
        </w:rPr>
        <w:t>227.39万元，其中：一般服务支出:11.99万元，社会保障和就业支出10.53万元，住房保障支出5.5万元，卫生健康支出4.4万元，城乡社区支出30万元。农林水支出1.44万，资源勘探工业信息等支出141.83万，商业服务业等支出11.35万，其他支出10.35万。其中：基本支出101.55万元，占44.65%；项目支出125.84万元，占55.35%。</w:t>
      </w:r>
      <w:bookmarkEnd w:id="1"/>
      <w:bookmarkEnd w:id="2"/>
      <w:bookmarkEnd w:id="3"/>
    </w:p>
    <w:p w14:paraId="792F96A3">
      <w:pPr>
        <w:widowControl/>
        <w:adjustRightInd w:val="0"/>
        <w:snapToGrid w:val="0"/>
        <w:spacing w:line="578" w:lineRule="exact"/>
        <w:ind w:firstLine="643" w:firstLineChars="200"/>
        <w:contextualSpacing/>
        <w:jc w:val="left"/>
        <w:rPr>
          <w:rFonts w:eastAsia="楷体_GB2312"/>
          <w:b/>
          <w:szCs w:val="32"/>
        </w:rPr>
      </w:pPr>
      <w:r>
        <w:rPr>
          <w:rFonts w:eastAsia="楷体_GB2312"/>
          <w:b/>
          <w:bCs/>
          <w:color w:val="000000"/>
          <w:kern w:val="0"/>
          <w:szCs w:val="32"/>
          <w:shd w:val="clear" w:color="auto" w:fill="FFFFFF"/>
          <w:lang w:val="zh-CN"/>
        </w:rPr>
        <w:t>（三）</w:t>
      </w:r>
      <w:r>
        <w:rPr>
          <w:rFonts w:eastAsia="楷体_GB2312"/>
          <w:b/>
          <w:szCs w:val="32"/>
        </w:rPr>
        <w:t>结余分配和结转结余情况。</w:t>
      </w:r>
    </w:p>
    <w:p w14:paraId="3AF9DC7E">
      <w:pPr>
        <w:snapToGrid w:val="0"/>
        <w:spacing w:line="600" w:lineRule="exact"/>
        <w:ind w:firstLine="640" w:firstLineChars="200"/>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ascii="仿宋" w:hAnsi="仿宋" w:eastAsia="仿宋" w:cs="仿宋"/>
          <w:szCs w:val="32"/>
          <w:lang w:val="en-US" w:eastAsia="zh-CN"/>
        </w:rPr>
        <w:t>2023年末结转和结余资金0万元，整体预算结余率0%。</w:t>
      </w:r>
    </w:p>
    <w:p w14:paraId="18E29E24">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Cs w:val="32"/>
          <w:highlight w:val="none"/>
          <w:shd w:val="clear" w:color="auto" w:fill="FFFFFF"/>
        </w:rPr>
        <w:t>三、</w:t>
      </w: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14:paraId="0CD649B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14:paraId="57A5654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履职效能。</w:t>
      </w:r>
    </w:p>
    <w:p w14:paraId="1143A8A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w:t>
      </w:r>
      <w:r>
        <w:rPr>
          <w:rFonts w:hint="default" w:ascii="Times New Roman" w:hAnsi="Times New Roman" w:eastAsia="方正仿宋_GBK" w:cs="Times New Roman"/>
          <w:color w:val="000000"/>
          <w:kern w:val="0"/>
          <w:szCs w:val="32"/>
          <w:highlight w:val="none"/>
          <w:shd w:val="clear" w:color="auto" w:fill="FFFFFF"/>
          <w:lang w:val="zh-CN"/>
        </w:rPr>
        <w:t>积极推进数字化经济产业发展</w:t>
      </w:r>
    </w:p>
    <w:p w14:paraId="2480032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960" w:firstLineChars="300"/>
        <w:contextualSpacing/>
        <w:jc w:val="left"/>
        <w:textAlignment w:val="auto"/>
        <w:outlineLvl w:val="9"/>
        <w:rPr>
          <w:rFonts w:hint="default" w:ascii="Times New Roman" w:hAnsi="Times New Roman" w:eastAsia="方正仿宋_GBK" w:cs="Times New Roman"/>
          <w:color w:val="000000"/>
          <w:kern w:val="0"/>
          <w:szCs w:val="32"/>
          <w:highlight w:val="none"/>
          <w:shd w:val="clear" w:color="auto" w:fill="FFFFFF"/>
          <w:lang w:val="zh-CN"/>
        </w:rPr>
      </w:pPr>
      <w:r>
        <w:rPr>
          <w:rFonts w:hint="default" w:ascii="Times New Roman" w:hAnsi="Times New Roman" w:eastAsia="方正仿宋_GBK" w:cs="Times New Roman"/>
          <w:color w:val="000000"/>
          <w:kern w:val="0"/>
          <w:szCs w:val="32"/>
          <w:highlight w:val="none"/>
          <w:shd w:val="clear" w:color="auto" w:fill="FFFFFF"/>
          <w:lang w:val="zh-CN"/>
        </w:rPr>
        <w:t>2023年1-8月，渠县数字经济核心产业企业23家，产业产值50.7亿元，同比增长64.03%，暂列全市第一，超额完成市政府下达考核指标。</w:t>
      </w:r>
    </w:p>
    <w:p w14:paraId="074B9D9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960" w:firstLineChars="300"/>
        <w:contextualSpacing/>
        <w:jc w:val="left"/>
        <w:textAlignment w:val="auto"/>
        <w:outlineLvl w:val="9"/>
        <w:rPr>
          <w:rFonts w:hint="eastAsia" w:ascii="Times New Roman" w:hAnsi="Times New Roman" w:eastAsia="方正仿宋_GBK"/>
          <w:color w:val="000000" w:themeColor="text1"/>
          <w:sz w:val="32"/>
          <w:szCs w:val="32"/>
          <w14:textFill>
            <w14:solidFill>
              <w14:schemeClr w14:val="tx1"/>
            </w14:solidFill>
          </w14:textFill>
        </w:rPr>
      </w:pPr>
      <w:r>
        <w:rPr>
          <w:rFonts w:hint="default" w:ascii="Calibri" w:hAnsi="Calibri" w:eastAsia="方正仿宋_GBK" w:cs="Calibri"/>
          <w:b w:val="0"/>
          <w:bCs w:val="0"/>
          <w:color w:val="000000" w:themeColor="text1"/>
          <w:sz w:val="32"/>
          <w:szCs w:val="32"/>
          <w14:textFill>
            <w14:solidFill>
              <w14:schemeClr w14:val="tx1"/>
            </w14:solidFill>
          </w14:textFill>
        </w:rPr>
        <w:t>①</w:t>
      </w:r>
      <w:r>
        <w:rPr>
          <w:rFonts w:ascii="Times New Roman" w:hAnsi="Times New Roman" w:eastAsia="方正仿宋_GBK"/>
          <w:b w:val="0"/>
          <w:bCs w:val="0"/>
          <w:color w:val="000000" w:themeColor="text1"/>
          <w:sz w:val="32"/>
          <w:szCs w:val="32"/>
          <w14:textFill>
            <w14:solidFill>
              <w14:schemeClr w14:val="tx1"/>
            </w14:solidFill>
          </w14:textFill>
        </w:rPr>
        <w:t>开展数字化转型调研。</w:t>
      </w:r>
      <w:r>
        <w:rPr>
          <w:rFonts w:ascii="Times New Roman" w:hAnsi="Times New Roman" w:eastAsia="方正仿宋_GBK"/>
          <w:color w:val="000000" w:themeColor="text1"/>
          <w:sz w:val="32"/>
          <w:szCs w:val="32"/>
          <w14:textFill>
            <w14:solidFill>
              <w14:schemeClr w14:val="tx1"/>
            </w14:solidFill>
          </w14:textFill>
        </w:rPr>
        <w:t>针对园区企业数字化系统、智慧车间、智能工厂建设等开展调研</w:t>
      </w:r>
      <w:r>
        <w:rPr>
          <w:rFonts w:hint="eastAsia" w:ascii="Times New Roman" w:hAnsi="Times New Roman" w:eastAsia="方正仿宋_GBK"/>
          <w:color w:val="000000" w:themeColor="text1"/>
          <w:sz w:val="32"/>
          <w:szCs w:val="32"/>
          <w14:textFill>
            <w14:solidFill>
              <w14:schemeClr w14:val="tx1"/>
            </w14:solidFill>
          </w14:textFill>
        </w:rPr>
        <w:t>、深入研究</w:t>
      </w:r>
      <w:r>
        <w:rPr>
          <w:rFonts w:ascii="Times New Roman" w:hAnsi="Times New Roman" w:eastAsia="方正仿宋_GBK"/>
          <w:color w:val="000000" w:themeColor="text1"/>
          <w:sz w:val="32"/>
          <w:szCs w:val="32"/>
          <w14:textFill>
            <w14:solidFill>
              <w14:schemeClr w14:val="tx1"/>
            </w14:solidFill>
          </w14:textFill>
        </w:rPr>
        <w:t>，形成调研报告</w:t>
      </w:r>
      <w:r>
        <w:rPr>
          <w:rFonts w:hint="eastAsia" w:ascii="Times New Roman" w:hAnsi="Times New Roman" w:eastAsia="方正仿宋_GBK"/>
          <w:color w:val="000000" w:themeColor="text1"/>
          <w:sz w:val="32"/>
          <w:szCs w:val="32"/>
          <w14:textFill>
            <w14:solidFill>
              <w14:schemeClr w14:val="tx1"/>
            </w14:solidFill>
          </w14:textFill>
        </w:rPr>
        <w:t>。积极参与全市数字经济转型评估诊断工作，为渠县数字化转型发展寻求智力支撑。</w:t>
      </w:r>
    </w:p>
    <w:p w14:paraId="052C759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960" w:firstLineChars="300"/>
        <w:contextualSpacing/>
        <w:jc w:val="left"/>
        <w:textAlignment w:val="auto"/>
        <w:outlineLvl w:val="9"/>
        <w:rPr>
          <w:rFonts w:hint="eastAsia" w:ascii="Times New Roman" w:hAnsi="Times New Roman" w:eastAsia="方正仿宋_GBK"/>
          <w:color w:val="000000" w:themeColor="text1"/>
          <w:sz w:val="32"/>
          <w:szCs w:val="32"/>
          <w14:textFill>
            <w14:solidFill>
              <w14:schemeClr w14:val="tx1"/>
            </w14:solidFill>
          </w14:textFill>
        </w:rPr>
      </w:pPr>
      <w:r>
        <w:rPr>
          <w:rFonts w:hint="default" w:ascii="Calibri" w:hAnsi="Calibri" w:eastAsia="方正仿宋_GBK" w:cs="Calibri"/>
          <w:b w:val="0"/>
          <w:bCs w:val="0"/>
          <w:color w:val="000000" w:themeColor="text1"/>
          <w:sz w:val="32"/>
          <w:szCs w:val="32"/>
          <w14:textFill>
            <w14:solidFill>
              <w14:schemeClr w14:val="tx1"/>
            </w14:solidFill>
          </w14:textFill>
        </w:rPr>
        <w:t>②</w:t>
      </w:r>
      <w:r>
        <w:rPr>
          <w:rFonts w:ascii="Times New Roman" w:hAnsi="Times New Roman" w:eastAsia="方正仿宋_GBK"/>
          <w:b w:val="0"/>
          <w:bCs w:val="0"/>
          <w:color w:val="000000" w:themeColor="text1"/>
          <w:sz w:val="32"/>
          <w:szCs w:val="32"/>
          <w14:textFill>
            <w14:solidFill>
              <w14:schemeClr w14:val="tx1"/>
            </w14:solidFill>
          </w14:textFill>
        </w:rPr>
        <w:t>开展助企纾困活动。</w:t>
      </w:r>
      <w:r>
        <w:rPr>
          <w:rFonts w:ascii="Times New Roman" w:hAnsi="Times New Roman" w:eastAsia="方正仿宋_GBK"/>
          <w:color w:val="000000" w:themeColor="text1"/>
          <w:sz w:val="32"/>
          <w:szCs w:val="32"/>
          <w14:textFill>
            <w14:solidFill>
              <w14:schemeClr w14:val="tx1"/>
            </w14:solidFill>
          </w14:textFill>
        </w:rPr>
        <w:t>开展“访民企、送关怀、提信心”走访活动，汇集企业相关需求和困难，解决急难愁盼问题</w:t>
      </w:r>
      <w:r>
        <w:rPr>
          <w:rFonts w:hint="eastAsia" w:ascii="Times New Roman" w:hAnsi="Times New Roman" w:eastAsia="方正仿宋_GBK"/>
          <w:color w:val="000000" w:themeColor="text1"/>
          <w:sz w:val="32"/>
          <w:szCs w:val="32"/>
          <w14:textFill>
            <w14:solidFill>
              <w14:schemeClr w14:val="tx1"/>
            </w14:solidFill>
          </w14:textFill>
        </w:rPr>
        <w:t>。持续开展市级数字化项目奖补申报，助力数字经济企业做大做强。</w:t>
      </w:r>
    </w:p>
    <w:p w14:paraId="7AB09D6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960" w:firstLineChars="300"/>
        <w:contextualSpacing/>
        <w:jc w:val="left"/>
        <w:textAlignment w:val="auto"/>
        <w:outlineLvl w:val="9"/>
        <w:rPr>
          <w:rFonts w:hint="eastAsia" w:eastAsia="方正仿宋_GBK" w:cs="Times New Roman"/>
          <w:color w:val="000000"/>
          <w:kern w:val="0"/>
          <w:szCs w:val="32"/>
          <w:highlight w:val="none"/>
          <w:shd w:val="clear" w:color="auto" w:fill="FFFFFF"/>
          <w:lang w:val="zh-CN" w:eastAsia="zh-CN"/>
        </w:rPr>
      </w:pPr>
      <w:r>
        <w:rPr>
          <w:rFonts w:hint="default" w:ascii="Calibri" w:hAnsi="Calibri" w:eastAsia="方正仿宋_GBK" w:cs="Calibri"/>
          <w:b w:val="0"/>
          <w:bCs w:val="0"/>
          <w:color w:val="000000" w:themeColor="text1"/>
          <w:sz w:val="32"/>
          <w:szCs w:val="32"/>
          <w14:textFill>
            <w14:solidFill>
              <w14:schemeClr w14:val="tx1"/>
            </w14:solidFill>
          </w14:textFill>
        </w:rPr>
        <w:t>③</w:t>
      </w:r>
      <w:r>
        <w:rPr>
          <w:rFonts w:hint="eastAsia" w:ascii="Times New Roman" w:hAnsi="Times New Roman" w:eastAsia="方正仿宋_GBK"/>
          <w:b w:val="0"/>
          <w:bCs w:val="0"/>
          <w:color w:val="000000" w:themeColor="text1"/>
          <w:sz w:val="32"/>
          <w:szCs w:val="32"/>
          <w14:textFill>
            <w14:solidFill>
              <w14:schemeClr w14:val="tx1"/>
            </w14:solidFill>
          </w14:textFill>
        </w:rPr>
        <w:t>三是积极开展对外开放。</w:t>
      </w:r>
      <w:r>
        <w:rPr>
          <w:rFonts w:hint="eastAsia" w:ascii="Times New Roman" w:hAnsi="Times New Roman" w:eastAsia="方正仿宋_GBK"/>
          <w:sz w:val="32"/>
          <w:szCs w:val="32"/>
        </w:rPr>
        <w:t>组织团队代表渠县参加首届全国先进计算技术创新大赛，农业大脑团队代表渠县进入复赛，工业大数据中心团队“</w:t>
      </w:r>
      <w:r>
        <w:rPr>
          <w:rFonts w:ascii="Times New Roman" w:hAnsi="Times New Roman" w:eastAsia="方正仿宋_GBK"/>
          <w:sz w:val="32"/>
          <w:szCs w:val="32"/>
        </w:rPr>
        <w:t>基于GPU的数字孪生设计方案</w:t>
      </w:r>
      <w:r>
        <w:rPr>
          <w:rFonts w:hint="eastAsia" w:ascii="Times New Roman" w:hAnsi="Times New Roman" w:eastAsia="方正仿宋_GBK"/>
          <w:sz w:val="32"/>
          <w:szCs w:val="32"/>
        </w:rPr>
        <w:t>”</w:t>
      </w:r>
      <w:r>
        <w:rPr>
          <w:rFonts w:hint="eastAsia" w:ascii="方正仿宋_GBK" w:eastAsia="方正仿宋_GBK"/>
          <w:sz w:val="32"/>
          <w:szCs w:val="32"/>
        </w:rPr>
        <w:t>进入总决赛</w:t>
      </w:r>
      <w:r>
        <w:rPr>
          <w:rFonts w:hint="eastAsia" w:ascii="方正仿宋_GBK" w:eastAsia="方正仿宋_GBK"/>
          <w:sz w:val="32"/>
          <w:szCs w:val="32"/>
          <w:lang w:eastAsia="zh-CN"/>
        </w:rPr>
        <w:t>。</w:t>
      </w:r>
    </w:p>
    <w:p w14:paraId="66642B92">
      <w:pPr>
        <w:keepNext w:val="0"/>
        <w:keepLines w:val="0"/>
        <w:pageBreakBefore w:val="0"/>
        <w:widowControl w:val="0"/>
        <w:numPr>
          <w:ilvl w:val="0"/>
          <w:numId w:val="0"/>
        </w:numPr>
        <w:tabs>
          <w:tab w:val="left" w:pos="952"/>
        </w:tab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2</w:t>
      </w:r>
      <w:r>
        <w:rPr>
          <w:rFonts w:hint="eastAsia" w:ascii="楷体_GB2312" w:hAnsi="楷体_GB2312" w:eastAsia="楷体_GB2312" w:cs="楷体_GB2312"/>
          <w:color w:val="000000"/>
          <w:kern w:val="0"/>
          <w:szCs w:val="32"/>
          <w:highlight w:val="none"/>
          <w:shd w:val="clear" w:color="auto" w:fill="FFFFFF"/>
          <w:lang w:val="zh-CN"/>
        </w:rPr>
        <w:t>）促进信息基础设施建设</w:t>
      </w:r>
    </w:p>
    <w:p w14:paraId="570D0F1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left"/>
        <w:textAlignment w:val="auto"/>
        <w:outlineLvl w:val="9"/>
        <w:rPr>
          <w:rFonts w:hint="eastAsia" w:ascii="Times New Roman" w:hAnsi="Times New Roman" w:eastAsia="方正仿宋_GBK"/>
          <w:sz w:val="32"/>
          <w:szCs w:val="32"/>
          <w:lang w:eastAsia="zh-CN"/>
        </w:rPr>
      </w:pPr>
      <w:r>
        <w:rPr>
          <w:rFonts w:hint="eastAsia" w:ascii="楷体_GB2312" w:hAnsi="楷体_GB2312" w:eastAsia="楷体_GB2312" w:cs="楷体_GB2312"/>
          <w:color w:val="000000"/>
          <w:kern w:val="0"/>
          <w:szCs w:val="32"/>
          <w:highlight w:val="none"/>
          <w:shd w:val="clear" w:color="auto" w:fill="FFFFFF"/>
          <w:lang w:val="en-US" w:eastAsia="zh-CN"/>
        </w:rPr>
        <w:t xml:space="preserve">    </w:t>
      </w:r>
      <w:r>
        <w:rPr>
          <w:rFonts w:hint="eastAsia" w:ascii="Times New Roman" w:hAnsi="Times New Roman" w:eastAsia="方正仿宋_GBK"/>
          <w:sz w:val="32"/>
          <w:szCs w:val="32"/>
          <w:lang w:val="en-US" w:eastAsia="zh-CN"/>
        </w:rPr>
        <w:t>持续推进“城市大脑”建设，一期以建设云计算中心、打造一体化公共数据平台为主要内容，初步形成算力储存“一朵云”、通信传输“一张网”、数据要素“一组库”的能力，全面支撑数字渠县各项应用</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开展智慧社区试点建设工作</w:t>
      </w:r>
      <w:r>
        <w:rPr>
          <w:rFonts w:hint="eastAsia" w:eastAsia="方正仿宋_GBK"/>
          <w:sz w:val="32"/>
          <w:szCs w:val="32"/>
          <w:lang w:val="en-US" w:eastAsia="zh-CN"/>
        </w:rPr>
        <w:t>，</w:t>
      </w:r>
      <w:r>
        <w:rPr>
          <w:rFonts w:hint="eastAsia" w:ascii="Times New Roman" w:hAnsi="Times New Roman" w:eastAsia="方正仿宋_GBK"/>
          <w:sz w:val="32"/>
          <w:szCs w:val="32"/>
        </w:rPr>
        <w:t>开展</w:t>
      </w:r>
      <w:r>
        <w:rPr>
          <w:rFonts w:ascii="Times New Roman" w:hAnsi="Times New Roman" w:eastAsia="方正仿宋_GBK"/>
          <w:sz w:val="32"/>
          <w:szCs w:val="32"/>
        </w:rPr>
        <w:t>智慧社区试点建设，重点打造智慧支撑中心</w:t>
      </w:r>
      <w:r>
        <w:rPr>
          <w:rFonts w:hint="eastAsia" w:ascii="Times New Roman" w:hAnsi="Times New Roman" w:eastAsia="方正仿宋_GBK"/>
          <w:sz w:val="32"/>
          <w:szCs w:val="32"/>
        </w:rPr>
        <w:t>，</w:t>
      </w:r>
      <w:r>
        <w:rPr>
          <w:rFonts w:ascii="Times New Roman" w:hAnsi="Times New Roman" w:eastAsia="方正仿宋_GBK"/>
          <w:sz w:val="32"/>
          <w:szCs w:val="32"/>
        </w:rPr>
        <w:t>优化社区阵地功能</w:t>
      </w:r>
      <w:r>
        <w:rPr>
          <w:rFonts w:hint="eastAsia" w:ascii="Times New Roman" w:hAnsi="Times New Roman" w:eastAsia="方正仿宋_GBK"/>
          <w:sz w:val="32"/>
          <w:szCs w:val="32"/>
        </w:rPr>
        <w:t>、</w:t>
      </w:r>
      <w:r>
        <w:rPr>
          <w:rFonts w:ascii="Times New Roman" w:hAnsi="Times New Roman" w:eastAsia="方正仿宋_GBK"/>
          <w:sz w:val="32"/>
          <w:szCs w:val="32"/>
        </w:rPr>
        <w:t>赋能居民智慧生活</w:t>
      </w:r>
      <w:r>
        <w:rPr>
          <w:rFonts w:hint="eastAsia" w:ascii="Times New Roman" w:hAnsi="Times New Roman" w:eastAsia="方正仿宋_GBK"/>
          <w:sz w:val="32"/>
          <w:szCs w:val="32"/>
        </w:rPr>
        <w:t>，助力</w:t>
      </w:r>
      <w:r>
        <w:rPr>
          <w:rFonts w:ascii="Times New Roman" w:hAnsi="Times New Roman" w:eastAsia="方正仿宋_GBK"/>
          <w:sz w:val="32"/>
          <w:szCs w:val="32"/>
        </w:rPr>
        <w:t>提升城乡基层治理能力和水平</w:t>
      </w:r>
      <w:r>
        <w:rPr>
          <w:rFonts w:hint="eastAsia" w:ascii="Times New Roman" w:hAnsi="Times New Roman" w:eastAsia="方正仿宋_GBK"/>
          <w:sz w:val="32"/>
          <w:szCs w:val="32"/>
          <w:lang w:eastAsia="zh-CN"/>
        </w:rPr>
        <w:t>。</w:t>
      </w:r>
    </w:p>
    <w:p w14:paraId="3412A90D">
      <w:pPr>
        <w:keepNext w:val="0"/>
        <w:keepLines w:val="0"/>
        <w:pageBreakBefore w:val="0"/>
        <w:widowControl w:val="0"/>
        <w:numPr>
          <w:ilvl w:val="0"/>
          <w:numId w:val="0"/>
        </w:numPr>
        <w:tabs>
          <w:tab w:val="left" w:pos="952"/>
        </w:tab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（3）促进网络的后台维护和网络管理</w:t>
      </w:r>
    </w:p>
    <w:p w14:paraId="74832C8D">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color w:val="000000" w:themeColor="text1"/>
          <w:sz w:val="32"/>
          <w:szCs w:val="32"/>
          <w14:textFill>
            <w14:solidFill>
              <w14:schemeClr w14:val="tx1"/>
            </w14:solidFill>
          </w14:textFill>
        </w:rPr>
        <w:t>摸底全县电子政务外网和其他专网使用情况，实施</w:t>
      </w:r>
      <w:r>
        <w:rPr>
          <w:rFonts w:ascii="Times New Roman" w:hAnsi="Times New Roman" w:eastAsia="方正仿宋_GBK"/>
          <w:sz w:val="32"/>
          <w:szCs w:val="32"/>
        </w:rPr>
        <w:t>全县电子政务外网安全改造</w:t>
      </w:r>
      <w:r>
        <w:rPr>
          <w:rFonts w:hint="eastAsia" w:ascii="Times New Roman" w:hAnsi="Times New Roman" w:eastAsia="方正仿宋_GBK"/>
          <w:sz w:val="32"/>
          <w:szCs w:val="32"/>
        </w:rPr>
        <w:t>，</w:t>
      </w:r>
      <w:r>
        <w:rPr>
          <w:rFonts w:ascii="Times New Roman" w:hAnsi="Times New Roman" w:eastAsia="方正仿宋_GBK"/>
          <w:sz w:val="32"/>
          <w:szCs w:val="32"/>
        </w:rPr>
        <w:t>调整优化主干网络传输线路，建设县域节点机房</w:t>
      </w:r>
      <w:r>
        <w:rPr>
          <w:rFonts w:hint="eastAsia" w:ascii="Times New Roman" w:hAnsi="Times New Roman" w:eastAsia="方正仿宋_GBK"/>
          <w:sz w:val="32"/>
          <w:szCs w:val="32"/>
        </w:rPr>
        <w:t>、</w:t>
      </w:r>
      <w:r>
        <w:rPr>
          <w:rFonts w:ascii="Times New Roman" w:hAnsi="Times New Roman" w:eastAsia="方正仿宋_GBK"/>
          <w:sz w:val="32"/>
          <w:szCs w:val="32"/>
        </w:rPr>
        <w:t>设立安全分网</w:t>
      </w:r>
      <w:r>
        <w:rPr>
          <w:rFonts w:hint="eastAsia" w:ascii="Times New Roman" w:hAnsi="Times New Roman" w:eastAsia="方正仿宋_GBK"/>
          <w:sz w:val="32"/>
          <w:szCs w:val="32"/>
        </w:rPr>
        <w:t>、</w:t>
      </w:r>
      <w:r>
        <w:rPr>
          <w:rFonts w:ascii="Times New Roman" w:hAnsi="Times New Roman" w:eastAsia="方正仿宋_GBK"/>
          <w:sz w:val="32"/>
          <w:szCs w:val="32"/>
        </w:rPr>
        <w:t>增添防护设备，构建安全稳定、可控可溯源的电子政务外网环境</w:t>
      </w:r>
      <w:r>
        <w:rPr>
          <w:rFonts w:hint="eastAsia" w:ascii="Times New Roman" w:hAnsi="Times New Roman" w:eastAsia="方正仿宋_GBK"/>
          <w:sz w:val="32"/>
          <w:szCs w:val="32"/>
        </w:rPr>
        <w:t>。</w:t>
      </w:r>
    </w:p>
    <w:p w14:paraId="6F966CA1">
      <w:pPr>
        <w:pStyle w:val="10"/>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both"/>
        <w:textAlignment w:val="auto"/>
        <w:rPr>
          <w:rFonts w:hint="eastAsia" w:cs="Times New Roman"/>
          <w:color w:val="000000"/>
          <w:kern w:val="0"/>
          <w:szCs w:val="32"/>
          <w:highlight w:val="none"/>
          <w:shd w:val="clear" w:color="auto" w:fill="FFFFFF"/>
          <w:lang w:val="zh-CN"/>
        </w:rPr>
      </w:pPr>
      <w:r>
        <w:rPr>
          <w:rFonts w:hint="eastAsia" w:ascii="Times New Roman" w:hAnsi="Times New Roman" w:eastAsia="方正仿宋_GBK"/>
          <w:sz w:val="32"/>
          <w:szCs w:val="32"/>
          <w:lang w:val="en-US" w:eastAsia="zh-CN"/>
        </w:rPr>
        <w:t xml:space="preserve">    现已建成电子政务外网机房1个，增添了10个防护设备。</w:t>
      </w:r>
      <w:r>
        <w:rPr>
          <w:rFonts w:hint="eastAsia" w:ascii="Times New Roman" w:hAnsi="Times New Roman" w:eastAsia="方正仿宋_GBK" w:cs="Times New Roman"/>
          <w:kern w:val="2"/>
          <w:sz w:val="32"/>
          <w:szCs w:val="32"/>
          <w:lang w:val="en-US" w:eastAsia="zh-CN" w:bidi="ar-SA"/>
        </w:rPr>
        <w:t>摸清了全县电子政务外网的情况。</w:t>
      </w:r>
    </w:p>
    <w:p w14:paraId="66B278A3">
      <w:pPr>
        <w:numPr>
          <w:ilvl w:val="0"/>
          <w:numId w:val="1"/>
        </w:numPr>
        <w:adjustRightInd w:val="0"/>
        <w:snapToGrid w:val="0"/>
        <w:spacing w:line="578" w:lineRule="exact"/>
        <w:ind w:firstLine="640" w:firstLineChars="200"/>
        <w:contextualSpacing/>
        <w:jc w:val="left"/>
        <w:rPr>
          <w:rFonts w:hint="eastAsia" w:ascii="楷体_GB2312" w:hAnsi="楷体_GB2312" w:eastAsia="楷体_GB2312" w:cs="楷体_GB2312"/>
          <w:color w:val="000000"/>
          <w:kern w:val="0"/>
          <w:szCs w:val="32"/>
          <w:highlight w:val="none"/>
          <w:shd w:val="clear" w:color="auto" w:fill="FFFFFF"/>
          <w:lang w:val="zh-CN"/>
        </w:rPr>
      </w:pPr>
      <w:r>
        <w:rPr>
          <w:rFonts w:hint="default" w:ascii="楷体_GB2312" w:hAnsi="楷体_GB2312" w:eastAsia="楷体_GB2312" w:cs="楷体_GB2312"/>
          <w:color w:val="000000"/>
          <w:kern w:val="0"/>
          <w:szCs w:val="32"/>
          <w:highlight w:val="none"/>
          <w:shd w:val="clear" w:color="auto" w:fill="FFFFFF"/>
          <w:lang w:val="zh-CN"/>
        </w:rPr>
        <w:t>预算管理</w:t>
      </w:r>
      <w:r>
        <w:rPr>
          <w:rFonts w:hint="eastAsia" w:ascii="楷体_GB2312" w:hAnsi="楷体_GB2312" w:eastAsia="楷体_GB2312" w:cs="楷体_GB2312"/>
          <w:color w:val="000000"/>
          <w:kern w:val="0"/>
          <w:szCs w:val="32"/>
          <w:highlight w:val="none"/>
          <w:shd w:val="clear" w:color="auto" w:fill="FFFFFF"/>
          <w:lang w:val="zh-CN"/>
        </w:rPr>
        <w:t>。</w:t>
      </w:r>
    </w:p>
    <w:p w14:paraId="3810E1CC">
      <w:pPr>
        <w:keepNext w:val="0"/>
        <w:keepLines w:val="0"/>
        <w:pageBreakBefore w:val="0"/>
        <w:widowControl w:val="0"/>
        <w:numPr>
          <w:ilvl w:val="0"/>
          <w:numId w:val="0"/>
        </w:numPr>
        <w:tabs>
          <w:tab w:val="left" w:pos="952"/>
        </w:tab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eastAsia="zh-CN"/>
        </w:rPr>
      </w:pPr>
      <w:r>
        <w:rPr>
          <w:rFonts w:hint="eastAsia" w:ascii="楷体_GB2312" w:hAnsi="楷体_GB2312" w:eastAsia="楷体_GB2312" w:cs="楷体_GB2312"/>
          <w:color w:val="000000"/>
          <w:kern w:val="0"/>
          <w:szCs w:val="32"/>
          <w:highlight w:val="none"/>
          <w:shd w:val="clear" w:color="auto" w:fill="FFFFFF"/>
          <w:lang w:val="zh-CN" w:eastAsia="zh-CN"/>
        </w:rPr>
        <w:t>（</w:t>
      </w: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eastAsia="zh-CN"/>
        </w:rPr>
        <w:t>）预算编制质量</w:t>
      </w:r>
    </w:p>
    <w:p w14:paraId="5678820D">
      <w:pPr>
        <w:numPr>
          <w:ilvl w:val="0"/>
          <w:numId w:val="0"/>
        </w:numPr>
        <w:adjustRightInd w:val="0"/>
        <w:snapToGrid w:val="0"/>
        <w:spacing w:line="578" w:lineRule="exact"/>
        <w:ind w:firstLine="640" w:firstLineChars="200"/>
        <w:contextualSpacing/>
        <w:jc w:val="left"/>
        <w:rPr>
          <w:rFonts w:hint="default" w:ascii="Times New Roman" w:hAnsi="Times New Roman" w:eastAsia="方正仿宋_GBK" w:cs="Times New Roman"/>
          <w:color w:val="191919"/>
          <w:shd w:val="clear" w:color="auto" w:fill="FFFFFF"/>
        </w:rPr>
      </w:pPr>
      <w:r>
        <w:rPr>
          <w:rFonts w:hint="default" w:ascii="Times New Roman" w:hAnsi="Times New Roman" w:eastAsia="方正仿宋_GBK" w:cs="Times New Roman"/>
          <w:color w:val="191919"/>
          <w:shd w:val="clear" w:color="auto" w:fill="FFFFFF"/>
        </w:rPr>
        <w:t>县</w:t>
      </w:r>
      <w:r>
        <w:rPr>
          <w:rFonts w:hint="default" w:ascii="Times New Roman" w:hAnsi="Times New Roman" w:eastAsia="方正仿宋_GBK" w:cs="Times New Roman"/>
          <w:color w:val="191919"/>
          <w:shd w:val="clear" w:color="auto" w:fill="FFFFFF"/>
          <w:lang w:eastAsia="zh-CN"/>
        </w:rPr>
        <w:t>大数据中心</w:t>
      </w:r>
      <w:r>
        <w:rPr>
          <w:rFonts w:hint="default" w:ascii="Times New Roman" w:hAnsi="Times New Roman" w:eastAsia="方正仿宋_GBK" w:cs="Times New Roman"/>
          <w:color w:val="191919"/>
          <w:shd w:val="clear" w:color="auto" w:fill="FFFFFF"/>
        </w:rPr>
        <w:t>按照《中华人民共和国预算法》、县政局部门预算编制通知和有关要求，认真落实国家的方针、政策，严格依法行政，充分发挥经济管理职能。根据单位上报的项目预算，进行分析测算，找准政策支撑，充分论证评估项目必要性、可行性。以基础信息为基准，完善人员经费、公用经费定额标准，调整预算编制口径，确保基本支出足额预算编制。严格落实过紧日子要求，推进预算安排与绩效目标深度融合，综合衡量政策和项目预算资金使用结果，大力削减低效无效资金。</w:t>
      </w:r>
    </w:p>
    <w:p w14:paraId="79A69D9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outlineLvl w:val="9"/>
        <w:rPr>
          <w:rFonts w:hint="default" w:ascii="Times New Roman" w:hAnsi="Times New Roman" w:eastAsia="方正仿宋_GBK" w:cs="Times New Roman"/>
          <w:szCs w:val="32"/>
        </w:rPr>
      </w:pPr>
      <w:r>
        <w:rPr>
          <w:rFonts w:hint="eastAsia" w:ascii="仿宋" w:hAnsi="仿宋" w:eastAsia="仿宋" w:cs="仿宋"/>
          <w:color w:val="000000"/>
          <w:kern w:val="0"/>
          <w:szCs w:val="32"/>
          <w:highlight w:val="none"/>
          <w:shd w:val="clear" w:color="auto" w:fill="FFFFFF"/>
          <w:lang w:val="en-US" w:eastAsia="zh-CN"/>
        </w:rPr>
        <w:t>2023年年初财政拨款预算数227.39</w:t>
      </w:r>
      <w:r>
        <w:rPr>
          <w:rFonts w:hint="eastAsia" w:ascii="仿宋" w:hAnsi="仿宋" w:eastAsia="仿宋" w:cs="仿宋"/>
          <w:szCs w:val="32"/>
          <w:lang w:val="en-US" w:eastAsia="zh-CN"/>
        </w:rPr>
        <w:t>万元</w:t>
      </w:r>
      <w:r>
        <w:rPr>
          <w:rFonts w:hint="eastAsia" w:ascii="仿宋" w:hAnsi="仿宋" w:eastAsia="仿宋" w:cs="仿宋"/>
          <w:color w:val="000000"/>
          <w:kern w:val="0"/>
          <w:szCs w:val="32"/>
          <w:highlight w:val="none"/>
          <w:shd w:val="clear" w:color="auto" w:fill="FFFFFF"/>
          <w:lang w:val="en-US" w:eastAsia="zh-CN"/>
        </w:rPr>
        <w:t>，财政拨款预算执行数227.39万元，财政拨款预算偏离度0。</w:t>
      </w:r>
    </w:p>
    <w:p w14:paraId="3FD094C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eastAsia="zh-CN"/>
        </w:rPr>
      </w:pPr>
      <w:r>
        <w:rPr>
          <w:rFonts w:hint="eastAsia" w:ascii="楷体_GB2312" w:hAnsi="楷体_GB2312" w:eastAsia="楷体_GB2312" w:cs="楷体_GB2312"/>
          <w:color w:val="000000"/>
          <w:kern w:val="0"/>
          <w:szCs w:val="32"/>
          <w:highlight w:val="none"/>
          <w:shd w:val="clear" w:color="auto" w:fill="FFFFFF"/>
          <w:lang w:val="zh-CN" w:eastAsia="zh-CN"/>
        </w:rPr>
        <w:t>（</w:t>
      </w:r>
      <w:r>
        <w:rPr>
          <w:rFonts w:hint="eastAsia" w:ascii="楷体_GB2312" w:hAnsi="楷体_GB2312" w:eastAsia="楷体_GB2312" w:cs="楷体_GB2312"/>
          <w:color w:val="000000"/>
          <w:kern w:val="0"/>
          <w:szCs w:val="32"/>
          <w:highlight w:val="none"/>
          <w:shd w:val="clear" w:color="auto" w:fill="FFFFFF"/>
          <w:lang w:val="en-US" w:eastAsia="zh-CN"/>
        </w:rPr>
        <w:t>2</w:t>
      </w:r>
      <w:r>
        <w:rPr>
          <w:rFonts w:hint="eastAsia" w:ascii="楷体_GB2312" w:hAnsi="楷体_GB2312" w:eastAsia="楷体_GB2312" w:cs="楷体_GB2312"/>
          <w:color w:val="000000"/>
          <w:kern w:val="0"/>
          <w:szCs w:val="32"/>
          <w:highlight w:val="none"/>
          <w:shd w:val="clear" w:color="auto" w:fill="FFFFFF"/>
          <w:lang w:val="zh-CN" w:eastAsia="zh-CN"/>
        </w:rPr>
        <w:t>）单位收入统筹。</w:t>
      </w:r>
      <w:r>
        <w:rPr>
          <w:rFonts w:hint="eastAsia" w:ascii="仿宋" w:hAnsi="仿宋" w:eastAsia="仿宋" w:cs="仿宋"/>
          <w:color w:val="000000"/>
          <w:kern w:val="0"/>
          <w:szCs w:val="32"/>
          <w:highlight w:val="none"/>
          <w:shd w:val="clear" w:color="auto" w:fill="FFFFFF"/>
          <w:lang w:val="en-US" w:eastAsia="zh-CN"/>
        </w:rPr>
        <w:t>渠县大数据中心已建立自有收入统筹机制，2023年度无自有收入。</w:t>
      </w:r>
    </w:p>
    <w:p w14:paraId="1AF0880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outlineLvl w:val="9"/>
        <w:rPr>
          <w:rFonts w:hint="default" w:ascii="Times New Roman" w:hAnsi="Times New Roman" w:eastAsia="方正仿宋_GBK" w:cs="Times New Roman"/>
        </w:rPr>
      </w:pPr>
      <w:r>
        <w:rPr>
          <w:rFonts w:hint="eastAsia" w:ascii="楷体_GB2312" w:hAnsi="楷体_GB2312" w:eastAsia="楷体_GB2312" w:cs="楷体_GB2312"/>
          <w:color w:val="000000"/>
          <w:kern w:val="0"/>
          <w:sz w:val="32"/>
          <w:szCs w:val="32"/>
          <w:highlight w:val="none"/>
          <w:shd w:val="clear" w:color="auto" w:fill="FFFFFF"/>
          <w:lang w:val="zh-CN" w:eastAsia="zh-CN" w:bidi="ar-SA"/>
        </w:rPr>
        <w:t>（</w:t>
      </w:r>
      <w:r>
        <w:rPr>
          <w:rFonts w:hint="eastAsia" w:ascii="楷体_GB2312" w:hAnsi="楷体_GB2312" w:eastAsia="楷体_GB2312" w:cs="楷体_GB2312"/>
          <w:color w:val="000000"/>
          <w:kern w:val="0"/>
          <w:sz w:val="32"/>
          <w:szCs w:val="32"/>
          <w:highlight w:val="none"/>
          <w:shd w:val="clear" w:color="auto" w:fill="FFFFFF"/>
          <w:lang w:val="en-US" w:eastAsia="zh-CN" w:bidi="ar-SA"/>
        </w:rPr>
        <w:t>3</w:t>
      </w:r>
      <w:r>
        <w:rPr>
          <w:rFonts w:hint="eastAsia" w:ascii="楷体_GB2312" w:hAnsi="楷体_GB2312" w:eastAsia="楷体_GB2312" w:cs="楷体_GB2312"/>
          <w:color w:val="000000"/>
          <w:kern w:val="0"/>
          <w:sz w:val="32"/>
          <w:szCs w:val="32"/>
          <w:highlight w:val="none"/>
          <w:shd w:val="clear" w:color="auto" w:fill="FFFFFF"/>
          <w:lang w:val="zh-CN" w:eastAsia="zh-CN" w:bidi="ar-SA"/>
        </w:rPr>
        <w:t>）支出执行进度。</w:t>
      </w:r>
      <w:bookmarkStart w:id="4" w:name="_Hlk174266294"/>
      <w:bookmarkStart w:id="5" w:name="_Hlk155687991"/>
      <w:r>
        <w:rPr>
          <w:rFonts w:hint="eastAsia" w:ascii="仿宋" w:hAnsi="仿宋" w:eastAsia="仿宋" w:cs="仿宋"/>
          <w:color w:val="000000"/>
          <w:kern w:val="0"/>
          <w:szCs w:val="32"/>
          <w:highlight w:val="none"/>
          <w:shd w:val="clear" w:color="auto" w:fill="FFFFFF"/>
          <w:lang w:val="en-US" w:eastAsia="zh-CN"/>
        </w:rPr>
        <w:t>渠县大数据中心2023年1至6月支出实际执行数216.04万元，预算执行率100%；1至10月支出实际执行数220.04万元，预算执行率100%，未发生支出预警和支出违规的情况。</w:t>
      </w:r>
      <w:bookmarkEnd w:id="4"/>
    </w:p>
    <w:bookmarkEnd w:id="5"/>
    <w:p w14:paraId="262391C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lang w:eastAsia="zh-CN"/>
        </w:rPr>
      </w:pPr>
      <w:r>
        <w:rPr>
          <w:rFonts w:hint="eastAsia" w:ascii="楷体_GB2312" w:hAnsi="楷体_GB2312" w:eastAsia="楷体_GB2312" w:cs="楷体_GB2312"/>
          <w:color w:val="000000"/>
          <w:kern w:val="0"/>
          <w:sz w:val="32"/>
          <w:szCs w:val="32"/>
          <w:highlight w:val="none"/>
          <w:shd w:val="clear" w:color="auto" w:fill="FFFFFF"/>
          <w:lang w:val="zh-CN" w:eastAsia="zh-CN" w:bidi="ar-SA"/>
        </w:rPr>
        <w:t>（</w:t>
      </w:r>
      <w:r>
        <w:rPr>
          <w:rFonts w:hint="eastAsia" w:ascii="楷体_GB2312" w:hAnsi="楷体_GB2312" w:eastAsia="楷体_GB2312" w:cs="楷体_GB2312"/>
          <w:color w:val="000000"/>
          <w:kern w:val="0"/>
          <w:sz w:val="32"/>
          <w:szCs w:val="32"/>
          <w:highlight w:val="none"/>
          <w:shd w:val="clear" w:color="auto" w:fill="FFFFFF"/>
          <w:lang w:val="en-US" w:eastAsia="zh-CN" w:bidi="ar-SA"/>
        </w:rPr>
        <w:t>4</w:t>
      </w:r>
      <w:r>
        <w:rPr>
          <w:rFonts w:hint="eastAsia" w:ascii="楷体_GB2312" w:hAnsi="楷体_GB2312" w:eastAsia="楷体_GB2312" w:cs="楷体_GB2312"/>
          <w:color w:val="000000"/>
          <w:kern w:val="0"/>
          <w:sz w:val="32"/>
          <w:szCs w:val="32"/>
          <w:highlight w:val="none"/>
          <w:shd w:val="clear" w:color="auto" w:fill="FFFFFF"/>
          <w:lang w:val="zh-CN" w:eastAsia="zh-CN" w:bidi="ar-SA"/>
        </w:rPr>
        <w:t>）预算年终结余。</w:t>
      </w:r>
      <w:r>
        <w:rPr>
          <w:rFonts w:hint="default" w:ascii="Times New Roman" w:hAnsi="Times New Roman" w:eastAsia="方正仿宋_GBK" w:cs="Times New Roman"/>
        </w:rPr>
        <w:t>2023年度</w:t>
      </w:r>
      <w:r>
        <w:rPr>
          <w:rFonts w:hint="eastAsia" w:eastAsia="方正仿宋_GBK" w:cs="Times New Roman"/>
          <w:lang w:val="en-US" w:eastAsia="zh-CN"/>
        </w:rPr>
        <w:t>渠县大数据中心预算年终结余资金0万元，</w:t>
      </w:r>
      <w:r>
        <w:rPr>
          <w:rFonts w:hint="eastAsia" w:ascii="仿宋" w:hAnsi="仿宋" w:eastAsia="仿宋" w:cs="仿宋"/>
          <w:color w:val="000000"/>
          <w:kern w:val="0"/>
          <w:szCs w:val="32"/>
          <w:highlight w:val="none"/>
          <w:shd w:val="clear" w:color="auto" w:fill="FFFFFF"/>
          <w:lang w:val="en-US" w:eastAsia="zh-CN"/>
        </w:rPr>
        <w:t>预算年终结余率与上年持平。</w:t>
      </w:r>
    </w:p>
    <w:p w14:paraId="7FD1358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outlineLvl w:val="9"/>
        <w:rPr>
          <w:rFonts w:hint="eastAsia" w:ascii="仿宋" w:hAnsi="仿宋" w:eastAsia="仿宋" w:cs="仿宋"/>
          <w:color w:val="000000"/>
          <w:kern w:val="0"/>
          <w:szCs w:val="32"/>
          <w:highlight w:val="none"/>
          <w:shd w:val="clear" w:color="auto" w:fill="FFFFFF"/>
          <w:lang w:val="en-US" w:eastAsia="zh-CN"/>
        </w:rPr>
      </w:pPr>
      <w:r>
        <w:rPr>
          <w:rFonts w:hint="eastAsia" w:cs="Times New Roman"/>
          <w:lang w:eastAsia="zh-CN"/>
        </w:rPr>
        <w:t>（</w:t>
      </w:r>
      <w:r>
        <w:rPr>
          <w:rFonts w:hint="eastAsia" w:cs="Times New Roman"/>
          <w:lang w:val="en-US" w:eastAsia="zh-CN"/>
        </w:rPr>
        <w:t>5</w:t>
      </w:r>
      <w:r>
        <w:rPr>
          <w:rFonts w:hint="eastAsia" w:cs="Times New Roman"/>
          <w:lang w:eastAsia="zh-CN"/>
        </w:rPr>
        <w:t>）</w:t>
      </w:r>
      <w:r>
        <w:rPr>
          <w:rFonts w:hint="eastAsia" w:ascii="楷体_GB2312" w:hAnsi="楷体_GB2312" w:eastAsia="楷体_GB2312" w:cs="楷体_GB2312"/>
          <w:color w:val="000000"/>
          <w:kern w:val="0"/>
          <w:sz w:val="32"/>
          <w:szCs w:val="32"/>
          <w:highlight w:val="none"/>
          <w:shd w:val="clear" w:color="auto" w:fill="FFFFFF"/>
          <w:lang w:val="zh-CN" w:eastAsia="zh-CN" w:bidi="ar-SA"/>
        </w:rPr>
        <w:t>严控一般性支出。</w:t>
      </w:r>
      <w:r>
        <w:rPr>
          <w:rFonts w:hint="eastAsia" w:ascii="仿宋" w:hAnsi="仿宋" w:eastAsia="仿宋" w:cs="仿宋"/>
          <w:color w:val="000000"/>
          <w:kern w:val="0"/>
          <w:szCs w:val="32"/>
          <w:highlight w:val="none"/>
          <w:shd w:val="clear" w:color="auto" w:fill="FFFFFF"/>
          <w:lang w:val="en-US" w:eastAsia="zh-CN"/>
        </w:rPr>
        <w:t>严控“三公”经费、会议、培训、差旅、办节办展、办公设备购置、信息网络及软件购置更新、课题经费等8项一般性支出。</w:t>
      </w:r>
    </w:p>
    <w:p w14:paraId="0DE430C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Cs w:val="32"/>
          <w:highlight w:val="none"/>
          <w:shd w:val="clear" w:color="auto" w:fill="FFFFFF"/>
          <w:lang w:val="en-US" w:eastAsia="zh-CN"/>
        </w:rPr>
      </w:pPr>
      <w:r>
        <w:rPr>
          <w:rFonts w:hint="default" w:ascii="Times New Roman" w:hAnsi="Times New Roman" w:eastAsia="方正仿宋_GBK" w:cs="Times New Roman"/>
          <w:color w:val="000000"/>
          <w:kern w:val="0"/>
          <w:szCs w:val="32"/>
          <w:highlight w:val="none"/>
          <w:shd w:val="clear" w:color="auto" w:fill="FFFFFF"/>
          <w:lang w:val="en-US" w:eastAsia="zh-CN"/>
        </w:rPr>
        <w:t>2023年“三公”经费支出为0万元，与上年持平。</w:t>
      </w:r>
    </w:p>
    <w:p w14:paraId="0DD9AB7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Cs w:val="32"/>
          <w:highlight w:val="none"/>
          <w:shd w:val="clear" w:color="auto" w:fill="FFFFFF"/>
          <w:lang w:val="en-US" w:eastAsia="zh-CN"/>
        </w:rPr>
      </w:pPr>
      <w:r>
        <w:rPr>
          <w:rFonts w:hint="default" w:ascii="Times New Roman" w:hAnsi="Times New Roman" w:eastAsia="方正仿宋_GBK" w:cs="Times New Roman"/>
          <w:color w:val="000000"/>
          <w:kern w:val="0"/>
          <w:szCs w:val="32"/>
          <w:highlight w:val="none"/>
          <w:shd w:val="clear" w:color="auto" w:fill="FFFFFF"/>
          <w:lang w:val="en-US" w:eastAsia="zh-CN"/>
        </w:rPr>
        <w:t>2023年会议费支出0万元，较上年持平。</w:t>
      </w:r>
    </w:p>
    <w:p w14:paraId="4DB2741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Cs w:val="32"/>
          <w:highlight w:val="none"/>
          <w:shd w:val="clear" w:color="auto" w:fill="FFFFFF"/>
          <w:lang w:val="en-US" w:eastAsia="zh-CN"/>
        </w:rPr>
      </w:pPr>
      <w:r>
        <w:rPr>
          <w:rFonts w:hint="default" w:ascii="Times New Roman" w:hAnsi="Times New Roman" w:eastAsia="方正仿宋_GBK" w:cs="Times New Roman"/>
          <w:color w:val="000000"/>
          <w:kern w:val="0"/>
          <w:szCs w:val="32"/>
          <w:highlight w:val="none"/>
          <w:shd w:val="clear" w:color="auto" w:fill="FFFFFF"/>
          <w:lang w:val="en-US" w:eastAsia="zh-CN"/>
        </w:rPr>
        <w:t>2023年培训费支出0万元，较上年持平较。</w:t>
      </w:r>
    </w:p>
    <w:p w14:paraId="7ACDE8B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 w:val="32"/>
          <w:szCs w:val="32"/>
          <w:highlight w:val="none"/>
          <w:shd w:val="clear" w:color="auto" w:fill="FFFFFF"/>
          <w:lang w:val="zh-CN" w:eastAsia="zh-CN" w:bidi="ar-SA"/>
        </w:rPr>
      </w:pPr>
      <w:r>
        <w:rPr>
          <w:rFonts w:hint="default" w:ascii="Times New Roman" w:hAnsi="Times New Roman" w:eastAsia="方正仿宋_GBK" w:cs="Times New Roman"/>
          <w:color w:val="000000"/>
          <w:kern w:val="0"/>
          <w:szCs w:val="32"/>
          <w:highlight w:val="none"/>
          <w:shd w:val="clear" w:color="auto" w:fill="FFFFFF"/>
          <w:lang w:val="en-US" w:eastAsia="zh-CN"/>
        </w:rPr>
        <w:t>2023年办公设备采购支出0万元，较上年持平。</w:t>
      </w:r>
    </w:p>
    <w:p w14:paraId="589B1606">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default" w:ascii="楷体_GB2312" w:hAnsi="楷体_GB2312" w:eastAsia="楷体_GB2312" w:cs="楷体_GB2312"/>
          <w:color w:val="000000"/>
          <w:kern w:val="0"/>
          <w:szCs w:val="32"/>
          <w:highlight w:val="none"/>
          <w:shd w:val="clear" w:color="auto" w:fill="FFFFFF"/>
          <w:lang w:val="zh-CN"/>
        </w:rPr>
        <w:t>财务管理</w:t>
      </w:r>
      <w:r>
        <w:rPr>
          <w:rFonts w:hint="eastAsia" w:ascii="楷体_GB2312" w:hAnsi="楷体_GB2312" w:eastAsia="楷体_GB2312" w:cs="楷体_GB2312"/>
          <w:color w:val="000000"/>
          <w:kern w:val="0"/>
          <w:szCs w:val="32"/>
          <w:highlight w:val="none"/>
          <w:shd w:val="clear" w:color="auto" w:fill="FFFFFF"/>
          <w:lang w:val="zh-CN"/>
        </w:rPr>
        <w:t>。</w:t>
      </w:r>
    </w:p>
    <w:p w14:paraId="1484C821">
      <w:pPr>
        <w:adjustRightInd w:val="0"/>
        <w:snapToGrid w:val="0"/>
        <w:spacing w:line="578" w:lineRule="exact"/>
        <w:ind w:firstLine="640" w:firstLineChars="200"/>
        <w:contextualSpacing/>
        <w:jc w:val="left"/>
        <w:rPr>
          <w:rFonts w:hint="eastAsia" w:ascii="方正仿宋_GBK" w:hAnsi="方正仿宋_GBK" w:eastAsia="方正仿宋_GBK" w:cs="方正仿宋_GBK"/>
          <w:color w:val="000000"/>
          <w:kern w:val="0"/>
          <w:szCs w:val="32"/>
          <w:highlight w:val="none"/>
          <w:shd w:val="clear" w:color="auto" w:fill="FFFFFF"/>
          <w:lang w:val="zh-CN"/>
        </w:rPr>
      </w:pPr>
      <w:r>
        <w:rPr>
          <w:rFonts w:hint="eastAsia" w:ascii="方正仿宋_GBK" w:hAnsi="方正仿宋_GBK" w:eastAsia="方正仿宋_GBK" w:cs="方正仿宋_GBK"/>
          <w:color w:val="000000"/>
          <w:kern w:val="0"/>
          <w:szCs w:val="32"/>
          <w:shd w:val="clear" w:color="auto" w:fill="FFFFFF"/>
          <w:lang w:val="zh-CN"/>
        </w:rPr>
        <w:t>本单位制定了财务管理相关制度，各项经济业务活动严格按照制度规定执行；根据不相容岗位分离原则，设置了财务工作相关岗位，并明确职责权限；本年度资金使用规范，未发现不符合相关财务管理制度规定的情况。</w:t>
      </w:r>
    </w:p>
    <w:p w14:paraId="257400B4">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default" w:ascii="楷体_GB2312" w:hAnsi="楷体_GB2312" w:eastAsia="楷体_GB2312" w:cs="楷体_GB2312"/>
          <w:color w:val="000000"/>
          <w:kern w:val="0"/>
          <w:szCs w:val="32"/>
          <w:highlight w:val="none"/>
          <w:shd w:val="clear" w:color="auto" w:fill="FFFFFF"/>
          <w:lang w:val="zh-CN"/>
        </w:rPr>
        <w:t>资产管理</w:t>
      </w:r>
      <w:r>
        <w:rPr>
          <w:rFonts w:hint="eastAsia" w:ascii="楷体_GB2312" w:hAnsi="楷体_GB2312" w:eastAsia="楷体_GB2312" w:cs="楷体_GB2312"/>
          <w:color w:val="000000"/>
          <w:kern w:val="0"/>
          <w:szCs w:val="32"/>
          <w:highlight w:val="none"/>
          <w:shd w:val="clear" w:color="auto" w:fill="FFFFFF"/>
          <w:lang w:val="zh-CN"/>
        </w:rPr>
        <w:t>。</w:t>
      </w:r>
    </w:p>
    <w:p w14:paraId="0E0897E5">
      <w:pPr>
        <w:adjustRightInd w:val="0"/>
        <w:snapToGrid w:val="0"/>
        <w:spacing w:line="578" w:lineRule="exact"/>
        <w:ind w:firstLine="640" w:firstLineChars="200"/>
        <w:contextualSpacing/>
        <w:jc w:val="left"/>
        <w:rPr>
          <w:rFonts w:hint="default" w:ascii="Times New Roman" w:hAnsi="Times New Roman" w:eastAsia="方正仿宋_GBK" w:cs="Times New Roman"/>
          <w:color w:val="000000"/>
          <w:kern w:val="0"/>
          <w:szCs w:val="32"/>
          <w:highlight w:val="none"/>
          <w:shd w:val="clear" w:color="auto" w:fill="FFFFFF"/>
          <w:lang w:val="zh-CN"/>
        </w:rPr>
      </w:pPr>
      <w:r>
        <w:rPr>
          <w:rFonts w:hint="default" w:ascii="Times New Roman" w:hAnsi="Times New Roman" w:eastAsia="方正仿宋_GBK" w:cs="Times New Roman"/>
          <w:color w:val="000000"/>
          <w:kern w:val="0"/>
          <w:szCs w:val="32"/>
          <w:shd w:val="clear" w:color="auto" w:fill="FFFFFF"/>
          <w:lang w:val="en-US" w:eastAsia="zh-CN"/>
        </w:rPr>
        <w:t>2023年资产未增加和减少，无资产处置。无超标准配置情况，资产配置预算偏离度0。办公家具及办公设备等资产的超最低使用年限资产利用率为100.00%，</w:t>
      </w:r>
      <w:r>
        <w:rPr>
          <w:rFonts w:hint="default" w:ascii="Times New Roman" w:hAnsi="Times New Roman" w:eastAsia="方正仿宋_GBK" w:cs="Times New Roman"/>
          <w:color w:val="000000"/>
          <w:kern w:val="0"/>
          <w:szCs w:val="32"/>
          <w:shd w:val="clear" w:color="auto" w:fill="FFFFFF"/>
          <w:lang w:val="zh-CN"/>
        </w:rPr>
        <w:t>资产利用</w:t>
      </w:r>
      <w:r>
        <w:rPr>
          <w:rFonts w:hint="default" w:ascii="Times New Roman" w:hAnsi="Times New Roman" w:eastAsia="方正仿宋_GBK" w:cs="Times New Roman"/>
          <w:color w:val="000000"/>
          <w:kern w:val="0"/>
          <w:szCs w:val="32"/>
          <w:shd w:val="clear" w:color="auto" w:fill="FFFFFF"/>
          <w:lang w:val="en-US" w:eastAsia="zh-CN"/>
        </w:rPr>
        <w:t>100.00%</w:t>
      </w:r>
    </w:p>
    <w:p w14:paraId="40DCE3BB">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default" w:ascii="Times New Roman" w:hAnsi="Times New Roman" w:eastAsia="方正仿宋_GBK" w:cs="Times New Roman"/>
          <w:color w:val="000000"/>
          <w:kern w:val="0"/>
          <w:szCs w:val="32"/>
          <w:shd w:val="clear" w:color="auto" w:fill="FFFFFF"/>
          <w:lang w:val="zh-CN"/>
        </w:rPr>
      </w:pPr>
      <w:r>
        <w:rPr>
          <w:rFonts w:hint="default" w:ascii="Times New Roman" w:hAnsi="Times New Roman" w:eastAsia="方正仿宋_GBK" w:cs="Times New Roman"/>
          <w:color w:val="000000"/>
          <w:kern w:val="0"/>
          <w:szCs w:val="32"/>
          <w:highlight w:val="none"/>
          <w:shd w:val="clear" w:color="auto" w:fill="FFFFFF"/>
          <w:lang w:val="zh-CN"/>
        </w:rPr>
        <w:t>采购管理。</w:t>
      </w:r>
    </w:p>
    <w:p w14:paraId="4E0E4FE7">
      <w:pPr>
        <w:numPr>
          <w:ilvl w:val="0"/>
          <w:numId w:val="0"/>
        </w:numPr>
        <w:spacing w:line="600" w:lineRule="exact"/>
        <w:ind w:firstLine="640" w:firstLineChars="200"/>
        <w:rPr>
          <w:rFonts w:hint="default" w:ascii="Times New Roman" w:hAnsi="Times New Roman" w:eastAsia="方正仿宋_GBK" w:cs="Times New Roman"/>
          <w:color w:val="000000"/>
          <w:kern w:val="0"/>
          <w:szCs w:val="32"/>
          <w:highlight w:val="none"/>
          <w:shd w:val="clear" w:color="auto" w:fill="FFFFFF"/>
          <w:lang w:val="zh-CN"/>
        </w:rPr>
      </w:pPr>
      <w:r>
        <w:rPr>
          <w:rFonts w:hint="default" w:ascii="Times New Roman" w:hAnsi="Times New Roman" w:eastAsia="方正仿宋_GBK" w:cs="Times New Roman"/>
          <w:color w:val="000000"/>
          <w:kern w:val="0"/>
          <w:szCs w:val="32"/>
          <w:shd w:val="clear" w:color="auto" w:fill="FFFFFF"/>
          <w:lang w:val="en-US" w:eastAsia="zh-CN"/>
        </w:rPr>
        <w:t>2023年无政府采购预算和支出，政府采购预算无偏离度</w:t>
      </w:r>
      <w:r>
        <w:rPr>
          <w:rFonts w:hint="eastAsia" w:eastAsia="方正仿宋_GBK" w:cs="Times New Roman"/>
          <w:color w:val="000000"/>
          <w:kern w:val="0"/>
          <w:szCs w:val="32"/>
          <w:shd w:val="clear" w:color="auto" w:fill="FFFFFF"/>
          <w:lang w:val="en-US" w:eastAsia="zh-CN"/>
        </w:rPr>
        <w:t>0.00</w:t>
      </w:r>
      <w:r>
        <w:rPr>
          <w:rFonts w:hint="default" w:ascii="Times New Roman" w:hAnsi="Times New Roman" w:eastAsia="方正仿宋_GBK" w:cs="Times New Roman"/>
          <w:color w:val="000000"/>
          <w:kern w:val="0"/>
          <w:szCs w:val="32"/>
          <w:shd w:val="clear" w:color="auto" w:fill="FFFFFF"/>
          <w:lang w:val="en-US" w:eastAsia="zh-CN"/>
        </w:rPr>
        <w:t>。</w:t>
      </w:r>
    </w:p>
    <w:p w14:paraId="69F17FDC">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p>
    <w:p w14:paraId="1E82B90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Cs w:val="32"/>
          <w:highlight w:val="none"/>
          <w:shd w:val="clear" w:color="auto" w:fill="FFFFFF"/>
          <w:lang w:val="zh-CN" w:eastAsia="zh-CN"/>
        </w:rPr>
      </w:pPr>
      <w:r>
        <w:rPr>
          <w:rFonts w:hint="default" w:ascii="Times New Roman" w:hAnsi="Times New Roman" w:eastAsia="方正仿宋_GBK" w:cs="Times New Roman"/>
          <w:color w:val="000000"/>
          <w:kern w:val="0"/>
          <w:szCs w:val="32"/>
          <w:highlight w:val="none"/>
          <w:shd w:val="clear" w:color="auto" w:fill="FFFFFF"/>
          <w:lang w:val="en-US" w:eastAsia="zh-CN"/>
        </w:rPr>
        <w:t>常年项目绩效分析。</w:t>
      </w:r>
      <w:r>
        <w:rPr>
          <w:rFonts w:hint="default" w:ascii="Times New Roman" w:hAnsi="Times New Roman" w:eastAsia="方正仿宋_GBK" w:cs="Times New Roman"/>
          <w:color w:val="000000"/>
          <w:kern w:val="0"/>
          <w:szCs w:val="32"/>
          <w:highlight w:val="none"/>
          <w:shd w:val="clear" w:color="auto" w:fill="FFFFFF"/>
          <w:lang w:val="zh-CN" w:eastAsia="zh-CN"/>
        </w:rPr>
        <w:t>该类项目总数</w:t>
      </w:r>
      <w:r>
        <w:rPr>
          <w:rFonts w:hint="default" w:ascii="Times New Roman" w:hAnsi="Times New Roman" w:eastAsia="方正仿宋_GBK" w:cs="Times New Roman"/>
          <w:color w:val="000000"/>
          <w:kern w:val="0"/>
          <w:szCs w:val="32"/>
          <w:highlight w:val="none"/>
          <w:shd w:val="clear" w:color="auto" w:fill="FFFFFF"/>
          <w:lang w:val="en-US" w:eastAsia="zh-CN"/>
        </w:rPr>
        <w:t>8</w:t>
      </w:r>
      <w:r>
        <w:rPr>
          <w:rFonts w:hint="default" w:ascii="Times New Roman" w:hAnsi="Times New Roman" w:eastAsia="方正仿宋_GBK" w:cs="Times New Roman"/>
          <w:color w:val="000000"/>
          <w:kern w:val="0"/>
          <w:szCs w:val="32"/>
          <w:highlight w:val="none"/>
          <w:shd w:val="clear" w:color="auto" w:fill="FFFFFF"/>
          <w:lang w:val="zh-CN" w:eastAsia="zh-CN"/>
        </w:rPr>
        <w:t>个，涉及预算总金额</w:t>
      </w:r>
      <w:r>
        <w:rPr>
          <w:rFonts w:hint="default" w:ascii="Times New Roman" w:hAnsi="Times New Roman" w:eastAsia="方正仿宋_GBK" w:cs="Times New Roman"/>
          <w:color w:val="000000"/>
          <w:kern w:val="0"/>
          <w:szCs w:val="32"/>
          <w:highlight w:val="none"/>
          <w:shd w:val="clear" w:color="auto" w:fill="FFFFFF"/>
          <w:lang w:val="en-US" w:eastAsia="zh-CN"/>
        </w:rPr>
        <w:t xml:space="preserve"> 171.55</w:t>
      </w:r>
      <w:r>
        <w:rPr>
          <w:rFonts w:hint="default" w:ascii="Times New Roman" w:hAnsi="Times New Roman" w:eastAsia="方正仿宋_GBK" w:cs="Times New Roman"/>
          <w:color w:val="000000"/>
          <w:kern w:val="0"/>
          <w:szCs w:val="32"/>
          <w:highlight w:val="none"/>
          <w:shd w:val="clear" w:color="auto" w:fill="FFFFFF"/>
          <w:lang w:val="zh-CN" w:eastAsia="zh-CN"/>
        </w:rPr>
        <w:t>万元，</w:t>
      </w:r>
      <w:r>
        <w:rPr>
          <w:rFonts w:hint="default" w:ascii="Times New Roman" w:hAnsi="Times New Roman" w:eastAsia="方正仿宋_GBK" w:cs="Times New Roman"/>
          <w:color w:val="000000"/>
          <w:kern w:val="0"/>
          <w:szCs w:val="32"/>
          <w:highlight w:val="none"/>
          <w:shd w:val="clear" w:color="auto" w:fill="FFFFFF"/>
          <w:lang w:val="zh-CN"/>
        </w:rPr>
        <w:t>1</w:t>
      </w:r>
      <w:r>
        <w:rPr>
          <w:rFonts w:hint="default" w:ascii="Times New Roman" w:hAnsi="Times New Roman" w:eastAsia="方正仿宋_GBK" w:cs="Times New Roman"/>
          <w:color w:val="000000"/>
          <w:kern w:val="0"/>
          <w:szCs w:val="32"/>
          <w:highlight w:val="none"/>
          <w:shd w:val="clear" w:color="auto" w:fill="FFFFFF"/>
          <w:lang w:val="zh-CN" w:eastAsia="zh-CN"/>
        </w:rPr>
        <w:t>—</w:t>
      </w:r>
      <w:r>
        <w:rPr>
          <w:rFonts w:hint="default" w:ascii="Times New Roman" w:hAnsi="Times New Roman" w:eastAsia="方正仿宋_GBK" w:cs="Times New Roman"/>
          <w:color w:val="000000"/>
          <w:kern w:val="0"/>
          <w:szCs w:val="32"/>
          <w:highlight w:val="none"/>
          <w:shd w:val="clear" w:color="auto" w:fill="FFFFFF"/>
          <w:lang w:val="zh-CN"/>
        </w:rPr>
        <w:t>1</w:t>
      </w:r>
      <w:r>
        <w:rPr>
          <w:rFonts w:hint="default" w:ascii="Times New Roman" w:hAnsi="Times New Roman" w:eastAsia="方正仿宋_GBK" w:cs="Times New Roman"/>
          <w:color w:val="000000"/>
          <w:kern w:val="0"/>
          <w:szCs w:val="32"/>
          <w:highlight w:val="none"/>
          <w:shd w:val="clear" w:color="auto" w:fill="FFFFFF"/>
          <w:lang w:val="en-US" w:eastAsia="zh-CN"/>
        </w:rPr>
        <w:t>2</w:t>
      </w:r>
      <w:r>
        <w:rPr>
          <w:rFonts w:hint="default" w:ascii="Times New Roman" w:hAnsi="Times New Roman" w:eastAsia="方正仿宋_GBK" w:cs="Times New Roman"/>
          <w:color w:val="000000"/>
          <w:kern w:val="0"/>
          <w:szCs w:val="32"/>
          <w:highlight w:val="none"/>
          <w:shd w:val="clear" w:color="auto" w:fill="FFFFFF"/>
          <w:lang w:val="zh-CN"/>
        </w:rPr>
        <w:t>月预算执行总体进度为</w:t>
      </w:r>
      <w:r>
        <w:rPr>
          <w:rFonts w:hint="default" w:ascii="Times New Roman" w:hAnsi="Times New Roman" w:eastAsia="方正仿宋_GBK" w:cs="Times New Roman"/>
          <w:color w:val="000000"/>
          <w:kern w:val="0"/>
          <w:szCs w:val="32"/>
          <w:highlight w:val="none"/>
          <w:shd w:val="clear" w:color="auto" w:fill="FFFFFF"/>
          <w:lang w:val="en-US" w:eastAsia="zh-CN"/>
        </w:rPr>
        <w:t>100</w:t>
      </w:r>
      <w:r>
        <w:rPr>
          <w:rFonts w:hint="default" w:ascii="Times New Roman" w:hAnsi="Times New Roman" w:eastAsia="方正仿宋_GBK" w:cs="Times New Roman"/>
          <w:color w:val="000000"/>
          <w:kern w:val="0"/>
          <w:szCs w:val="32"/>
          <w:highlight w:val="none"/>
          <w:shd w:val="clear" w:color="auto" w:fill="FFFFFF"/>
          <w:lang w:val="zh-CN"/>
        </w:rPr>
        <w:t>%，其中：</w:t>
      </w:r>
      <w:r>
        <w:rPr>
          <w:rFonts w:hint="default" w:ascii="Times New Roman" w:hAnsi="Times New Roman" w:eastAsia="方正仿宋_GBK" w:cs="Times New Roman"/>
          <w:color w:val="000000"/>
          <w:kern w:val="0"/>
          <w:szCs w:val="32"/>
          <w:highlight w:val="none"/>
          <w:shd w:val="clear" w:color="auto" w:fill="FFFFFF"/>
          <w:lang w:val="zh-CN" w:eastAsia="zh-CN"/>
        </w:rPr>
        <w:t>预算结余率大于</w:t>
      </w:r>
      <w:r>
        <w:rPr>
          <w:rFonts w:hint="default" w:ascii="Times New Roman" w:hAnsi="Times New Roman" w:eastAsia="方正仿宋_GBK" w:cs="Times New Roman"/>
          <w:color w:val="000000"/>
          <w:kern w:val="0"/>
          <w:szCs w:val="32"/>
          <w:highlight w:val="none"/>
          <w:shd w:val="clear" w:color="auto" w:fill="FFFFFF"/>
          <w:lang w:val="en-US" w:eastAsia="zh-CN"/>
        </w:rPr>
        <w:t>10%</w:t>
      </w:r>
      <w:r>
        <w:rPr>
          <w:rFonts w:hint="default" w:ascii="Times New Roman" w:hAnsi="Times New Roman" w:eastAsia="方正仿宋_GBK" w:cs="Times New Roman"/>
          <w:color w:val="000000"/>
          <w:kern w:val="0"/>
          <w:szCs w:val="32"/>
          <w:highlight w:val="none"/>
          <w:shd w:val="clear" w:color="auto" w:fill="FFFFFF"/>
          <w:lang w:val="zh-CN" w:eastAsia="zh-CN"/>
        </w:rPr>
        <w:t>的项目共计</w:t>
      </w:r>
      <w:r>
        <w:rPr>
          <w:rFonts w:hint="default" w:ascii="Times New Roman" w:hAnsi="Times New Roman" w:eastAsia="方正仿宋_GBK" w:cs="Times New Roman"/>
          <w:color w:val="000000"/>
          <w:kern w:val="0"/>
          <w:szCs w:val="32"/>
          <w:highlight w:val="none"/>
          <w:shd w:val="clear" w:color="auto" w:fill="FFFFFF"/>
          <w:lang w:val="en-US" w:eastAsia="zh-CN"/>
        </w:rPr>
        <w:t>0</w:t>
      </w:r>
      <w:r>
        <w:rPr>
          <w:rFonts w:hint="default" w:ascii="Times New Roman" w:hAnsi="Times New Roman" w:eastAsia="方正仿宋_GBK" w:cs="Times New Roman"/>
          <w:color w:val="000000"/>
          <w:kern w:val="0"/>
          <w:szCs w:val="32"/>
          <w:highlight w:val="none"/>
          <w:shd w:val="clear" w:color="auto" w:fill="FFFFFF"/>
          <w:lang w:val="zh-CN" w:eastAsia="zh-CN"/>
        </w:rPr>
        <w:t>个。</w:t>
      </w:r>
    </w:p>
    <w:p w14:paraId="597FFAC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Cs w:val="32"/>
          <w:highlight w:val="none"/>
          <w:shd w:val="clear" w:color="auto" w:fill="FFFFFF"/>
          <w:lang w:val="zh-CN" w:eastAsia="zh-CN"/>
        </w:rPr>
      </w:pPr>
      <w:r>
        <w:rPr>
          <w:rFonts w:hint="default" w:ascii="Times New Roman" w:hAnsi="Times New Roman" w:eastAsia="方正仿宋_GBK" w:cs="Times New Roman"/>
          <w:color w:val="000000"/>
          <w:kern w:val="0"/>
          <w:szCs w:val="32"/>
          <w:highlight w:val="none"/>
          <w:shd w:val="clear" w:color="auto" w:fill="FFFFFF"/>
          <w:lang w:val="en-US" w:eastAsia="zh-CN"/>
        </w:rPr>
        <w:t>阶段（一次性）项目绩效分析。</w:t>
      </w:r>
      <w:r>
        <w:rPr>
          <w:rFonts w:hint="default" w:ascii="Times New Roman" w:hAnsi="Times New Roman" w:eastAsia="方正仿宋_GBK" w:cs="Times New Roman"/>
          <w:color w:val="000000"/>
          <w:kern w:val="0"/>
          <w:szCs w:val="32"/>
          <w:highlight w:val="none"/>
          <w:shd w:val="clear" w:color="auto" w:fill="FFFFFF"/>
          <w:lang w:val="zh-CN" w:eastAsia="zh-CN"/>
        </w:rPr>
        <w:t>该类项目总数</w:t>
      </w:r>
      <w:r>
        <w:rPr>
          <w:rFonts w:hint="default" w:ascii="Times New Roman" w:hAnsi="Times New Roman" w:eastAsia="方正仿宋_GBK" w:cs="Times New Roman"/>
          <w:color w:val="000000"/>
          <w:kern w:val="0"/>
          <w:szCs w:val="32"/>
          <w:highlight w:val="none"/>
          <w:shd w:val="clear" w:color="auto" w:fill="FFFFFF"/>
          <w:lang w:val="en-US" w:eastAsia="zh-CN"/>
        </w:rPr>
        <w:t>3</w:t>
      </w:r>
      <w:r>
        <w:rPr>
          <w:rFonts w:hint="default" w:ascii="Times New Roman" w:hAnsi="Times New Roman" w:eastAsia="方正仿宋_GBK" w:cs="Times New Roman"/>
          <w:color w:val="000000"/>
          <w:kern w:val="0"/>
          <w:szCs w:val="32"/>
          <w:highlight w:val="none"/>
          <w:shd w:val="clear" w:color="auto" w:fill="FFFFFF"/>
          <w:lang w:val="zh-CN" w:eastAsia="zh-CN"/>
        </w:rPr>
        <w:t>个，涉及预算总金额</w:t>
      </w:r>
      <w:r>
        <w:rPr>
          <w:rFonts w:hint="default" w:ascii="Times New Roman" w:hAnsi="Times New Roman" w:eastAsia="方正仿宋_GBK" w:cs="Times New Roman"/>
          <w:color w:val="000000"/>
          <w:kern w:val="0"/>
          <w:szCs w:val="32"/>
          <w:highlight w:val="none"/>
          <w:shd w:val="clear" w:color="auto" w:fill="FFFFFF"/>
          <w:lang w:val="en-US" w:eastAsia="zh-CN"/>
        </w:rPr>
        <w:t>55.84</w:t>
      </w:r>
      <w:r>
        <w:rPr>
          <w:rFonts w:hint="default" w:ascii="Times New Roman" w:hAnsi="Times New Roman" w:eastAsia="方正仿宋_GBK" w:cs="Times New Roman"/>
          <w:color w:val="000000"/>
          <w:kern w:val="0"/>
          <w:szCs w:val="32"/>
          <w:highlight w:val="none"/>
          <w:shd w:val="clear" w:color="auto" w:fill="FFFFFF"/>
          <w:lang w:val="zh-CN" w:eastAsia="zh-CN"/>
        </w:rPr>
        <w:t>万元，</w:t>
      </w:r>
      <w:r>
        <w:rPr>
          <w:rFonts w:hint="default" w:ascii="Times New Roman" w:hAnsi="Times New Roman" w:eastAsia="方正仿宋_GBK" w:cs="Times New Roman"/>
          <w:color w:val="000000"/>
          <w:kern w:val="0"/>
          <w:szCs w:val="32"/>
          <w:highlight w:val="none"/>
          <w:shd w:val="clear" w:color="auto" w:fill="FFFFFF"/>
          <w:lang w:val="zh-CN"/>
        </w:rPr>
        <w:t>1</w:t>
      </w:r>
      <w:r>
        <w:rPr>
          <w:rFonts w:hint="default" w:ascii="Times New Roman" w:hAnsi="Times New Roman" w:eastAsia="方正仿宋_GBK" w:cs="Times New Roman"/>
          <w:color w:val="000000"/>
          <w:kern w:val="0"/>
          <w:szCs w:val="32"/>
          <w:highlight w:val="none"/>
          <w:shd w:val="clear" w:color="auto" w:fill="FFFFFF"/>
          <w:lang w:val="zh-CN" w:eastAsia="zh-CN"/>
        </w:rPr>
        <w:t>—</w:t>
      </w:r>
      <w:r>
        <w:rPr>
          <w:rFonts w:hint="default" w:ascii="Times New Roman" w:hAnsi="Times New Roman" w:eastAsia="方正仿宋_GBK" w:cs="Times New Roman"/>
          <w:color w:val="000000"/>
          <w:kern w:val="0"/>
          <w:szCs w:val="32"/>
          <w:highlight w:val="none"/>
          <w:shd w:val="clear" w:color="auto" w:fill="FFFFFF"/>
          <w:lang w:val="zh-CN"/>
        </w:rPr>
        <w:t>1</w:t>
      </w:r>
      <w:r>
        <w:rPr>
          <w:rFonts w:hint="default" w:ascii="Times New Roman" w:hAnsi="Times New Roman" w:eastAsia="方正仿宋_GBK" w:cs="Times New Roman"/>
          <w:color w:val="000000"/>
          <w:kern w:val="0"/>
          <w:szCs w:val="32"/>
          <w:highlight w:val="none"/>
          <w:shd w:val="clear" w:color="auto" w:fill="FFFFFF"/>
          <w:lang w:val="en-US" w:eastAsia="zh-CN"/>
        </w:rPr>
        <w:t>2</w:t>
      </w:r>
      <w:r>
        <w:rPr>
          <w:rFonts w:hint="default" w:ascii="Times New Roman" w:hAnsi="Times New Roman" w:eastAsia="方正仿宋_GBK" w:cs="Times New Roman"/>
          <w:color w:val="000000"/>
          <w:kern w:val="0"/>
          <w:szCs w:val="32"/>
          <w:highlight w:val="none"/>
          <w:shd w:val="clear" w:color="auto" w:fill="FFFFFF"/>
          <w:lang w:val="zh-CN"/>
        </w:rPr>
        <w:t>月预算执行总体进度为</w:t>
      </w:r>
      <w:r>
        <w:rPr>
          <w:rFonts w:hint="default" w:ascii="Times New Roman" w:hAnsi="Times New Roman" w:eastAsia="方正仿宋_GBK" w:cs="Times New Roman"/>
          <w:color w:val="000000"/>
          <w:kern w:val="0"/>
          <w:szCs w:val="32"/>
          <w:highlight w:val="none"/>
          <w:shd w:val="clear" w:color="auto" w:fill="FFFFFF"/>
          <w:lang w:val="en-US" w:eastAsia="zh-CN"/>
        </w:rPr>
        <w:t xml:space="preserve">100 </w:t>
      </w:r>
      <w:r>
        <w:rPr>
          <w:rFonts w:hint="default" w:ascii="Times New Roman" w:hAnsi="Times New Roman" w:eastAsia="方正仿宋_GBK" w:cs="Times New Roman"/>
          <w:color w:val="000000"/>
          <w:kern w:val="0"/>
          <w:szCs w:val="32"/>
          <w:highlight w:val="none"/>
          <w:shd w:val="clear" w:color="auto" w:fill="FFFFFF"/>
          <w:lang w:val="zh-CN"/>
        </w:rPr>
        <w:t>%，其中：</w:t>
      </w:r>
      <w:r>
        <w:rPr>
          <w:rFonts w:hint="default" w:ascii="Times New Roman" w:hAnsi="Times New Roman" w:eastAsia="方正仿宋_GBK" w:cs="Times New Roman"/>
          <w:color w:val="000000"/>
          <w:kern w:val="0"/>
          <w:szCs w:val="32"/>
          <w:highlight w:val="none"/>
          <w:shd w:val="clear" w:color="auto" w:fill="FFFFFF"/>
          <w:lang w:val="zh-CN" w:eastAsia="zh-CN"/>
        </w:rPr>
        <w:t>预算结余率大于</w:t>
      </w:r>
      <w:r>
        <w:rPr>
          <w:rFonts w:hint="default" w:ascii="Times New Roman" w:hAnsi="Times New Roman" w:eastAsia="方正仿宋_GBK" w:cs="Times New Roman"/>
          <w:color w:val="000000"/>
          <w:kern w:val="0"/>
          <w:szCs w:val="32"/>
          <w:highlight w:val="none"/>
          <w:shd w:val="clear" w:color="auto" w:fill="FFFFFF"/>
          <w:lang w:val="en-US" w:eastAsia="zh-CN"/>
        </w:rPr>
        <w:t>10%</w:t>
      </w:r>
      <w:r>
        <w:rPr>
          <w:rFonts w:hint="default" w:ascii="Times New Roman" w:hAnsi="Times New Roman" w:eastAsia="方正仿宋_GBK" w:cs="Times New Roman"/>
          <w:color w:val="000000"/>
          <w:kern w:val="0"/>
          <w:szCs w:val="32"/>
          <w:highlight w:val="none"/>
          <w:shd w:val="clear" w:color="auto" w:fill="FFFFFF"/>
          <w:lang w:val="zh-CN" w:eastAsia="zh-CN"/>
        </w:rPr>
        <w:t>的项目共计</w:t>
      </w:r>
      <w:r>
        <w:rPr>
          <w:rFonts w:hint="default" w:ascii="Times New Roman" w:hAnsi="Times New Roman" w:eastAsia="方正仿宋_GBK" w:cs="Times New Roman"/>
          <w:color w:val="000000"/>
          <w:kern w:val="0"/>
          <w:szCs w:val="32"/>
          <w:highlight w:val="none"/>
          <w:shd w:val="clear" w:color="auto" w:fill="FFFFFF"/>
          <w:lang w:val="en-US" w:eastAsia="zh-CN"/>
        </w:rPr>
        <w:t xml:space="preserve"> 0</w:t>
      </w:r>
      <w:r>
        <w:rPr>
          <w:rFonts w:hint="default" w:ascii="Times New Roman" w:hAnsi="Times New Roman" w:eastAsia="方正仿宋_GBK" w:cs="Times New Roman"/>
          <w:color w:val="000000"/>
          <w:kern w:val="0"/>
          <w:szCs w:val="32"/>
          <w:highlight w:val="none"/>
          <w:shd w:val="clear" w:color="auto" w:fill="FFFFFF"/>
          <w:lang w:val="zh-CN" w:eastAsia="zh-CN"/>
        </w:rPr>
        <w:t>个。</w:t>
      </w:r>
    </w:p>
    <w:p w14:paraId="0E4F972B">
      <w:pPr>
        <w:keepNext w:val="0"/>
        <w:keepLines w:val="0"/>
        <w:pageBreakBefore w:val="0"/>
        <w:widowControl w:val="0"/>
        <w:numPr>
          <w:ilvl w:val="0"/>
          <w:numId w:val="2"/>
        </w:numPr>
        <w:kinsoku/>
        <w:wordWrap/>
        <w:overflowPunct/>
        <w:topLinePunct w:val="0"/>
        <w:autoSpaceDE/>
        <w:autoSpaceDN/>
        <w:bidi w:val="0"/>
        <w:adjustRightInd w:val="0"/>
        <w:snapToGrid w:val="0"/>
        <w:spacing w:line="59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项目决策。</w:t>
      </w:r>
    </w:p>
    <w:p w14:paraId="5F9F1160">
      <w:pPr>
        <w:adjustRightInd w:val="0"/>
        <w:snapToGrid w:val="0"/>
        <w:spacing w:line="578" w:lineRule="exact"/>
        <w:ind w:firstLine="640" w:firstLineChars="200"/>
        <w:contextualSpacing/>
        <w:jc w:val="left"/>
        <w:rPr>
          <w:rFonts w:hint="eastAsia" w:ascii="方正仿宋_GBK" w:hAnsi="方正仿宋_GBK" w:eastAsia="方正仿宋_GBK" w:cs="方正仿宋_GBK"/>
          <w:color w:val="000000"/>
          <w:kern w:val="0"/>
          <w:szCs w:val="32"/>
          <w:highlight w:val="none"/>
          <w:shd w:val="clear" w:color="auto" w:fill="FFFFFF"/>
          <w:lang w:val="zh-CN"/>
        </w:rPr>
      </w:pPr>
      <w:r>
        <w:rPr>
          <w:rFonts w:hint="eastAsia" w:ascii="方正仿宋_GBK" w:hAnsi="方正仿宋_GBK" w:eastAsia="方正仿宋_GBK" w:cs="方正仿宋_GBK"/>
          <w:color w:val="000000"/>
          <w:kern w:val="0"/>
          <w:szCs w:val="32"/>
          <w:shd w:val="clear" w:color="auto" w:fill="FFFFFF"/>
          <w:lang w:val="en-US" w:eastAsia="zh-CN"/>
        </w:rPr>
        <w:t>本单位项目</w:t>
      </w:r>
      <w:r>
        <w:rPr>
          <w:rFonts w:hint="eastAsia" w:ascii="方正仿宋_GBK" w:hAnsi="方正仿宋_GBK" w:eastAsia="方正仿宋_GBK" w:cs="方正仿宋_GBK"/>
          <w:color w:val="000000"/>
          <w:kern w:val="0"/>
          <w:szCs w:val="32"/>
          <w:shd w:val="clear" w:color="auto" w:fill="FFFFFF"/>
          <w:lang w:val="zh-CN" w:eastAsia="zh-CN"/>
        </w:rPr>
        <w:t>设立</w:t>
      </w:r>
      <w:r>
        <w:rPr>
          <w:rFonts w:hint="eastAsia" w:ascii="方正仿宋_GBK" w:hAnsi="方正仿宋_GBK" w:eastAsia="方正仿宋_GBK" w:cs="方正仿宋_GBK"/>
          <w:color w:val="000000"/>
          <w:kern w:val="0"/>
          <w:szCs w:val="32"/>
          <w:shd w:val="clear" w:color="auto" w:fill="FFFFFF"/>
          <w:lang w:val="en-US" w:eastAsia="zh-CN"/>
        </w:rPr>
        <w:t>严格按照</w:t>
      </w:r>
      <w:r>
        <w:rPr>
          <w:rFonts w:hint="eastAsia" w:ascii="方正仿宋_GBK" w:hAnsi="方正仿宋_GBK" w:eastAsia="方正仿宋_GBK" w:cs="方正仿宋_GBK"/>
          <w:color w:val="000000"/>
          <w:kern w:val="0"/>
          <w:szCs w:val="32"/>
          <w:shd w:val="clear" w:color="auto" w:fill="FFFFFF"/>
          <w:lang w:val="zh-CN" w:eastAsia="zh-CN"/>
        </w:rPr>
        <w:t>规定履行评估论证，</w:t>
      </w:r>
      <w:r>
        <w:rPr>
          <w:rFonts w:hint="eastAsia" w:ascii="方正仿宋_GBK" w:hAnsi="方正仿宋_GBK" w:eastAsia="方正仿宋_GBK" w:cs="方正仿宋_GBK"/>
          <w:color w:val="000000"/>
          <w:kern w:val="0"/>
          <w:szCs w:val="32"/>
          <w:shd w:val="clear" w:color="auto" w:fill="FFFFFF"/>
          <w:lang w:val="en-US" w:eastAsia="zh-CN"/>
        </w:rPr>
        <w:t>并按照项目入库管理流程进行申报审核，</w:t>
      </w:r>
      <w:r>
        <w:rPr>
          <w:rFonts w:hint="eastAsia" w:ascii="方正仿宋_GBK" w:hAnsi="方正仿宋_GBK" w:eastAsia="方正仿宋_GBK" w:cs="方正仿宋_GBK"/>
          <w:color w:val="000000"/>
          <w:kern w:val="0"/>
          <w:szCs w:val="32"/>
          <w:shd w:val="clear" w:color="auto" w:fill="FFFFFF"/>
          <w:lang w:val="zh-CN" w:eastAsia="zh-CN"/>
        </w:rPr>
        <w:t>切实按照</w:t>
      </w:r>
      <w:r>
        <w:rPr>
          <w:rFonts w:hint="eastAsia" w:ascii="方正仿宋_GBK" w:hAnsi="方正仿宋_GBK" w:eastAsia="方正仿宋_GBK" w:cs="方正仿宋_GBK"/>
          <w:color w:val="000000"/>
          <w:kern w:val="0"/>
          <w:szCs w:val="32"/>
          <w:shd w:val="clear" w:color="auto" w:fill="FFFFFF"/>
          <w:lang w:val="en-US" w:eastAsia="zh-CN"/>
        </w:rPr>
        <w:t>上级部门要求</w:t>
      </w:r>
      <w:r>
        <w:rPr>
          <w:rFonts w:hint="eastAsia" w:ascii="方正仿宋_GBK" w:hAnsi="方正仿宋_GBK" w:eastAsia="方正仿宋_GBK" w:cs="方正仿宋_GBK"/>
          <w:color w:val="000000"/>
          <w:kern w:val="0"/>
          <w:szCs w:val="32"/>
          <w:shd w:val="clear" w:color="auto" w:fill="FFFFFF"/>
          <w:lang w:val="zh-CN" w:eastAsia="zh-CN"/>
        </w:rPr>
        <w:t>和年度重点任务制定绩效目标，编制要素科学合理、规范完整，绩效指标编制细化量化，与预算安排相匹配。预算项目</w:t>
      </w:r>
      <w:r>
        <w:rPr>
          <w:rFonts w:hint="eastAsia" w:ascii="方正仿宋_GBK" w:hAnsi="方正仿宋_GBK" w:eastAsia="方正仿宋_GBK" w:cs="方正仿宋_GBK"/>
          <w:color w:val="000000"/>
          <w:kern w:val="0"/>
          <w:szCs w:val="32"/>
          <w:shd w:val="clear" w:color="auto" w:fill="FFFFFF"/>
          <w:lang w:val="en-US" w:eastAsia="zh-CN"/>
        </w:rPr>
        <w:t>均在</w:t>
      </w:r>
      <w:r>
        <w:rPr>
          <w:rFonts w:hint="eastAsia" w:ascii="方正仿宋_GBK" w:hAnsi="方正仿宋_GBK" w:eastAsia="方正仿宋_GBK" w:cs="方正仿宋_GBK"/>
          <w:color w:val="000000"/>
          <w:kern w:val="0"/>
          <w:szCs w:val="32"/>
          <w:shd w:val="clear" w:color="auto" w:fill="FFFFFF"/>
          <w:lang w:val="zh-CN" w:eastAsia="zh-CN"/>
        </w:rPr>
        <w:t>规定时间完成项目入库。</w:t>
      </w:r>
    </w:p>
    <w:p w14:paraId="6FBE2745">
      <w:pPr>
        <w:keepNext w:val="0"/>
        <w:keepLines w:val="0"/>
        <w:pageBreakBefore w:val="0"/>
        <w:widowControl w:val="0"/>
        <w:numPr>
          <w:ilvl w:val="0"/>
          <w:numId w:val="3"/>
        </w:numPr>
        <w:kinsoku/>
        <w:wordWrap/>
        <w:overflowPunct/>
        <w:topLinePunct w:val="0"/>
        <w:autoSpaceDE/>
        <w:autoSpaceDN/>
        <w:bidi w:val="0"/>
        <w:adjustRightInd w:val="0"/>
        <w:snapToGrid w:val="0"/>
        <w:spacing w:line="59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项目执行</w:t>
      </w:r>
      <w:r>
        <w:rPr>
          <w:rFonts w:hint="eastAsia" w:ascii="楷体_GB2312" w:hAnsi="楷体_GB2312" w:eastAsia="楷体_GB2312" w:cs="楷体_GB2312"/>
          <w:color w:val="000000"/>
          <w:kern w:val="0"/>
          <w:szCs w:val="32"/>
          <w:highlight w:val="none"/>
          <w:shd w:val="clear" w:color="auto" w:fill="FFFFFF"/>
          <w:lang w:val="zh-CN"/>
        </w:rPr>
        <w:t>。</w:t>
      </w:r>
    </w:p>
    <w:p w14:paraId="6F840D2D">
      <w:pPr>
        <w:keepNext w:val="0"/>
        <w:keepLines w:val="0"/>
        <w:pageBreakBefore w:val="0"/>
        <w:widowControl w:val="0"/>
        <w:numPr>
          <w:ilvl w:val="0"/>
          <w:numId w:val="0"/>
        </w:numPr>
        <w:kinsoku/>
        <w:wordWrap/>
        <w:overflowPunct/>
        <w:topLinePunct w:val="0"/>
        <w:autoSpaceDE/>
        <w:autoSpaceDN/>
        <w:bidi w:val="0"/>
        <w:adjustRightInd w:val="0"/>
        <w:snapToGrid w:val="0"/>
        <w:spacing w:line="59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方正仿宋_GBK" w:hAnsi="方正仿宋_GBK" w:eastAsia="方正仿宋_GBK" w:cs="方正仿宋_GBK"/>
          <w:color w:val="000000"/>
          <w:kern w:val="0"/>
          <w:szCs w:val="32"/>
          <w:shd w:val="clear" w:color="auto" w:fill="FFFFFF"/>
          <w:lang w:val="en-US" w:eastAsia="zh-CN"/>
        </w:rPr>
        <w:t>本单位</w:t>
      </w:r>
      <w:r>
        <w:rPr>
          <w:rFonts w:hint="eastAsia" w:ascii="方正仿宋_GBK" w:hAnsi="方正仿宋_GBK" w:eastAsia="方正仿宋_GBK" w:cs="方正仿宋_GBK"/>
          <w:color w:val="000000"/>
          <w:kern w:val="0"/>
          <w:szCs w:val="32"/>
          <w:shd w:val="clear" w:color="auto" w:fill="FFFFFF"/>
          <w:lang w:val="zh-CN"/>
        </w:rPr>
        <w:t>围绕年度重点工作任务，认真履职</w:t>
      </w:r>
      <w:r>
        <w:rPr>
          <w:rFonts w:hint="eastAsia" w:ascii="方正仿宋_GBK" w:hAnsi="方正仿宋_GBK" w:eastAsia="方正仿宋_GBK" w:cs="方正仿宋_GBK"/>
          <w:color w:val="000000"/>
          <w:kern w:val="0"/>
          <w:szCs w:val="32"/>
          <w:shd w:val="clear" w:color="auto" w:fill="FFFFFF"/>
          <w:lang w:val="en-US" w:eastAsia="zh-CN"/>
        </w:rPr>
        <w:t>，</w:t>
      </w:r>
      <w:r>
        <w:rPr>
          <w:rFonts w:hint="eastAsia" w:ascii="方正仿宋_GBK" w:hAnsi="方正仿宋_GBK" w:eastAsia="方正仿宋_GBK" w:cs="方正仿宋_GBK"/>
          <w:color w:val="000000"/>
          <w:kern w:val="0"/>
          <w:szCs w:val="32"/>
          <w:shd w:val="clear" w:color="auto" w:fill="FFFFFF"/>
          <w:lang w:val="zh-CN"/>
        </w:rPr>
        <w:t>部门整体支出、项目支出绩效目标均实现较好。通过扎实开展整体支出预算绩效和项目绩效运行监控分析，根据分析结果及时对相关经费进行了预算收回或科目调整。</w:t>
      </w:r>
      <w:r>
        <w:rPr>
          <w:rFonts w:hint="eastAsia" w:ascii="方正仿宋_GBK" w:hAnsi="方正仿宋_GBK" w:eastAsia="方正仿宋_GBK" w:cs="方正仿宋_GBK"/>
          <w:color w:val="000000"/>
          <w:kern w:val="0"/>
          <w:szCs w:val="32"/>
          <w:highlight w:val="none"/>
          <w:shd w:val="clear" w:color="auto" w:fill="FFFFFF"/>
          <w:lang w:val="zh-CN"/>
        </w:rPr>
        <w:t>围绕资金执行同向、项目调整、执行结果进行绩效分析。</w:t>
      </w:r>
    </w:p>
    <w:p w14:paraId="718D4C84">
      <w:pPr>
        <w:numPr>
          <w:ilvl w:val="0"/>
          <w:numId w:val="3"/>
        </w:numPr>
        <w:adjustRightInd w:val="0"/>
        <w:snapToGrid w:val="0"/>
        <w:spacing w:line="578" w:lineRule="exact"/>
        <w:ind w:left="0" w:leftChars="0" w:firstLine="640" w:firstLineChars="200"/>
        <w:contextualSpacing/>
        <w:jc w:val="left"/>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zh-CN"/>
        </w:rPr>
        <w:t>目标实现。</w:t>
      </w:r>
    </w:p>
    <w:p w14:paraId="7B9D1ABF">
      <w:pPr>
        <w:numPr>
          <w:ilvl w:val="0"/>
          <w:numId w:val="0"/>
        </w:numPr>
        <w:adjustRightInd w:val="0"/>
        <w:snapToGrid w:val="0"/>
        <w:spacing w:line="578" w:lineRule="exact"/>
        <w:ind w:firstLine="640" w:firstLineChars="200"/>
        <w:contextualSpacing/>
        <w:jc w:val="left"/>
        <w:rPr>
          <w:rFonts w:hint="eastAsia" w:ascii="方正仿宋_GBK" w:hAnsi="方正仿宋_GBK" w:eastAsia="方正仿宋_GBK" w:cs="方正仿宋_GBK"/>
          <w:color w:val="333333"/>
          <w:sz w:val="32"/>
          <w:szCs w:val="32"/>
          <w:highlight w:val="none"/>
          <w:u w:val="none"/>
          <w:shd w:val="clear" w:color="auto" w:fill="auto"/>
          <w:lang w:bidi="ar"/>
        </w:rPr>
      </w:pPr>
      <w:r>
        <w:rPr>
          <w:rFonts w:hint="eastAsia" w:ascii="方正仿宋_GBK" w:hAnsi="方正仿宋_GBK" w:eastAsia="方正仿宋_GBK" w:cs="方正仿宋_GBK"/>
          <w:color w:val="000000"/>
          <w:kern w:val="0"/>
          <w:szCs w:val="32"/>
          <w:shd w:val="clear" w:color="auto" w:fill="FFFFFF"/>
          <w:lang w:val="en-US" w:eastAsia="zh-CN"/>
        </w:rPr>
        <w:t>本单位</w:t>
      </w:r>
      <w:r>
        <w:rPr>
          <w:rFonts w:hint="eastAsia" w:ascii="方正仿宋_GBK" w:hAnsi="方正仿宋_GBK" w:eastAsia="方正仿宋_GBK" w:cs="方正仿宋_GBK"/>
          <w:color w:val="000000"/>
          <w:kern w:val="0"/>
          <w:szCs w:val="32"/>
          <w:shd w:val="clear" w:color="auto" w:fill="FFFFFF"/>
          <w:lang w:val="zh-CN"/>
        </w:rPr>
        <w:t>围绕各项绩效目标认真履职，预算项目绩效目标数量指标基本完成，项目整体目标基本实现，未发现预算项目绩效目标数量指标实现程度与预期目标的偏离情况的情况，项目按计划实施，其各项效益指标、满意度指标均达到绩效目标预期效果。</w:t>
      </w:r>
    </w:p>
    <w:p w14:paraId="00734DB5">
      <w:pPr>
        <w:keepNext w:val="0"/>
        <w:keepLines w:val="0"/>
        <w:pageBreakBefore w:val="0"/>
        <w:widowControl/>
        <w:kinsoku/>
        <w:wordWrap/>
        <w:overflowPunct/>
        <w:topLinePunct w:val="0"/>
        <w:autoSpaceDE/>
        <w:autoSpaceDN/>
        <w:bidi w:val="0"/>
        <w:adjustRightInd w:val="0"/>
        <w:snapToGrid w:val="0"/>
        <w:spacing w:line="598" w:lineRule="exact"/>
        <w:ind w:firstLine="643" w:firstLineChars="200"/>
        <w:contextualSpacing/>
        <w:jc w:val="left"/>
        <w:textAlignment w:val="auto"/>
        <w:outlineLvl w:val="9"/>
        <w:rPr>
          <w:rFonts w:hint="default" w:ascii="Times New Roman" w:hAnsi="Times New Roman" w:eastAsia="方正仿宋_GBK"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bCs/>
          <w:color w:val="000000"/>
          <w:kern w:val="0"/>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default" w:ascii="Times New Roman" w:hAnsi="Times New Roman" w:eastAsia="楷体_GB2312" w:cs="Times New Roman"/>
          <w:b/>
          <w:bCs/>
          <w:color w:val="000000"/>
          <w:kern w:val="0"/>
          <w:szCs w:val="32"/>
          <w:highlight w:val="none"/>
          <w:shd w:val="clear" w:color="auto" w:fill="FFFFFF"/>
          <w:lang w:val="zh-CN" w:eastAsia="zh-CN"/>
        </w:rPr>
        <w:t>。</w:t>
      </w:r>
      <w:r>
        <w:rPr>
          <w:rFonts w:hint="default" w:ascii="Times New Roman" w:hAnsi="Times New Roman" w:eastAsia="方正仿宋_GBK" w:cs="Times New Roman"/>
          <w:color w:val="000000"/>
          <w:kern w:val="0"/>
          <w:szCs w:val="32"/>
          <w:shd w:val="clear" w:color="auto" w:fill="FFFFFF"/>
          <w:lang w:val="zh-CN"/>
        </w:rPr>
        <w:t>本</w:t>
      </w:r>
      <w:r>
        <w:rPr>
          <w:rFonts w:hint="default" w:ascii="Times New Roman" w:hAnsi="Times New Roman" w:eastAsia="方正仿宋_GBK" w:cs="Times New Roman"/>
          <w:color w:val="000000"/>
          <w:kern w:val="0"/>
          <w:szCs w:val="32"/>
          <w:shd w:val="clear" w:color="auto" w:fill="FFFFFF"/>
          <w:lang w:val="en-US" w:eastAsia="zh-CN"/>
        </w:rPr>
        <w:t>单位</w:t>
      </w:r>
      <w:r>
        <w:rPr>
          <w:rFonts w:hint="default" w:ascii="Times New Roman" w:hAnsi="Times New Roman" w:eastAsia="方正仿宋_GBK" w:cs="Times New Roman"/>
          <w:color w:val="000000"/>
          <w:kern w:val="0"/>
          <w:szCs w:val="32"/>
          <w:shd w:val="clear" w:color="auto" w:fill="FFFFFF"/>
          <w:lang w:val="zh-CN"/>
        </w:rPr>
        <w:t>2023年度不涉及国有资本、债券资金、政府采购和政府购买服务等重点领域。本</w:t>
      </w:r>
      <w:r>
        <w:rPr>
          <w:rFonts w:hint="default" w:ascii="Times New Roman" w:hAnsi="Times New Roman" w:eastAsia="方正仿宋_GBK" w:cs="Times New Roman"/>
          <w:color w:val="000000"/>
          <w:kern w:val="0"/>
          <w:szCs w:val="32"/>
          <w:shd w:val="clear" w:color="auto" w:fill="FFFFFF"/>
          <w:lang w:val="en-US" w:eastAsia="zh-CN"/>
        </w:rPr>
        <w:t>单位</w:t>
      </w:r>
      <w:r>
        <w:rPr>
          <w:rFonts w:hint="default" w:ascii="Times New Roman" w:hAnsi="Times New Roman" w:eastAsia="方正仿宋_GBK" w:cs="Times New Roman"/>
          <w:color w:val="000000"/>
          <w:kern w:val="0"/>
          <w:szCs w:val="32"/>
          <w:shd w:val="clear" w:color="auto" w:fill="FFFFFF"/>
          <w:lang w:val="zh-CN"/>
        </w:rPr>
        <w:t>行政事业性国有资产管理未开展绩效评价</w:t>
      </w:r>
      <w:r>
        <w:rPr>
          <w:rFonts w:hint="eastAsia" w:ascii="Times New Roman" w:hAnsi="Times New Roman" w:eastAsia="方正仿宋_GBK" w:cs="Times New Roman"/>
          <w:color w:val="000000"/>
          <w:kern w:val="0"/>
          <w:szCs w:val="32"/>
          <w:shd w:val="clear" w:color="auto" w:fill="FFFFFF"/>
          <w:lang w:val="zh-CN"/>
        </w:rPr>
        <w:t>。</w:t>
      </w:r>
    </w:p>
    <w:p w14:paraId="4EBC8943">
      <w:pPr>
        <w:keepNext w:val="0"/>
        <w:keepLines w:val="0"/>
        <w:pageBreakBefore w:val="0"/>
        <w:widowControl w:val="0"/>
        <w:kinsoku/>
        <w:wordWrap/>
        <w:overflowPunct/>
        <w:topLinePunct w:val="0"/>
        <w:autoSpaceDE/>
        <w:autoSpaceDN/>
        <w:bidi w:val="0"/>
        <w:snapToGrid w:val="0"/>
        <w:spacing w:line="598" w:lineRule="exact"/>
        <w:ind w:firstLine="643" w:firstLineChars="200"/>
        <w:textAlignment w:val="auto"/>
        <w:rPr>
          <w:rFonts w:hint="eastAsia" w:ascii="Times New Roman" w:hAnsi="Times New Roman" w:eastAsia="楷体_GB2312" w:cs="Times New Roman"/>
          <w:b/>
          <w:bCs/>
          <w:szCs w:val="32"/>
          <w:lang w:val="zh-CN"/>
        </w:rPr>
      </w:pPr>
      <w:r>
        <w:rPr>
          <w:rFonts w:hint="default" w:ascii="Times New Roman" w:hAnsi="Times New Roman" w:eastAsia="楷体_GB2312" w:cs="Times New Roman"/>
          <w:b/>
          <w:bCs/>
          <w:szCs w:val="32"/>
          <w:lang w:val="zh-CN"/>
        </w:rPr>
        <w:t>（四）绩效结果应用情况</w:t>
      </w:r>
      <w:r>
        <w:rPr>
          <w:rFonts w:hint="eastAsia" w:ascii="Times New Roman" w:hAnsi="Times New Roman" w:eastAsia="楷体_GB2312" w:cs="Times New Roman"/>
          <w:b/>
          <w:bCs/>
          <w:szCs w:val="32"/>
          <w:lang w:val="zh-CN"/>
        </w:rPr>
        <w:t>。</w:t>
      </w:r>
    </w:p>
    <w:p w14:paraId="5CAC2FF7">
      <w:pPr>
        <w:snapToGrid w:val="0"/>
        <w:spacing w:line="600" w:lineRule="exact"/>
        <w:ind w:firstLine="640" w:firstLineChars="200"/>
        <w:rPr>
          <w:rFonts w:hint="eastAsia" w:ascii="方正仿宋_GBK" w:hAnsi="方正仿宋_GBK" w:eastAsia="方正仿宋_GBK" w:cs="方正仿宋_GBK"/>
          <w:color w:val="000000"/>
          <w:kern w:val="0"/>
          <w:szCs w:val="32"/>
          <w:shd w:val="clear" w:color="auto" w:fill="FFFFFF"/>
          <w:lang w:val="zh-CN"/>
        </w:rPr>
      </w:pPr>
      <w:r>
        <w:rPr>
          <w:rFonts w:hint="eastAsia" w:ascii="方正仿宋_GBK" w:hAnsi="方正仿宋_GBK" w:eastAsia="方正仿宋_GBK" w:cs="方正仿宋_GBK"/>
          <w:color w:val="000000"/>
          <w:kern w:val="0"/>
          <w:szCs w:val="32"/>
          <w:shd w:val="clear" w:color="auto" w:fill="FFFFFF"/>
          <w:lang w:val="en-US" w:eastAsia="zh-CN"/>
        </w:rPr>
        <w:t>1.</w:t>
      </w:r>
      <w:r>
        <w:rPr>
          <w:rFonts w:hint="eastAsia" w:ascii="方正仿宋_GBK" w:hAnsi="方正仿宋_GBK" w:eastAsia="方正仿宋_GBK" w:cs="方正仿宋_GBK"/>
          <w:color w:val="000000"/>
          <w:kern w:val="0"/>
          <w:szCs w:val="32"/>
          <w:shd w:val="clear" w:color="auto" w:fill="FFFFFF"/>
          <w:lang w:val="zh-CN"/>
        </w:rPr>
        <w:t>本单位将绩效自评纳入考核体系，建立了预算与绩效挂钩机制。</w:t>
      </w:r>
    </w:p>
    <w:p w14:paraId="26387711">
      <w:pPr>
        <w:snapToGrid w:val="0"/>
        <w:spacing w:line="600" w:lineRule="exact"/>
        <w:ind w:firstLine="640" w:firstLineChars="200"/>
        <w:rPr>
          <w:color w:val="000000"/>
          <w:kern w:val="0"/>
          <w:szCs w:val="32"/>
          <w:shd w:val="clear" w:color="auto" w:fill="FFFFFF"/>
          <w:lang w:val="zh-CN"/>
        </w:rPr>
      </w:pPr>
      <w:r>
        <w:rPr>
          <w:rFonts w:hint="eastAsia"/>
          <w:color w:val="000000"/>
          <w:kern w:val="0"/>
          <w:szCs w:val="32"/>
          <w:shd w:val="clear" w:color="auto" w:fill="FFFFFF"/>
          <w:lang w:val="zh-CN"/>
        </w:rPr>
        <w:t>2.信息公开情况</w:t>
      </w:r>
    </w:p>
    <w:p w14:paraId="00B47CC7">
      <w:pPr>
        <w:snapToGrid w:val="0"/>
        <w:spacing w:line="600" w:lineRule="exact"/>
        <w:ind w:firstLine="640" w:firstLineChars="200"/>
        <w:rPr>
          <w:rFonts w:hint="eastAsia" w:ascii="方正仿宋_GBK" w:hAnsi="方正仿宋_GBK" w:eastAsia="方正仿宋_GBK" w:cs="方正仿宋_GBK"/>
          <w:color w:val="000000"/>
          <w:kern w:val="0"/>
          <w:szCs w:val="32"/>
          <w:shd w:val="clear" w:color="auto" w:fill="FFFFFF"/>
          <w:lang w:val="zh-CN"/>
        </w:rPr>
      </w:pPr>
      <w:r>
        <w:rPr>
          <w:rFonts w:hint="eastAsia" w:ascii="方正仿宋_GBK" w:hAnsi="方正仿宋_GBK" w:eastAsia="方正仿宋_GBK" w:cs="方正仿宋_GBK"/>
          <w:color w:val="000000"/>
          <w:kern w:val="0"/>
          <w:szCs w:val="32"/>
          <w:shd w:val="clear" w:color="auto" w:fill="FFFFFF"/>
          <w:lang w:val="zh-CN"/>
        </w:rPr>
        <w:t>本单位按照县财政局相关要求，在渠县人民政府门户网站上将部门整体支出绩效目标、部门预算项目绩效目标和自评情况等绩效信息随同预决算向社会公开。</w:t>
      </w:r>
    </w:p>
    <w:p w14:paraId="1666D6B9">
      <w:pPr>
        <w:snapToGrid w:val="0"/>
        <w:spacing w:line="600" w:lineRule="exact"/>
        <w:ind w:firstLine="640" w:firstLineChars="200"/>
        <w:rPr>
          <w:color w:val="000000"/>
          <w:kern w:val="0"/>
          <w:szCs w:val="32"/>
          <w:shd w:val="clear" w:color="auto" w:fill="FFFFFF"/>
          <w:lang w:val="zh-CN"/>
        </w:rPr>
      </w:pPr>
      <w:r>
        <w:rPr>
          <w:rFonts w:hint="eastAsia"/>
          <w:color w:val="000000"/>
          <w:kern w:val="0"/>
          <w:szCs w:val="32"/>
          <w:shd w:val="clear" w:color="auto" w:fill="FFFFFF"/>
          <w:lang w:val="zh-CN"/>
        </w:rPr>
        <w:t>3.整改反馈情况</w:t>
      </w:r>
    </w:p>
    <w:p w14:paraId="582FA82F">
      <w:pPr>
        <w:snapToGrid w:val="0"/>
        <w:spacing w:line="600" w:lineRule="exact"/>
        <w:ind w:firstLine="640" w:firstLineChars="200"/>
        <w:rPr>
          <w:rFonts w:hint="default" w:ascii="Times New Roman" w:hAnsi="Times New Roman" w:eastAsia="方正仿宋_GBK" w:cs="Times New Roman"/>
          <w:color w:val="000000"/>
          <w:kern w:val="0"/>
          <w:szCs w:val="32"/>
          <w:shd w:val="clear" w:color="auto" w:fill="FFFFFF"/>
          <w:lang w:val="zh-CN"/>
        </w:rPr>
      </w:pPr>
      <w:r>
        <w:rPr>
          <w:rFonts w:hint="default" w:ascii="Times New Roman" w:hAnsi="Times New Roman" w:eastAsia="方正仿宋_GBK" w:cs="Times New Roman"/>
          <w:color w:val="000000"/>
          <w:kern w:val="0"/>
          <w:szCs w:val="32"/>
          <w:shd w:val="clear" w:color="auto" w:fill="FFFFFF"/>
          <w:lang w:val="zh-CN"/>
        </w:rPr>
        <w:t>本单位2023年度未收到人大监督、巡视巡察、审计监督、财会监督等反馈的有关预算绩效存在的问题。</w:t>
      </w:r>
    </w:p>
    <w:p w14:paraId="70EE9463">
      <w:pPr>
        <w:snapToGrid w:val="0"/>
        <w:spacing w:line="600" w:lineRule="exact"/>
        <w:ind w:firstLine="640" w:firstLineChars="200"/>
        <w:rPr>
          <w:rFonts w:hint="default" w:ascii="Times New Roman" w:hAnsi="Times New Roman" w:eastAsia="方正仿宋_GBK" w:cs="Times New Roman"/>
          <w:b/>
          <w:bCs/>
          <w:szCs w:val="32"/>
          <w:lang w:val="zh-CN"/>
        </w:rPr>
      </w:pPr>
      <w:r>
        <w:rPr>
          <w:rFonts w:hint="default" w:ascii="Times New Roman" w:hAnsi="Times New Roman" w:eastAsia="方正仿宋_GBK" w:cs="Times New Roman"/>
          <w:color w:val="000000"/>
          <w:kern w:val="0"/>
          <w:szCs w:val="32"/>
          <w:shd w:val="clear" w:color="auto" w:fill="FFFFFF"/>
          <w:lang w:val="zh-CN"/>
        </w:rPr>
        <w:t>本单位根据职责分工，开展部门整体支出和部门预算项目支出绩效自评，对预算执行率不高、绩效目标未完成的项目，认真分析原因，</w:t>
      </w:r>
      <w:r>
        <w:rPr>
          <w:rFonts w:hint="default" w:ascii="Times New Roman" w:hAnsi="Times New Roman" w:eastAsia="方正仿宋_GBK" w:cs="Times New Roman"/>
          <w:color w:val="000000"/>
          <w:kern w:val="0"/>
          <w:szCs w:val="32"/>
          <w:shd w:val="clear" w:color="auto" w:fill="FFFFFF"/>
          <w:lang w:val="en-US" w:eastAsia="zh-CN"/>
        </w:rPr>
        <w:t>进行</w:t>
      </w:r>
      <w:r>
        <w:rPr>
          <w:rFonts w:hint="default" w:ascii="Times New Roman" w:hAnsi="Times New Roman" w:eastAsia="方正仿宋_GBK" w:cs="Times New Roman"/>
          <w:color w:val="000000"/>
          <w:kern w:val="0"/>
          <w:szCs w:val="32"/>
          <w:shd w:val="clear" w:color="auto" w:fill="FFFFFF"/>
          <w:lang w:val="zh-CN"/>
        </w:rPr>
        <w:t>绩效评价结果应用，将评价结果作为以后年度预算编制的重要依据。</w:t>
      </w:r>
    </w:p>
    <w:p w14:paraId="6F729E4B">
      <w:pPr>
        <w:keepNext w:val="0"/>
        <w:keepLines w:val="0"/>
        <w:pageBreakBefore w:val="0"/>
        <w:widowControl/>
        <w:kinsoku/>
        <w:wordWrap/>
        <w:overflowPunct/>
        <w:topLinePunct w:val="0"/>
        <w:autoSpaceDE/>
        <w:autoSpaceDN/>
        <w:bidi w:val="0"/>
        <w:adjustRightInd w:val="0"/>
        <w:snapToGrid w:val="0"/>
        <w:spacing w:line="598"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14:paraId="4444100E">
      <w:pPr>
        <w:keepNext w:val="0"/>
        <w:keepLines w:val="0"/>
        <w:pageBreakBefore w:val="0"/>
        <w:widowControl/>
        <w:kinsoku/>
        <w:wordWrap/>
        <w:overflowPunct/>
        <w:topLinePunct w:val="0"/>
        <w:autoSpaceDE/>
        <w:autoSpaceDN/>
        <w:bidi w:val="0"/>
        <w:adjustRightInd w:val="0"/>
        <w:snapToGrid w:val="0"/>
        <w:spacing w:line="59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p>
    <w:p w14:paraId="6A19E71E">
      <w:pPr>
        <w:widowControl/>
        <w:adjustRightInd w:val="0"/>
        <w:snapToGrid w:val="0"/>
        <w:spacing w:line="578" w:lineRule="exact"/>
        <w:ind w:firstLine="640" w:firstLineChars="200"/>
        <w:contextualSpacing/>
        <w:jc w:val="left"/>
        <w:rPr>
          <w:rFonts w:hint="default" w:ascii="Times New Roman" w:hAnsi="Times New Roman" w:eastAsia="方正仿宋_GBK" w:cs="Times New Roman"/>
          <w:b/>
          <w:bCs/>
          <w:color w:val="000000" w:themeColor="text1"/>
          <w:kern w:val="0"/>
          <w:szCs w:val="32"/>
          <w:highlight w:val="none"/>
          <w:shd w:val="clear" w:color="auto" w:fill="FFFFFF"/>
          <w:lang w:val="en-US"/>
          <w14:textFill>
            <w14:solidFill>
              <w14:schemeClr w14:val="tx1"/>
            </w14:solidFill>
          </w14:textFill>
        </w:rPr>
      </w:pP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本单位</w:t>
      </w:r>
      <w:r>
        <w:rPr>
          <w:rFonts w:hint="default" w:ascii="Times New Roman" w:hAnsi="Times New Roman" w:eastAsia="方正仿宋_GBK" w:cs="Times New Roman"/>
          <w:color w:val="000000" w:themeColor="text1"/>
          <w:kern w:val="0"/>
          <w:szCs w:val="32"/>
          <w14:textFill>
            <w14:solidFill>
              <w14:schemeClr w14:val="tx1"/>
            </w14:solidFill>
          </w14:textFill>
        </w:rPr>
        <w:t>按照《渠县财政局关于开展2024年县级部门绩效自评工作的通知》（渠财绩〔2024〕11号）文件要求，从履职效能、预算管理、财务管理、资产管理、采购管理、项目决策、项目执行、目标实现等方面进行自评，总体上看，</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本单位</w:t>
      </w:r>
      <w:r>
        <w:rPr>
          <w:rFonts w:hint="default" w:ascii="Times New Roman" w:hAnsi="Times New Roman" w:eastAsia="方正仿宋_GBK" w:cs="Times New Roman"/>
          <w:color w:val="000000" w:themeColor="text1"/>
          <w:kern w:val="0"/>
          <w:szCs w:val="32"/>
          <w14:textFill>
            <w14:solidFill>
              <w14:schemeClr w14:val="tx1"/>
            </w14:solidFill>
          </w14:textFill>
        </w:rPr>
        <w:t>履职效果明显、预算管理较完善、项目绩效目标按计划完成，根据《部门预算绩效评价指标体系》进行评价，自评得</w:t>
      </w:r>
      <w:r>
        <w:rPr>
          <w:rFonts w:hint="default" w:ascii="Times New Roman" w:hAnsi="Times New Roman" w:eastAsia="方正仿宋_GBK" w:cs="Times New Roman"/>
          <w:color w:val="000000" w:themeColor="text1"/>
          <w:kern w:val="0"/>
          <w:szCs w:val="32"/>
          <w:lang w:val="en-US" w:eastAsia="zh-CN"/>
          <w14:textFill>
            <w14:solidFill>
              <w14:schemeClr w14:val="tx1"/>
            </w14:solidFill>
          </w14:textFill>
        </w:rPr>
        <w:t>9</w:t>
      </w:r>
      <w:r>
        <w:rPr>
          <w:rFonts w:hint="eastAsia" w:eastAsia="方正仿宋_GBK" w:cs="Times New Roman"/>
          <w:color w:val="000000" w:themeColor="text1"/>
          <w:kern w:val="0"/>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Cs w:val="32"/>
          <w14:textFill>
            <w14:solidFill>
              <w14:schemeClr w14:val="tx1"/>
            </w14:solidFill>
          </w14:textFill>
        </w:rPr>
        <w:t>分。</w:t>
      </w:r>
    </w:p>
    <w:p w14:paraId="73EFB947">
      <w:pPr>
        <w:keepNext w:val="0"/>
        <w:keepLines w:val="0"/>
        <w:pageBreakBefore w:val="0"/>
        <w:widowControl w:val="0"/>
        <w:numPr>
          <w:ilvl w:val="0"/>
          <w:numId w:val="4"/>
        </w:numPr>
        <w:kinsoku/>
        <w:wordWrap/>
        <w:overflowPunct/>
        <w:topLinePunct w:val="0"/>
        <w:autoSpaceDE/>
        <w:autoSpaceDN/>
        <w:bidi w:val="0"/>
        <w:adjustRightInd/>
        <w:snapToGrid/>
        <w:spacing w:line="598" w:lineRule="exact"/>
        <w:ind w:left="0" w:leftChars="0" w:firstLine="643" w:firstLineChars="200"/>
        <w:textAlignment w:val="auto"/>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存在问题。</w:t>
      </w:r>
    </w:p>
    <w:p w14:paraId="300CE6D4">
      <w:pPr>
        <w:widowControl/>
        <w:adjustRightInd w:val="0"/>
        <w:snapToGrid w:val="0"/>
        <w:spacing w:line="578" w:lineRule="exact"/>
        <w:ind w:firstLine="640" w:firstLineChars="200"/>
        <w:contextualSpacing/>
        <w:jc w:val="left"/>
        <w:rPr>
          <w:rFonts w:hint="default" w:ascii="Times New Roman" w:hAnsi="Times New Roman" w:eastAsia="方正仿宋_GBK" w:cs="Times New Roman"/>
          <w:b w:val="0"/>
          <w:bCs w:val="0"/>
          <w:w w:val="95"/>
          <w:kern w:val="0"/>
          <w:position w:val="0"/>
          <w:sz w:val="32"/>
          <w:szCs w:val="32"/>
          <w:highlight w:val="none"/>
          <w:lang w:val="en-US" w:eastAsia="zh-CN" w:bidi="ar-SA"/>
        </w:rPr>
      </w:pPr>
      <w:r>
        <w:rPr>
          <w:rFonts w:hint="default" w:ascii="Times New Roman" w:hAnsi="Times New Roman" w:eastAsia="方正仿宋_GBK" w:cs="Times New Roman"/>
          <w:kern w:val="0"/>
          <w:szCs w:val="32"/>
          <w:lang w:val="zh-CN" w:eastAsia="zh-CN"/>
        </w:rPr>
        <w:t>从前述的</w:t>
      </w:r>
      <w:r>
        <w:rPr>
          <w:rFonts w:hint="default" w:ascii="Times New Roman" w:hAnsi="Times New Roman" w:eastAsia="方正仿宋_GBK" w:cs="Times New Roman"/>
          <w:kern w:val="0"/>
          <w:szCs w:val="32"/>
          <w:lang w:val="en-US" w:eastAsia="zh-CN"/>
        </w:rPr>
        <w:t>渠县大数据中心</w:t>
      </w:r>
      <w:r>
        <w:rPr>
          <w:rFonts w:hint="default" w:ascii="Times New Roman" w:hAnsi="Times New Roman" w:eastAsia="方正仿宋_GBK" w:cs="Times New Roman"/>
          <w:kern w:val="0"/>
          <w:szCs w:val="32"/>
          <w:lang w:val="zh-CN" w:eastAsia="zh-CN"/>
        </w:rPr>
        <w:t>整体支出情况分析反映，在整体支出的预算编制、执行和管理过程中，依然存在一些问题和不足。预算编制的计划性和执行管理上有待提高，制度的执行力度和资金使用与</w:t>
      </w:r>
      <w:r>
        <w:rPr>
          <w:rFonts w:hint="default" w:ascii="Times New Roman" w:hAnsi="Times New Roman" w:eastAsia="方正仿宋_GBK" w:cs="Times New Roman"/>
          <w:kern w:val="0"/>
          <w:szCs w:val="32"/>
          <w:lang w:val="en-US" w:eastAsia="zh-CN"/>
        </w:rPr>
        <w:t>2022年相比</w:t>
      </w:r>
      <w:r>
        <w:rPr>
          <w:rFonts w:hint="default" w:ascii="Times New Roman" w:hAnsi="Times New Roman" w:eastAsia="方正仿宋_GBK" w:cs="Times New Roman"/>
          <w:kern w:val="0"/>
          <w:szCs w:val="32"/>
          <w:lang w:val="zh-CN" w:eastAsia="zh-CN"/>
        </w:rPr>
        <w:t>有所提高，</w:t>
      </w:r>
      <w:r>
        <w:rPr>
          <w:rFonts w:hint="default" w:ascii="Times New Roman" w:hAnsi="Times New Roman" w:eastAsia="方正仿宋_GBK" w:cs="Times New Roman"/>
          <w:kern w:val="0"/>
          <w:szCs w:val="32"/>
          <w:lang w:val="en-US" w:eastAsia="zh-CN"/>
        </w:rPr>
        <w:t>预算编制的科学性、合理性</w:t>
      </w:r>
      <w:r>
        <w:rPr>
          <w:rFonts w:hint="default" w:ascii="Times New Roman" w:hAnsi="Times New Roman" w:eastAsia="方正仿宋_GBK" w:cs="Times New Roman"/>
          <w:kern w:val="0"/>
          <w:szCs w:val="32"/>
          <w:lang w:val="zh-CN" w:eastAsia="zh-CN"/>
        </w:rPr>
        <w:t>有待进一步规范。</w:t>
      </w:r>
    </w:p>
    <w:p w14:paraId="37770657">
      <w:pPr>
        <w:keepNext w:val="0"/>
        <w:keepLines w:val="0"/>
        <w:pageBreakBefore w:val="0"/>
        <w:widowControl w:val="0"/>
        <w:numPr>
          <w:ilvl w:val="0"/>
          <w:numId w:val="4"/>
        </w:numPr>
        <w:kinsoku/>
        <w:wordWrap/>
        <w:overflowPunct/>
        <w:topLinePunct w:val="0"/>
        <w:autoSpaceDE/>
        <w:autoSpaceDN/>
        <w:bidi w:val="0"/>
        <w:adjustRightInd/>
        <w:snapToGrid/>
        <w:spacing w:line="598" w:lineRule="exact"/>
        <w:ind w:left="0" w:leftChars="0" w:firstLine="643" w:firstLineChars="200"/>
        <w:textAlignment w:val="auto"/>
        <w:rPr>
          <w:rFonts w:hint="default" w:ascii="Times New Roman" w:hAnsi="Times New Roman" w:eastAsia="楷体_GB2312" w:cs="Times New Roman"/>
          <w:b/>
          <w:bCs/>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改进建议。</w:t>
      </w:r>
    </w:p>
    <w:p w14:paraId="103F8698">
      <w:pPr>
        <w:widowControl/>
        <w:adjustRightInd w:val="0"/>
        <w:snapToGrid w:val="0"/>
        <w:spacing w:line="578" w:lineRule="exact"/>
        <w:ind w:firstLine="640" w:firstLineChars="200"/>
        <w:contextualSpacing/>
        <w:jc w:val="left"/>
        <w:rPr>
          <w:rFonts w:hint="eastAsia" w:ascii="方正仿宋_GBK" w:hAnsi="方正仿宋_GBK" w:eastAsia="方正仿宋_GBK" w:cs="方正仿宋_GBK"/>
          <w:kern w:val="0"/>
          <w:szCs w:val="32"/>
          <w:lang w:val="en-US" w:eastAsia="zh-CN"/>
        </w:rPr>
      </w:pPr>
      <w:r>
        <w:rPr>
          <w:rFonts w:hint="eastAsia" w:ascii="方正仿宋_GBK" w:hAnsi="方正仿宋_GBK" w:eastAsia="方正仿宋_GBK" w:cs="方正仿宋_GBK"/>
          <w:kern w:val="0"/>
          <w:szCs w:val="32"/>
          <w:lang w:val="en-US" w:eastAsia="zh-CN"/>
        </w:rPr>
        <w:t>建议</w:t>
      </w:r>
      <w:r>
        <w:rPr>
          <w:rFonts w:hint="eastAsia" w:ascii="方正仿宋_GBK" w:hAnsi="方正仿宋_GBK" w:eastAsia="方正仿宋_GBK" w:cs="方正仿宋_GBK"/>
          <w:kern w:val="0"/>
          <w:szCs w:val="32"/>
          <w:lang w:val="zh-CN" w:eastAsia="zh-CN"/>
        </w:rPr>
        <w:t>加强</w:t>
      </w:r>
      <w:r>
        <w:rPr>
          <w:rFonts w:hint="eastAsia" w:ascii="方正仿宋_GBK" w:hAnsi="方正仿宋_GBK" w:eastAsia="方正仿宋_GBK" w:cs="方正仿宋_GBK"/>
          <w:kern w:val="0"/>
          <w:szCs w:val="32"/>
          <w:lang w:val="en-US" w:eastAsia="zh-CN"/>
        </w:rPr>
        <w:t>项目</w:t>
      </w:r>
      <w:r>
        <w:rPr>
          <w:rFonts w:hint="eastAsia" w:ascii="方正仿宋_GBK" w:hAnsi="方正仿宋_GBK" w:eastAsia="方正仿宋_GBK" w:cs="方正仿宋_GBK"/>
          <w:kern w:val="0"/>
          <w:szCs w:val="32"/>
          <w:lang w:val="zh-CN" w:eastAsia="zh-CN"/>
        </w:rPr>
        <w:t>预算</w:t>
      </w:r>
      <w:r>
        <w:rPr>
          <w:rFonts w:hint="eastAsia" w:ascii="方正仿宋_GBK" w:hAnsi="方正仿宋_GBK" w:eastAsia="方正仿宋_GBK" w:cs="方正仿宋_GBK"/>
          <w:kern w:val="0"/>
          <w:szCs w:val="32"/>
          <w:lang w:val="en-US" w:eastAsia="zh-CN"/>
        </w:rPr>
        <w:t>编制</w:t>
      </w:r>
      <w:r>
        <w:rPr>
          <w:rFonts w:hint="eastAsia" w:ascii="方正仿宋_GBK" w:hAnsi="方正仿宋_GBK" w:eastAsia="方正仿宋_GBK" w:cs="方正仿宋_GBK"/>
          <w:kern w:val="0"/>
          <w:szCs w:val="32"/>
          <w:lang w:val="zh-CN" w:eastAsia="zh-CN"/>
        </w:rPr>
        <w:t>管理，根据年度工作任务，合理预测、准确编制预算，提高预算编制质量，</w:t>
      </w:r>
      <w:r>
        <w:rPr>
          <w:rFonts w:hint="eastAsia" w:ascii="方正仿宋_GBK" w:hAnsi="方正仿宋_GBK" w:eastAsia="方正仿宋_GBK" w:cs="方正仿宋_GBK"/>
          <w:kern w:val="0"/>
          <w:szCs w:val="32"/>
          <w:lang w:val="en-US" w:eastAsia="zh-CN"/>
        </w:rPr>
        <w:t>及时取收回预算、调整目标</w:t>
      </w:r>
      <w:r>
        <w:rPr>
          <w:rFonts w:hint="eastAsia" w:ascii="方正仿宋_GBK" w:hAnsi="方正仿宋_GBK" w:eastAsia="方正仿宋_GBK" w:cs="方正仿宋_GBK"/>
          <w:kern w:val="0"/>
          <w:szCs w:val="32"/>
          <w:lang w:val="zh-CN" w:eastAsia="zh-CN"/>
        </w:rPr>
        <w:t>。</w:t>
      </w:r>
    </w:p>
    <w:p w14:paraId="1D916F74">
      <w:pPr>
        <w:rPr>
          <w:rFonts w:hint="default" w:ascii="方正仿宋_GBK" w:hAnsi="方正仿宋_GBK" w:eastAsia="方正仿宋_GBK" w:cs="方正仿宋_GBK"/>
          <w:lang w:val="en-US" w:eastAsia="zh-CN"/>
        </w:rPr>
      </w:pPr>
    </w:p>
    <w:p w14:paraId="1C0FA731">
      <w:pPr>
        <w:ind w:firstLine="640" w:firstLineChars="200"/>
        <w:rPr>
          <w:rFonts w:hint="default"/>
          <w:lang w:val="en-US" w:eastAsia="zh-CN"/>
        </w:rPr>
      </w:pPr>
      <w:r>
        <w:rPr>
          <w:rFonts w:hint="eastAsia"/>
          <w:lang w:val="en-US" w:eastAsia="zh-CN"/>
        </w:rPr>
        <w:t>附件：部门整体支出绩效目标完成情况自评表</w:t>
      </w:r>
      <w:bookmarkStart w:id="7" w:name="_GoBack"/>
      <w:bookmarkEnd w:id="7"/>
    </w:p>
    <w:p w14:paraId="52AAE8DE">
      <w:pPr>
        <w:ind w:firstLine="640" w:firstLineChars="200"/>
        <w:rPr>
          <w:rFonts w:hint="default"/>
          <w:lang w:val="en-US" w:eastAsia="zh-CN"/>
        </w:rPr>
      </w:pPr>
    </w:p>
    <w:p w14:paraId="2ED216A7">
      <w:pPr>
        <w:rPr>
          <w:rFonts w:hint="eastAsia"/>
          <w:lang w:val="en-US" w:eastAsia="zh-CN"/>
        </w:rPr>
      </w:pPr>
    </w:p>
    <w:p w14:paraId="39B4A7AB">
      <w:pPr>
        <w:rPr>
          <w:rFonts w:hint="default" w:ascii="Times New Roman" w:hAnsi="Times New Roman" w:eastAsia="仿宋_GB2312" w:cs="Times New Roman"/>
          <w:kern w:val="2"/>
          <w:sz w:val="32"/>
          <w:szCs w:val="24"/>
          <w:highlight w:val="none"/>
          <w:lang w:val="en-US" w:eastAsia="zh-CN" w:bidi="ar-SA"/>
        </w:rPr>
      </w:pPr>
      <w:r>
        <w:rPr>
          <w:rFonts w:hint="default"/>
          <w:lang w:val="en-US" w:eastAsia="zh-CN"/>
        </w:rPr>
        <w:br w:type="page"/>
      </w:r>
      <w:r>
        <w:rPr>
          <w:rFonts w:hint="eastAsia" w:ascii="黑体" w:hAnsi="黑体" w:eastAsia="黑体" w:cs="黑体"/>
          <w:kern w:val="2"/>
          <w:sz w:val="32"/>
          <w:szCs w:val="24"/>
          <w:highlight w:val="none"/>
          <w:lang w:val="en-US" w:eastAsia="zh-CN" w:bidi="ar-SA"/>
        </w:rPr>
        <w:t>附表</w:t>
      </w:r>
    </w:p>
    <w:tbl>
      <w:tblPr>
        <w:tblStyle w:val="11"/>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2"/>
        <w:gridCol w:w="1123"/>
        <w:gridCol w:w="1065"/>
        <w:gridCol w:w="917"/>
        <w:gridCol w:w="956"/>
        <w:gridCol w:w="1075"/>
        <w:gridCol w:w="882"/>
        <w:gridCol w:w="772"/>
        <w:gridCol w:w="938"/>
      </w:tblGrid>
      <w:tr w14:paraId="314A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7" w:hRule="exact"/>
          <w:jc w:val="center"/>
        </w:trPr>
        <w:tc>
          <w:tcPr>
            <w:tcW w:w="8820" w:type="dxa"/>
            <w:gridSpan w:val="9"/>
            <w:shd w:val="clear" w:color="auto" w:fill="auto"/>
            <w:vAlign w:val="center"/>
          </w:tcPr>
          <w:p w14:paraId="7251C68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6931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jc w:val="center"/>
        </w:trPr>
        <w:tc>
          <w:tcPr>
            <w:tcW w:w="8820" w:type="dxa"/>
            <w:gridSpan w:val="9"/>
            <w:shd w:val="clear" w:color="auto" w:fill="auto"/>
            <w:vAlign w:val="center"/>
          </w:tcPr>
          <w:p w14:paraId="1CF41D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1952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jc w:val="center"/>
        </w:trPr>
        <w:tc>
          <w:tcPr>
            <w:tcW w:w="8820" w:type="dxa"/>
            <w:gridSpan w:val="9"/>
            <w:tcBorders>
              <w:bottom w:val="single" w:color="000000" w:sz="4" w:space="0"/>
            </w:tcBorders>
            <w:shd w:val="clear" w:color="auto" w:fill="auto"/>
            <w:vAlign w:val="center"/>
          </w:tcPr>
          <w:p w14:paraId="72B97B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6EC4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3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80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55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7705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渠县大数据中心</w:t>
            </w:r>
          </w:p>
        </w:tc>
      </w:tr>
      <w:tr w14:paraId="4BED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C5D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740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E39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3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BC2E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64D0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2A1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039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227.39</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FB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227.39</w:t>
            </w:r>
          </w:p>
        </w:tc>
        <w:tc>
          <w:tcPr>
            <w:tcW w:w="3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A93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r>
      <w:tr w14:paraId="5C1F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F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61605D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77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1E8E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目标1：</w:t>
            </w:r>
            <w:r>
              <w:rPr>
                <w:rFonts w:hint="eastAsia" w:ascii="宋体" w:hAnsi="宋体" w:eastAsia="宋体" w:cs="宋体"/>
                <w:i w:val="0"/>
                <w:iCs w:val="0"/>
                <w:color w:val="000000"/>
                <w:kern w:val="0"/>
                <w:sz w:val="18"/>
                <w:szCs w:val="18"/>
                <w:u w:val="none"/>
                <w:lang w:val="en-US" w:eastAsia="zh-CN" w:bidi="ar"/>
              </w:rPr>
              <w:t>有序完成党建各项工作任务。</w:t>
            </w:r>
          </w:p>
          <w:p w14:paraId="2E5D15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目标2：完成</w:t>
            </w:r>
            <w:r>
              <w:rPr>
                <w:rFonts w:hint="eastAsia" w:ascii="宋体" w:hAnsi="宋体" w:eastAsia="宋体" w:cs="宋体"/>
                <w:i w:val="0"/>
                <w:iCs w:val="0"/>
                <w:color w:val="000000"/>
                <w:kern w:val="0"/>
                <w:sz w:val="18"/>
                <w:szCs w:val="18"/>
                <w:u w:val="none"/>
                <w:lang w:val="en-US" w:eastAsia="zh-CN" w:bidi="ar"/>
              </w:rPr>
              <w:t>了信息化建设任务。</w:t>
            </w:r>
          </w:p>
          <w:p w14:paraId="252101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目标3：</w:t>
            </w:r>
            <w:r>
              <w:rPr>
                <w:rFonts w:hint="eastAsia" w:ascii="宋体" w:hAnsi="宋体" w:eastAsia="宋体" w:cs="宋体"/>
                <w:i w:val="0"/>
                <w:iCs w:val="0"/>
                <w:color w:val="000000"/>
                <w:kern w:val="0"/>
                <w:sz w:val="18"/>
                <w:szCs w:val="18"/>
                <w:u w:val="none"/>
                <w:lang w:val="en-US" w:eastAsia="zh-CN" w:bidi="ar"/>
              </w:rPr>
              <w:t>完成了上级部门对我单位布置的数据资源汇集任务。</w:t>
            </w:r>
          </w:p>
          <w:p w14:paraId="76E1F4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目标4：</w:t>
            </w:r>
            <w:r>
              <w:rPr>
                <w:rFonts w:hint="eastAsia" w:ascii="宋体" w:hAnsi="宋体" w:eastAsia="宋体" w:cs="宋体"/>
                <w:i w:val="0"/>
                <w:iCs w:val="0"/>
                <w:color w:val="000000"/>
                <w:kern w:val="0"/>
                <w:sz w:val="18"/>
                <w:szCs w:val="18"/>
                <w:u w:val="none"/>
                <w:lang w:val="en-US" w:eastAsia="zh-CN" w:bidi="ar"/>
              </w:rPr>
              <w:t>推进了数字经济的发展，</w:t>
            </w:r>
            <w:r>
              <w:rPr>
                <w:rFonts w:hint="eastAsia" w:ascii="宋体" w:hAnsi="宋体" w:eastAsia="宋体" w:cs="宋体"/>
                <w:i w:val="0"/>
                <w:iCs w:val="0"/>
                <w:color w:val="000000"/>
                <w:kern w:val="0"/>
                <w:sz w:val="18"/>
                <w:szCs w:val="18"/>
                <w:u w:val="none"/>
                <w:lang w:val="zh-CN" w:eastAsia="zh-CN" w:bidi="ar"/>
              </w:rPr>
              <w:t>产业产值50.7亿元，同比增长64.03%</w:t>
            </w:r>
          </w:p>
          <w:p w14:paraId="3246A9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宋体" w:hAnsi="宋体" w:eastAsia="宋体" w:cs="宋体"/>
                <w:i w:val="0"/>
                <w:iCs w:val="0"/>
                <w:color w:val="000000"/>
                <w:kern w:val="0"/>
                <w:sz w:val="18"/>
                <w:szCs w:val="18"/>
                <w:u w:val="none"/>
                <w:lang w:val="en-US" w:eastAsia="zh-CN" w:bidi="ar"/>
              </w:rPr>
              <w:t>目标5：</w:t>
            </w:r>
            <w:r>
              <w:rPr>
                <w:rFonts w:hint="eastAsia" w:ascii="宋体" w:hAnsi="宋体" w:eastAsia="宋体" w:cs="宋体"/>
                <w:i w:val="0"/>
                <w:iCs w:val="0"/>
                <w:color w:val="000000"/>
                <w:kern w:val="0"/>
                <w:sz w:val="18"/>
                <w:szCs w:val="18"/>
                <w:u w:val="none"/>
                <w:lang w:val="en-US" w:eastAsia="zh-CN" w:bidi="ar"/>
              </w:rPr>
              <w:t>完成了“三个大脑”的评估论证。城市大脑建设</w:t>
            </w:r>
          </w:p>
        </w:tc>
      </w:tr>
      <w:tr w14:paraId="4196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restart"/>
            <w:tcBorders>
              <w:top w:val="single" w:color="000000" w:sz="4" w:space="0"/>
              <w:left w:val="single" w:color="000000" w:sz="4" w:space="0"/>
              <w:right w:val="single" w:color="000000" w:sz="4" w:space="0"/>
            </w:tcBorders>
            <w:shd w:val="clear" w:color="auto" w:fill="auto"/>
            <w:vAlign w:val="center"/>
          </w:tcPr>
          <w:p w14:paraId="1BA7FC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6A60C6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32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55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4F65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0351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left w:val="single" w:color="000000" w:sz="4" w:space="0"/>
              <w:right w:val="single" w:color="000000" w:sz="4" w:space="0"/>
            </w:tcBorders>
            <w:shd w:val="clear" w:color="auto" w:fill="auto"/>
            <w:vAlign w:val="center"/>
          </w:tcPr>
          <w:p w14:paraId="4A18E79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767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工资福利支出</w:t>
            </w:r>
          </w:p>
        </w:tc>
        <w:tc>
          <w:tcPr>
            <w:tcW w:w="55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0BBB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24"/>
                <w:szCs w:val="24"/>
                <w:u w:val="none"/>
                <w:lang w:eastAsia="zh-CN"/>
              </w:rPr>
            </w:pPr>
            <w:r>
              <w:rPr>
                <w:rFonts w:hint="eastAsia" w:ascii="宋体" w:hAnsi="宋体" w:eastAsia="宋体" w:cs="宋体"/>
                <w:i w:val="0"/>
                <w:iCs w:val="0"/>
                <w:color w:val="000000"/>
                <w:kern w:val="0"/>
                <w:sz w:val="18"/>
                <w:szCs w:val="18"/>
                <w:u w:val="none"/>
                <w:lang w:val="en-US" w:eastAsia="zh-CN" w:bidi="ar"/>
              </w:rPr>
              <w:t>确保人员工资工资及社会保障缴费</w:t>
            </w:r>
          </w:p>
        </w:tc>
      </w:tr>
      <w:tr w14:paraId="2671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left w:val="single" w:color="000000" w:sz="4" w:space="0"/>
              <w:right w:val="single" w:color="000000" w:sz="4" w:space="0"/>
            </w:tcBorders>
            <w:shd w:val="clear" w:color="auto" w:fill="auto"/>
            <w:vAlign w:val="center"/>
          </w:tcPr>
          <w:p w14:paraId="08999DC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6689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ascii="宋体" w:hAnsi="宋体" w:eastAsia="宋体" w:cs="宋体"/>
                <w:i w:val="0"/>
                <w:iCs w:val="0"/>
                <w:color w:val="000000"/>
                <w:kern w:val="0"/>
                <w:sz w:val="18"/>
                <w:szCs w:val="18"/>
                <w:u w:val="none"/>
                <w:lang w:val="en-US" w:eastAsia="zh-CN" w:bidi="ar"/>
              </w:rPr>
              <w:t>商品和服务支出</w:t>
            </w:r>
          </w:p>
        </w:tc>
        <w:tc>
          <w:tcPr>
            <w:tcW w:w="55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418E55">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ascii="宋体" w:hAnsi="宋体" w:eastAsia="宋体" w:cs="宋体"/>
                <w:i w:val="0"/>
                <w:iCs w:val="0"/>
                <w:color w:val="000000"/>
                <w:kern w:val="0"/>
                <w:sz w:val="18"/>
                <w:szCs w:val="18"/>
                <w:u w:val="none"/>
                <w:lang w:val="en-US" w:eastAsia="zh-CN" w:bidi="ar"/>
              </w:rPr>
              <w:t>维持单位的正常运转</w:t>
            </w:r>
          </w:p>
        </w:tc>
      </w:tr>
      <w:tr w14:paraId="2213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left w:val="single" w:color="000000" w:sz="4" w:space="0"/>
              <w:bottom w:val="single" w:color="000000" w:sz="4" w:space="0"/>
              <w:right w:val="single" w:color="000000" w:sz="4" w:space="0"/>
            </w:tcBorders>
            <w:shd w:val="clear" w:color="auto" w:fill="auto"/>
            <w:vAlign w:val="center"/>
          </w:tcPr>
          <w:p w14:paraId="699BDD3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A2D58">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18"/>
                <w:szCs w:val="18"/>
                <w:u w:val="none"/>
                <w:lang w:eastAsia="zh-CN"/>
              </w:rPr>
              <w:t>对个人和家庭的补助</w:t>
            </w:r>
          </w:p>
        </w:tc>
        <w:tc>
          <w:tcPr>
            <w:tcW w:w="55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D7AA83">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18"/>
                <w:szCs w:val="18"/>
                <w:u w:val="none"/>
                <w:lang w:eastAsia="zh-CN"/>
              </w:rPr>
              <w:t>驻村工作队员补助</w:t>
            </w:r>
          </w:p>
        </w:tc>
      </w:tr>
      <w:tr w14:paraId="6FBC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6F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31CC7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C3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1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CB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41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0D2D1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6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772" w:type="dxa"/>
            <w:tcBorders>
              <w:top w:val="single" w:color="000000" w:sz="4" w:space="0"/>
              <w:left w:val="single" w:color="000000" w:sz="4" w:space="0"/>
              <w:bottom w:val="single" w:color="000000" w:sz="4" w:space="0"/>
            </w:tcBorders>
            <w:shd w:val="clear" w:color="auto" w:fill="auto"/>
            <w:vAlign w:val="center"/>
          </w:tcPr>
          <w:p w14:paraId="667E71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B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61E899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77C6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914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bookmarkStart w:id="6" w:name="OLE_LINK1" w:colFirst="5" w:colLast="5"/>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591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065" w:type="dxa"/>
            <w:vMerge w:val="restart"/>
            <w:tcBorders>
              <w:top w:val="single" w:color="000000" w:sz="4" w:space="0"/>
              <w:left w:val="single" w:color="000000" w:sz="4" w:space="0"/>
              <w:right w:val="single" w:color="000000" w:sz="4" w:space="0"/>
            </w:tcBorders>
            <w:shd w:val="clear" w:color="auto" w:fill="auto"/>
            <w:vAlign w:val="center"/>
          </w:tcPr>
          <w:p w14:paraId="31A414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0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党建工作完成率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B8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B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E7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58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left w:val="single" w:color="000000" w:sz="4" w:space="0"/>
              <w:bottom w:val="single" w:color="000000" w:sz="4" w:space="0"/>
              <w:right w:val="single" w:color="000000" w:sz="4" w:space="0"/>
            </w:tcBorders>
            <w:shd w:val="clear" w:color="auto" w:fill="auto"/>
            <w:vAlign w:val="center"/>
          </w:tcPr>
          <w:p w14:paraId="3BD9A0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r>
      <w:tr w14:paraId="56B8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9EE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B50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76FE337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27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签约招商项目完成率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D4F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E01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8BF2">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111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0B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5104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55D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6125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7CA4A4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8A1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数据资源汇聚完成</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029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2EE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0C88">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A09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2B7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2FAE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EDAD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8709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4412C17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7DA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信息化建设率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B13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482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82D">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A75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270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90%</w:t>
            </w:r>
          </w:p>
        </w:tc>
      </w:tr>
      <w:tr w14:paraId="467A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EC8E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4A0F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14:paraId="65FB30B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72C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城市大脑建设完成率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CE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790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80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49EE">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7BB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752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80%</w:t>
            </w:r>
          </w:p>
        </w:tc>
      </w:tr>
      <w:tr w14:paraId="6F0D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0713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DA17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restart"/>
            <w:tcBorders>
              <w:top w:val="single" w:color="000000" w:sz="4" w:space="0"/>
              <w:left w:val="single" w:color="000000" w:sz="4" w:space="0"/>
              <w:right w:val="single" w:color="000000" w:sz="4" w:space="0"/>
            </w:tcBorders>
            <w:shd w:val="clear" w:color="auto" w:fill="auto"/>
            <w:vAlign w:val="center"/>
          </w:tcPr>
          <w:p w14:paraId="3319BE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4F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城市大脑建设达标率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FD6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594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563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49B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051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6187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6D54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D6E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7ECA8D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27E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党建工作达标率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58B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819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7C16">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421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73B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r>
      <w:tr w14:paraId="14CD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C1F8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6AA7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285868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EE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签约招商项目完成达标率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FA5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71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588">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E07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F50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3069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607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50A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79C6F2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E16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sz w:val="18"/>
                <w:szCs w:val="18"/>
                <w:u w:val="none"/>
                <w:lang w:eastAsia="zh-CN"/>
              </w:rPr>
              <w:t>数据资源汇聚完成达标率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0EE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2E1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3F53">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CAC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2A3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2242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1F6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507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14:paraId="502DE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E76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信息化建设完成达标率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D87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D3F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F0E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E0C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06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r>
      <w:tr w14:paraId="25E6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209E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F40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restart"/>
            <w:tcBorders>
              <w:top w:val="single" w:color="000000" w:sz="4" w:space="0"/>
              <w:left w:val="single" w:color="000000" w:sz="4" w:space="0"/>
              <w:right w:val="single" w:color="000000" w:sz="4" w:space="0"/>
            </w:tcBorders>
            <w:shd w:val="clear" w:color="auto" w:fill="auto"/>
            <w:vAlign w:val="center"/>
          </w:tcPr>
          <w:p w14:paraId="210C8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时效指标</w:t>
            </w:r>
          </w:p>
          <w:p w14:paraId="1E9D1E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A80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城市大脑建设完成时效性</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2D5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E3F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5B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90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815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4CBB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28A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9493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116BC3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A52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党建工作完及时性</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FF3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2E5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A258">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FA7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784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6F2A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85D7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49C6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73739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2AF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签约招商项目及时性</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06B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B8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6DC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2D7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D92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r>
      <w:tr w14:paraId="0255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546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574E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108A99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C15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数据资源汇聚完成及时性</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4F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8D2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61B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EED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2ED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3812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5A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B2D5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14:paraId="66EEA6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1C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18"/>
                <w:szCs w:val="18"/>
                <w:u w:val="none"/>
                <w:lang w:eastAsia="zh-CN"/>
              </w:rPr>
              <w:t>信息化建设完成时效性</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214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05F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E4A">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40D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E07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bookmarkEnd w:id="6"/>
      <w:tr w14:paraId="7688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893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restart"/>
            <w:tcBorders>
              <w:top w:val="single" w:color="000000" w:sz="4" w:space="0"/>
              <w:left w:val="single" w:color="000000" w:sz="4" w:space="0"/>
              <w:right w:val="single" w:color="000000" w:sz="4" w:space="0"/>
            </w:tcBorders>
            <w:shd w:val="clear" w:color="auto" w:fill="auto"/>
            <w:vAlign w:val="center"/>
          </w:tcPr>
          <w:p w14:paraId="754EE8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065" w:type="dxa"/>
            <w:vMerge w:val="restart"/>
            <w:tcBorders>
              <w:top w:val="single" w:color="000000" w:sz="4" w:space="0"/>
              <w:left w:val="single" w:color="000000" w:sz="4" w:space="0"/>
              <w:right w:val="single" w:color="000000" w:sz="4" w:space="0"/>
            </w:tcBorders>
            <w:shd w:val="clear" w:color="auto" w:fill="auto"/>
            <w:vAlign w:val="center"/>
          </w:tcPr>
          <w:p w14:paraId="68CE65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25CBD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2E94">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16"/>
                <w:szCs w:val="16"/>
                <w:u w:val="none"/>
                <w:lang w:eastAsia="zh-CN"/>
              </w:rPr>
              <w:t>丰富人民群众的文化生活</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13C3">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F58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好坏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0D4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25F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3E3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好</w:t>
            </w:r>
          </w:p>
        </w:tc>
      </w:tr>
      <w:tr w14:paraId="7194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20F2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000000" w:sz="4" w:space="0"/>
              <w:right w:val="single" w:color="000000" w:sz="4" w:space="0"/>
            </w:tcBorders>
            <w:shd w:val="clear" w:color="auto" w:fill="auto"/>
            <w:vAlign w:val="center"/>
          </w:tcPr>
          <w:p w14:paraId="2EA3C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065" w:type="dxa"/>
            <w:vMerge w:val="continue"/>
            <w:tcBorders>
              <w:left w:val="single" w:color="000000" w:sz="4" w:space="0"/>
              <w:right w:val="single" w:color="000000" w:sz="4" w:space="0"/>
            </w:tcBorders>
            <w:shd w:val="clear" w:color="auto" w:fill="auto"/>
            <w:vAlign w:val="center"/>
          </w:tcPr>
          <w:p w14:paraId="16910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E32A">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18"/>
                <w:szCs w:val="18"/>
                <w:u w:val="none"/>
                <w:lang w:eastAsia="zh-CN"/>
              </w:rPr>
              <w:t>改善人居环境</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989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04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好坏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BF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D59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552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好</w:t>
            </w:r>
          </w:p>
        </w:tc>
      </w:tr>
      <w:tr w14:paraId="4D4B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3F1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000000" w:sz="4" w:space="0"/>
              <w:right w:val="single" w:color="000000" w:sz="4" w:space="0"/>
            </w:tcBorders>
            <w:shd w:val="clear" w:color="auto" w:fill="auto"/>
            <w:vAlign w:val="center"/>
          </w:tcPr>
          <w:p w14:paraId="5912509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043FAEE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4E84">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18"/>
                <w:szCs w:val="18"/>
                <w:u w:val="none"/>
                <w:lang w:eastAsia="zh-CN"/>
              </w:rPr>
              <w:t>改善生产生活条件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B57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187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好坏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C7B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ABE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B773">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好</w:t>
            </w:r>
          </w:p>
        </w:tc>
      </w:tr>
      <w:tr w14:paraId="7E55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34CF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000000" w:sz="4" w:space="0"/>
              <w:right w:val="single" w:color="000000" w:sz="4" w:space="0"/>
            </w:tcBorders>
            <w:shd w:val="clear" w:color="auto" w:fill="auto"/>
            <w:vAlign w:val="center"/>
          </w:tcPr>
          <w:p w14:paraId="50C7E19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07E70ED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CF6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18"/>
                <w:szCs w:val="18"/>
                <w:u w:val="none"/>
                <w:lang w:eastAsia="zh-CN"/>
              </w:rPr>
              <w:t>信息共享及时性</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421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8CF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好坏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EF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873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FC35">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好</w:t>
            </w:r>
          </w:p>
        </w:tc>
      </w:tr>
      <w:tr w14:paraId="4C4F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B087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000000" w:sz="4" w:space="0"/>
              <w:right w:val="single" w:color="000000" w:sz="4" w:space="0"/>
            </w:tcBorders>
            <w:shd w:val="clear" w:color="auto" w:fill="auto"/>
            <w:vAlign w:val="center"/>
          </w:tcPr>
          <w:p w14:paraId="7AD48C1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tcBorders>
              <w:top w:val="single" w:color="000000" w:sz="4" w:space="0"/>
              <w:left w:val="single" w:color="000000" w:sz="4" w:space="0"/>
              <w:right w:val="single" w:color="000000" w:sz="4" w:space="0"/>
            </w:tcBorders>
            <w:shd w:val="clear" w:color="auto" w:fill="auto"/>
            <w:vAlign w:val="center"/>
          </w:tcPr>
          <w:p w14:paraId="2F91CB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可持续发展指标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2A6">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长效管理机制健全性</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757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4E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高中低</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F96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C8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D9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高</w:t>
            </w:r>
          </w:p>
        </w:tc>
      </w:tr>
      <w:tr w14:paraId="013D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3BB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000000" w:sz="4" w:space="0"/>
              <w:right w:val="single" w:color="000000" w:sz="4" w:space="0"/>
            </w:tcBorders>
            <w:shd w:val="clear" w:color="auto" w:fill="auto"/>
            <w:vAlign w:val="center"/>
          </w:tcPr>
          <w:p w14:paraId="09E6AAC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restart"/>
            <w:tcBorders>
              <w:top w:val="single" w:color="000000" w:sz="4" w:space="0"/>
              <w:left w:val="single" w:color="000000" w:sz="4" w:space="0"/>
              <w:right w:val="single" w:color="000000" w:sz="4" w:space="0"/>
            </w:tcBorders>
            <w:shd w:val="clear" w:color="auto" w:fill="auto"/>
            <w:vAlign w:val="center"/>
          </w:tcPr>
          <w:p w14:paraId="0CCBF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可持续影响指标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70D8">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提高政府服务效率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F0E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442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高中低</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E6B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2C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CE12">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高</w:t>
            </w:r>
          </w:p>
        </w:tc>
      </w:tr>
      <w:tr w14:paraId="070F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C31B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000000" w:sz="4" w:space="0"/>
              <w:bottom w:val="single" w:color="000000" w:sz="4" w:space="0"/>
              <w:right w:val="single" w:color="000000" w:sz="4" w:space="0"/>
            </w:tcBorders>
            <w:shd w:val="clear" w:color="auto" w:fill="auto"/>
            <w:vAlign w:val="center"/>
          </w:tcPr>
          <w:p w14:paraId="7A1C9CC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14:paraId="45625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F0E5">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提高政府公信力</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A24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8F2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高中低</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73E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E46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A1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高</w:t>
            </w:r>
          </w:p>
        </w:tc>
      </w:tr>
      <w:tr w14:paraId="1AF1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61E0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restart"/>
            <w:tcBorders>
              <w:top w:val="single" w:color="000000" w:sz="4" w:space="0"/>
              <w:left w:val="single" w:color="000000" w:sz="4" w:space="0"/>
              <w:right w:val="single" w:color="000000" w:sz="4" w:space="0"/>
            </w:tcBorders>
            <w:shd w:val="clear" w:color="auto" w:fill="auto"/>
            <w:vAlign w:val="center"/>
          </w:tcPr>
          <w:p w14:paraId="0CE08D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E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服务对象满意度指标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4AE5">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0"/>
                <w:szCs w:val="20"/>
                <w:u w:val="none"/>
                <w:lang w:eastAsia="zh-CN"/>
              </w:rPr>
            </w:pPr>
            <w:r>
              <w:rPr>
                <w:rFonts w:hint="eastAsia" w:eastAsia="宋体" w:cs="Times New Roman"/>
                <w:i w:val="0"/>
                <w:color w:val="000000"/>
                <w:sz w:val="20"/>
                <w:szCs w:val="20"/>
                <w:u w:val="none"/>
                <w:lang w:eastAsia="zh-CN"/>
              </w:rPr>
              <w:t>群众满意度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6BF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2EF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32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87C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4D9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3901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1092" w:type="dxa"/>
            <w:vMerge w:val="restart"/>
            <w:tcBorders>
              <w:top w:val="single" w:color="000000" w:sz="4" w:space="0"/>
              <w:left w:val="single" w:color="000000" w:sz="4" w:space="0"/>
              <w:right w:val="single" w:color="000000" w:sz="4" w:space="0"/>
            </w:tcBorders>
            <w:shd w:val="clear" w:color="auto" w:fill="auto"/>
            <w:vAlign w:val="center"/>
          </w:tcPr>
          <w:p w14:paraId="4D7769F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000000" w:sz="4" w:space="0"/>
              <w:bottom w:val="single" w:color="auto" w:sz="4" w:space="0"/>
              <w:right w:val="single" w:color="000000" w:sz="4" w:space="0"/>
            </w:tcBorders>
            <w:shd w:val="clear" w:color="auto" w:fill="auto"/>
            <w:vAlign w:val="center"/>
          </w:tcPr>
          <w:p w14:paraId="236E60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95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满意度指标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A0E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0"/>
                <w:szCs w:val="20"/>
                <w:u w:val="none"/>
                <w:lang w:eastAsia="zh-CN"/>
              </w:rPr>
            </w:pPr>
            <w:r>
              <w:rPr>
                <w:rFonts w:hint="eastAsia" w:eastAsia="宋体" w:cs="Times New Roman"/>
                <w:i w:val="0"/>
                <w:color w:val="000000"/>
                <w:sz w:val="20"/>
                <w:szCs w:val="20"/>
                <w:u w:val="none"/>
                <w:lang w:eastAsia="zh-CN"/>
              </w:rPr>
              <w:t>政府满意度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18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sz w:val="24"/>
                <w:szCs w:val="24"/>
                <w:u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2C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10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080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481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r>
      <w:tr w14:paraId="75C4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0" w:hRule="atLeast"/>
          <w:jc w:val="center"/>
        </w:trPr>
        <w:tc>
          <w:tcPr>
            <w:tcW w:w="1092" w:type="dxa"/>
            <w:vMerge w:val="continue"/>
            <w:tcBorders>
              <w:left w:val="single" w:color="000000" w:sz="4" w:space="0"/>
              <w:right w:val="single" w:color="000000" w:sz="4" w:space="0"/>
            </w:tcBorders>
            <w:shd w:val="clear" w:color="auto" w:fill="auto"/>
            <w:vAlign w:val="center"/>
          </w:tcPr>
          <w:p w14:paraId="6E61759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restart"/>
            <w:tcBorders>
              <w:top w:val="single" w:color="auto" w:sz="4" w:space="0"/>
              <w:left w:val="single" w:color="auto" w:sz="4" w:space="0"/>
              <w:right w:val="single" w:color="auto" w:sz="4" w:space="0"/>
            </w:tcBorders>
            <w:shd w:val="clear" w:color="auto" w:fill="auto"/>
            <w:vAlign w:val="center"/>
          </w:tcPr>
          <w:p w14:paraId="5D98D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成本指标</w:t>
            </w:r>
          </w:p>
        </w:tc>
        <w:tc>
          <w:tcPr>
            <w:tcW w:w="1065" w:type="dxa"/>
            <w:vMerge w:val="restart"/>
            <w:tcBorders>
              <w:top w:val="single" w:color="000000" w:sz="4" w:space="0"/>
              <w:left w:val="single" w:color="auto" w:sz="4" w:space="0"/>
              <w:right w:val="single" w:color="000000" w:sz="4" w:space="0"/>
            </w:tcBorders>
            <w:shd w:val="clear" w:color="auto" w:fill="auto"/>
            <w:vAlign w:val="center"/>
          </w:tcPr>
          <w:p w14:paraId="31FE85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经济成本指标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9B3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0"/>
                <w:szCs w:val="20"/>
                <w:u w:val="none"/>
                <w:lang w:eastAsia="zh-CN"/>
              </w:rPr>
            </w:pPr>
            <w:r>
              <w:rPr>
                <w:rFonts w:hint="eastAsia" w:eastAsia="宋体" w:cs="Times New Roman"/>
                <w:i w:val="0"/>
                <w:color w:val="000000"/>
                <w:sz w:val="20"/>
                <w:szCs w:val="20"/>
                <w:u w:val="none"/>
                <w:lang w:eastAsia="zh-CN"/>
              </w:rPr>
              <w:t>对个人和家庭的补助</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8B4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0714">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高中低</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08F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CA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5A8">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高</w:t>
            </w:r>
          </w:p>
        </w:tc>
      </w:tr>
      <w:tr w14:paraId="3544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0" w:hRule="atLeast"/>
          <w:jc w:val="center"/>
        </w:trPr>
        <w:tc>
          <w:tcPr>
            <w:tcW w:w="1092" w:type="dxa"/>
            <w:vMerge w:val="continue"/>
            <w:tcBorders>
              <w:left w:val="single" w:color="000000" w:sz="4" w:space="0"/>
              <w:right w:val="single" w:color="000000" w:sz="4" w:space="0"/>
            </w:tcBorders>
            <w:shd w:val="clear" w:color="auto" w:fill="auto"/>
            <w:vAlign w:val="center"/>
          </w:tcPr>
          <w:p w14:paraId="7BA95B3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auto" w:sz="4" w:space="0"/>
              <w:right w:val="single" w:color="auto" w:sz="4" w:space="0"/>
            </w:tcBorders>
            <w:shd w:val="clear" w:color="auto" w:fill="auto"/>
            <w:vAlign w:val="center"/>
          </w:tcPr>
          <w:p w14:paraId="3903C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eastAsia="宋体" w:cs="Times New Roman"/>
                <w:i w:val="0"/>
                <w:color w:val="000000"/>
                <w:kern w:val="0"/>
                <w:sz w:val="24"/>
                <w:szCs w:val="24"/>
                <w:u w:val="none"/>
                <w:lang w:val="en-US" w:eastAsia="zh-CN" w:bidi="ar"/>
              </w:rPr>
            </w:pPr>
          </w:p>
        </w:tc>
        <w:tc>
          <w:tcPr>
            <w:tcW w:w="1065" w:type="dxa"/>
            <w:vMerge w:val="continue"/>
            <w:tcBorders>
              <w:left w:val="single" w:color="auto" w:sz="4" w:space="0"/>
              <w:right w:val="single" w:color="000000" w:sz="4" w:space="0"/>
            </w:tcBorders>
            <w:shd w:val="clear" w:color="auto" w:fill="auto"/>
            <w:vAlign w:val="center"/>
          </w:tcPr>
          <w:p w14:paraId="1C713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5CFC">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0"/>
                <w:szCs w:val="20"/>
                <w:u w:val="none"/>
                <w:lang w:eastAsia="zh-CN"/>
              </w:rPr>
            </w:pPr>
            <w:r>
              <w:rPr>
                <w:rFonts w:hint="eastAsia" w:eastAsia="宋体" w:cs="Times New Roman"/>
                <w:i w:val="0"/>
                <w:color w:val="000000"/>
                <w:sz w:val="20"/>
                <w:szCs w:val="20"/>
                <w:u w:val="none"/>
                <w:lang w:eastAsia="zh-CN"/>
              </w:rPr>
              <w:t>工资福利支出成本</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873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699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高中低</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8E0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646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1465">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高</w:t>
            </w:r>
          </w:p>
        </w:tc>
      </w:tr>
      <w:tr w14:paraId="4A88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1092" w:type="dxa"/>
            <w:vMerge w:val="continue"/>
            <w:tcBorders>
              <w:left w:val="single" w:color="000000" w:sz="4" w:space="0"/>
              <w:bottom w:val="single" w:color="000000" w:sz="4" w:space="0"/>
              <w:right w:val="single" w:color="000000" w:sz="4" w:space="0"/>
            </w:tcBorders>
            <w:shd w:val="clear" w:color="auto" w:fill="auto"/>
            <w:vAlign w:val="center"/>
          </w:tcPr>
          <w:p w14:paraId="3F421DB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23" w:type="dxa"/>
            <w:vMerge w:val="continue"/>
            <w:tcBorders>
              <w:left w:val="single" w:color="auto" w:sz="4" w:space="0"/>
              <w:bottom w:val="single" w:color="auto" w:sz="4" w:space="0"/>
              <w:right w:val="single" w:color="auto" w:sz="4" w:space="0"/>
            </w:tcBorders>
            <w:shd w:val="clear" w:color="auto" w:fill="auto"/>
            <w:vAlign w:val="center"/>
          </w:tcPr>
          <w:p w14:paraId="717678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eastAsia="宋体" w:cs="Times New Roman"/>
                <w:i w:val="0"/>
                <w:color w:val="000000"/>
                <w:kern w:val="0"/>
                <w:sz w:val="24"/>
                <w:szCs w:val="24"/>
                <w:u w:val="none"/>
                <w:lang w:val="en-US" w:eastAsia="zh-CN" w:bidi="ar"/>
              </w:rPr>
            </w:pPr>
          </w:p>
        </w:tc>
        <w:tc>
          <w:tcPr>
            <w:tcW w:w="1065" w:type="dxa"/>
            <w:vMerge w:val="continue"/>
            <w:tcBorders>
              <w:left w:val="single" w:color="auto" w:sz="4" w:space="0"/>
              <w:bottom w:val="single" w:color="000000" w:sz="4" w:space="0"/>
              <w:right w:val="single" w:color="000000" w:sz="4" w:space="0"/>
            </w:tcBorders>
            <w:shd w:val="clear" w:color="auto" w:fill="auto"/>
            <w:vAlign w:val="center"/>
          </w:tcPr>
          <w:p w14:paraId="09108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eastAsia="宋体" w:cs="Times New Roman"/>
                <w:i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BA45">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0"/>
                <w:szCs w:val="20"/>
                <w:u w:val="none"/>
                <w:lang w:eastAsia="zh-CN"/>
              </w:rPr>
            </w:pPr>
            <w:r>
              <w:rPr>
                <w:rFonts w:hint="eastAsia" w:eastAsia="宋体" w:cs="Times New Roman"/>
                <w:i w:val="0"/>
                <w:color w:val="000000"/>
                <w:sz w:val="20"/>
                <w:szCs w:val="20"/>
                <w:u w:val="none"/>
                <w:lang w:eastAsia="zh-CN"/>
              </w:rPr>
              <w:t>商品服务支出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AFDE">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定性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9F5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eastAsia="zh-CN"/>
              </w:rPr>
              <w:t>高中低</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F07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539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50B5">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高</w:t>
            </w:r>
          </w:p>
        </w:tc>
      </w:tr>
    </w:tbl>
    <w:p w14:paraId="422BAE01">
      <w:pPr>
        <w:pStyle w:val="10"/>
        <w:ind w:left="0" w:leftChars="0" w:firstLine="0" w:firstLineChars="0"/>
        <w:rPr>
          <w:rFonts w:hint="default" w:ascii="Times New Roman" w:hAnsi="Times New Roman" w:eastAsia="黑体" w:cs="Times New Roman"/>
          <w:sz w:val="24"/>
          <w:szCs w:val="24"/>
          <w:highlight w:val="none"/>
          <w:lang w:val="en-US" w:eastAsia="zh-CN"/>
        </w:rPr>
      </w:pPr>
    </w:p>
    <w:p w14:paraId="761E98A3">
      <w:pPr>
        <w:pStyle w:val="10"/>
        <w:ind w:left="0" w:leftChars="0" w:firstLine="0" w:firstLineChars="0"/>
        <w:rPr>
          <w:rFonts w:hint="default" w:ascii="Times New Roman" w:hAnsi="Times New Roman" w:eastAsia="黑体" w:cs="Times New Roman"/>
          <w:sz w:val="24"/>
          <w:szCs w:val="24"/>
          <w:highlight w:val="none"/>
          <w:lang w:val="en-US" w:eastAsia="zh-CN"/>
        </w:rPr>
      </w:pPr>
    </w:p>
    <w:p w14:paraId="29F7432C">
      <w:pPr>
        <w:pStyle w:val="10"/>
        <w:ind w:left="0" w:leftChars="0" w:firstLine="0" w:firstLineChars="0"/>
        <w:rPr>
          <w:rFonts w:hint="default" w:ascii="Times New Roman" w:hAnsi="Times New Roman" w:eastAsia="黑体" w:cs="Times New Roman"/>
          <w:sz w:val="24"/>
          <w:szCs w:val="24"/>
          <w:highlight w:val="none"/>
          <w:lang w:val="en-US" w:eastAsia="zh-CN"/>
        </w:rPr>
      </w:pPr>
    </w:p>
    <w:p w14:paraId="2336EA43">
      <w:pPr>
        <w:pStyle w:val="10"/>
        <w:ind w:left="0" w:leftChars="0" w:firstLine="0" w:firstLineChars="0"/>
        <w:rPr>
          <w:rFonts w:hint="default" w:ascii="Times New Roman" w:hAnsi="Times New Roman" w:eastAsia="黑体" w:cs="Times New Roman"/>
          <w:sz w:val="24"/>
          <w:szCs w:val="24"/>
          <w:highlight w:val="none"/>
          <w:lang w:val="en-US" w:eastAsia="zh-CN"/>
        </w:rPr>
      </w:pPr>
    </w:p>
    <w:p w14:paraId="2AD53CB0">
      <w:pPr>
        <w:pStyle w:val="10"/>
        <w:ind w:left="0" w:leftChars="0" w:firstLine="0" w:firstLineChars="0"/>
        <w:rPr>
          <w:rFonts w:hint="default" w:ascii="Times New Roman" w:hAnsi="Times New Roman" w:eastAsia="黑体" w:cs="Times New Roman"/>
          <w:sz w:val="24"/>
          <w:szCs w:val="24"/>
          <w:highlight w:val="none"/>
          <w:lang w:val="en-US" w:eastAsia="zh-CN"/>
        </w:rPr>
      </w:pPr>
    </w:p>
    <w:p w14:paraId="0C62BB13">
      <w:pPr>
        <w:pStyle w:val="10"/>
        <w:ind w:left="0" w:leftChars="0" w:firstLine="0" w:firstLineChars="0"/>
        <w:rPr>
          <w:rFonts w:hint="default" w:ascii="Times New Roman" w:hAnsi="Times New Roman" w:eastAsia="黑体" w:cs="Times New Roman"/>
          <w:sz w:val="24"/>
          <w:szCs w:val="24"/>
          <w:highlight w:val="none"/>
          <w:lang w:val="en-US" w:eastAsia="zh-CN"/>
        </w:rPr>
      </w:pPr>
    </w:p>
    <w:p w14:paraId="48D726BF">
      <w:pPr>
        <w:pStyle w:val="10"/>
        <w:ind w:left="0" w:leftChars="0" w:firstLine="0" w:firstLineChars="0"/>
        <w:rPr>
          <w:rFonts w:hint="default" w:ascii="Times New Roman" w:hAnsi="Times New Roman" w:eastAsia="黑体" w:cs="Times New Roman"/>
          <w:sz w:val="24"/>
          <w:szCs w:val="24"/>
          <w:highlight w:val="none"/>
          <w:lang w:val="en-US" w:eastAsia="zh-CN"/>
        </w:rPr>
      </w:pPr>
    </w:p>
    <w:p w14:paraId="034392A5">
      <w:pPr>
        <w:pStyle w:val="10"/>
        <w:ind w:left="0" w:leftChars="0" w:firstLine="0" w:firstLineChars="0"/>
        <w:rPr>
          <w:rFonts w:hint="default" w:ascii="Times New Roman" w:hAnsi="Times New Roman" w:eastAsia="黑体" w:cs="Times New Roman"/>
          <w:sz w:val="24"/>
          <w:szCs w:val="24"/>
          <w:highlight w:val="none"/>
          <w:lang w:val="en-US" w:eastAsia="zh-CN"/>
        </w:rPr>
      </w:pPr>
    </w:p>
    <w:p w14:paraId="526D94F5">
      <w:pPr>
        <w:pStyle w:val="10"/>
        <w:ind w:left="0" w:leftChars="0" w:firstLine="0" w:firstLineChars="0"/>
        <w:rPr>
          <w:rFonts w:hint="default" w:ascii="Times New Roman" w:hAnsi="Times New Roman" w:eastAsia="黑体" w:cs="Times New Roman"/>
          <w:sz w:val="24"/>
          <w:szCs w:val="24"/>
          <w:highlight w:val="none"/>
          <w:lang w:val="en-US" w:eastAsia="zh-CN"/>
        </w:rPr>
      </w:pPr>
    </w:p>
    <w:p w14:paraId="092CC6A6">
      <w:pPr>
        <w:pStyle w:val="10"/>
        <w:ind w:left="0" w:leftChars="0" w:firstLine="0" w:firstLineChars="0"/>
        <w:rPr>
          <w:rFonts w:hint="default" w:ascii="Times New Roman" w:hAnsi="Times New Roman" w:eastAsia="黑体" w:cs="Times New Roman"/>
          <w:sz w:val="24"/>
          <w:szCs w:val="24"/>
          <w:highlight w:val="none"/>
          <w:lang w:val="en-US" w:eastAsia="zh-CN"/>
        </w:rPr>
      </w:pPr>
    </w:p>
    <w:p w14:paraId="2CA9D89F">
      <w:pPr>
        <w:pStyle w:val="10"/>
        <w:ind w:left="0" w:leftChars="0" w:firstLine="0" w:firstLineChars="0"/>
        <w:rPr>
          <w:rFonts w:hint="default" w:ascii="Times New Roman" w:hAnsi="Times New Roman" w:eastAsia="黑体" w:cs="Times New Roman"/>
          <w:sz w:val="24"/>
          <w:szCs w:val="24"/>
          <w:highlight w:val="none"/>
          <w:lang w:val="en-US" w:eastAsia="zh-CN"/>
        </w:rPr>
      </w:pPr>
    </w:p>
    <w:p w14:paraId="6C1A5EF5">
      <w:pPr>
        <w:pStyle w:val="10"/>
        <w:ind w:left="0" w:leftChars="0" w:firstLine="0" w:firstLineChars="0"/>
        <w:rPr>
          <w:rFonts w:hint="default" w:ascii="Times New Roman" w:hAnsi="Times New Roman" w:eastAsia="黑体" w:cs="Times New Roman"/>
          <w:sz w:val="24"/>
          <w:szCs w:val="24"/>
          <w:highlight w:val="none"/>
          <w:lang w:val="en-US" w:eastAsia="zh-CN"/>
        </w:rPr>
      </w:pPr>
    </w:p>
    <w:p w14:paraId="34FE5225">
      <w:pPr>
        <w:pStyle w:val="10"/>
        <w:ind w:left="0" w:leftChars="0" w:firstLine="0" w:firstLineChars="0"/>
        <w:rPr>
          <w:rFonts w:hint="default" w:ascii="Times New Roman" w:hAnsi="Times New Roman" w:eastAsia="黑体" w:cs="Times New Roman"/>
          <w:sz w:val="24"/>
          <w:szCs w:val="24"/>
          <w:highlight w:val="none"/>
          <w:lang w:val="en-US" w:eastAsia="zh-CN"/>
        </w:rPr>
      </w:pPr>
    </w:p>
    <w:p w14:paraId="36473181">
      <w:pPr>
        <w:pStyle w:val="10"/>
        <w:ind w:left="0" w:leftChars="0" w:firstLine="0" w:firstLineChars="0"/>
        <w:rPr>
          <w:rFonts w:hint="default" w:ascii="Times New Roman" w:hAnsi="Times New Roman" w:eastAsia="黑体" w:cs="Times New Roman"/>
          <w:sz w:val="24"/>
          <w:szCs w:val="24"/>
          <w:highlight w:val="none"/>
          <w:lang w:val="en-US" w:eastAsia="zh-CN"/>
        </w:rPr>
      </w:pPr>
    </w:p>
    <w:p w14:paraId="435C141D">
      <w:pPr>
        <w:pStyle w:val="10"/>
        <w:ind w:left="0" w:leftChars="0" w:firstLine="0" w:firstLineChars="0"/>
        <w:rPr>
          <w:rFonts w:hint="default" w:ascii="Times New Roman" w:hAnsi="Times New Roman" w:eastAsia="黑体" w:cs="Times New Roman"/>
          <w:sz w:val="24"/>
          <w:szCs w:val="24"/>
          <w:highlight w:val="none"/>
          <w:lang w:val="en-US" w:eastAsia="zh-CN"/>
        </w:rPr>
      </w:pPr>
    </w:p>
    <w:p w14:paraId="4BF6EB25">
      <w:pPr>
        <w:rPr>
          <w:rFonts w:hint="eastAsia" w:ascii="宋体" w:hAnsi="宋体" w:eastAsia="宋体" w:cs="宋体"/>
          <w:i w:val="0"/>
          <w:color w:val="000000"/>
          <w:sz w:val="22"/>
          <w:szCs w:val="22"/>
          <w:u w:val="none"/>
        </w:rPr>
        <w:sectPr>
          <w:headerReference r:id="rId3" w:type="default"/>
          <w:footerReference r:id="rId4" w:type="default"/>
          <w:pgSz w:w="11906" w:h="16838"/>
          <w:pgMar w:top="2098" w:right="1474" w:bottom="1984" w:left="1587" w:header="851" w:footer="992" w:gutter="0"/>
          <w:pgNumType w:fmt="numberInDash" w:start="11"/>
          <w:cols w:space="425" w:num="1"/>
          <w:docGrid w:type="lines" w:linePitch="435" w:charSpace="0"/>
        </w:sectPr>
      </w:pPr>
      <w:r>
        <w:rPr>
          <w:rFonts w:hint="eastAsia" w:ascii="宋体" w:hAnsi="宋体" w:eastAsia="宋体" w:cs="宋体"/>
          <w:i w:val="0"/>
          <w:color w:val="000000"/>
          <w:sz w:val="22"/>
          <w:szCs w:val="22"/>
          <w:u w:val="none"/>
        </w:rPr>
        <w:br w:type="page"/>
      </w:r>
    </w:p>
    <w:p w14:paraId="38978A97">
      <w:pPr>
        <w:pStyle w:val="10"/>
        <w:ind w:left="0" w:leftChars="0" w:firstLine="0" w:firstLineChars="0"/>
        <w:rPr>
          <w:rFonts w:hint="default" w:ascii="Times New Roman" w:hAnsi="Times New Roman" w:eastAsia="黑体" w:cs="Times New Roman"/>
          <w:sz w:val="24"/>
          <w:szCs w:val="24"/>
          <w:highlight w:val="none"/>
          <w:lang w:val="en-US" w:eastAsia="zh-CN"/>
        </w:rPr>
      </w:pPr>
    </w:p>
    <w:sectPr>
      <w:pgSz w:w="11906" w:h="16838"/>
      <w:pgMar w:top="2098" w:right="1474" w:bottom="1984" w:left="1587" w:header="851" w:footer="992" w:gutter="0"/>
      <w:pgNumType w:fmt="numberInDash" w:start="1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仿宋">
    <w:altName w:val="仿宋"/>
    <w:panose1 w:val="00000000000000000000"/>
    <w:charset w:val="86"/>
    <w:family w:val="script"/>
    <w:pitch w:val="default"/>
    <w:sig w:usb0="00000000" w:usb1="00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491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2B2C5">
                          <w:pPr>
                            <w:pStyle w:val="7"/>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14:paraId="791F3F0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B2B2C5">
                    <w:pPr>
                      <w:pStyle w:val="7"/>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14:paraId="791F3F0C"/>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C2E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636F9"/>
    <w:multiLevelType w:val="singleLevel"/>
    <w:tmpl w:val="829636F9"/>
    <w:lvl w:ilvl="0" w:tentative="0">
      <w:start w:val="2"/>
      <w:numFmt w:val="decimal"/>
      <w:lvlText w:val="%1."/>
      <w:lvlJc w:val="left"/>
      <w:pPr>
        <w:tabs>
          <w:tab w:val="left" w:pos="312"/>
        </w:tabs>
      </w:pPr>
    </w:lvl>
  </w:abstractNum>
  <w:abstractNum w:abstractNumId="1">
    <w:nsid w:val="C9FDB529"/>
    <w:multiLevelType w:val="singleLevel"/>
    <w:tmpl w:val="C9FDB529"/>
    <w:lvl w:ilvl="0" w:tentative="0">
      <w:start w:val="1"/>
      <w:numFmt w:val="decimal"/>
      <w:suff w:val="space"/>
      <w:lvlText w:val="%1."/>
      <w:lvlJc w:val="left"/>
    </w:lvl>
  </w:abstractNum>
  <w:abstractNum w:abstractNumId="2">
    <w:nsid w:val="20A70D4E"/>
    <w:multiLevelType w:val="singleLevel"/>
    <w:tmpl w:val="20A70D4E"/>
    <w:lvl w:ilvl="0" w:tentative="0">
      <w:start w:val="2"/>
      <w:numFmt w:val="decimal"/>
      <w:lvlText w:val="%1."/>
      <w:lvlJc w:val="left"/>
      <w:pPr>
        <w:tabs>
          <w:tab w:val="left" w:pos="312"/>
        </w:tabs>
      </w:pPr>
    </w:lvl>
  </w:abstractNum>
  <w:abstractNum w:abstractNumId="3">
    <w:nsid w:val="2F507E7C"/>
    <w:multiLevelType w:val="singleLevel"/>
    <w:tmpl w:val="2F507E7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MWZkM2Q5NzRjZDcyMjhlOWIxYmQ4NzY2NDgzNTQ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D30B80"/>
    <w:rsid w:val="055204AE"/>
    <w:rsid w:val="05741760"/>
    <w:rsid w:val="062736E9"/>
    <w:rsid w:val="069B5E85"/>
    <w:rsid w:val="069C40D7"/>
    <w:rsid w:val="0930164B"/>
    <w:rsid w:val="0A894972"/>
    <w:rsid w:val="0DC31556"/>
    <w:rsid w:val="0F3C218A"/>
    <w:rsid w:val="11F37030"/>
    <w:rsid w:val="13394A5B"/>
    <w:rsid w:val="13BA5558"/>
    <w:rsid w:val="17E527DE"/>
    <w:rsid w:val="1A3D6143"/>
    <w:rsid w:val="1B356531"/>
    <w:rsid w:val="1C013801"/>
    <w:rsid w:val="1D23498F"/>
    <w:rsid w:val="1DC55869"/>
    <w:rsid w:val="1DFD8D3B"/>
    <w:rsid w:val="1FB79DC9"/>
    <w:rsid w:val="1FBFC3F2"/>
    <w:rsid w:val="1FFFE033"/>
    <w:rsid w:val="27F352A6"/>
    <w:rsid w:val="2D527252"/>
    <w:rsid w:val="2DDC1740"/>
    <w:rsid w:val="2EAE55F2"/>
    <w:rsid w:val="2EDF4302"/>
    <w:rsid w:val="2EFE1A04"/>
    <w:rsid w:val="300F4119"/>
    <w:rsid w:val="35BBF80F"/>
    <w:rsid w:val="3B736F08"/>
    <w:rsid w:val="3BE3D531"/>
    <w:rsid w:val="3D431A40"/>
    <w:rsid w:val="3E191202"/>
    <w:rsid w:val="3EFC6294"/>
    <w:rsid w:val="3EFF42CA"/>
    <w:rsid w:val="3F2206CA"/>
    <w:rsid w:val="3FD5AF3D"/>
    <w:rsid w:val="3FFED8BE"/>
    <w:rsid w:val="3FFF43BB"/>
    <w:rsid w:val="41AC43F5"/>
    <w:rsid w:val="433DCF8E"/>
    <w:rsid w:val="45FF973D"/>
    <w:rsid w:val="47550EBA"/>
    <w:rsid w:val="4A6873F9"/>
    <w:rsid w:val="4BF7E09D"/>
    <w:rsid w:val="53BB74FC"/>
    <w:rsid w:val="55C52AA8"/>
    <w:rsid w:val="55FDDF92"/>
    <w:rsid w:val="55FFBC03"/>
    <w:rsid w:val="56CDA72E"/>
    <w:rsid w:val="576F5916"/>
    <w:rsid w:val="577FDAE2"/>
    <w:rsid w:val="57FBE2C7"/>
    <w:rsid w:val="5B335734"/>
    <w:rsid w:val="5B7F322F"/>
    <w:rsid w:val="5BCAB023"/>
    <w:rsid w:val="5DDA9B94"/>
    <w:rsid w:val="5EAB810D"/>
    <w:rsid w:val="5EFF9DA6"/>
    <w:rsid w:val="5F7751B9"/>
    <w:rsid w:val="5F9F7232"/>
    <w:rsid w:val="5F9F9588"/>
    <w:rsid w:val="5FBD32D2"/>
    <w:rsid w:val="5FD450B0"/>
    <w:rsid w:val="5FEF60CD"/>
    <w:rsid w:val="5FFB203D"/>
    <w:rsid w:val="5FFB8CF9"/>
    <w:rsid w:val="63DBAF21"/>
    <w:rsid w:val="6636451A"/>
    <w:rsid w:val="67DE80AA"/>
    <w:rsid w:val="697E3B47"/>
    <w:rsid w:val="69BF132E"/>
    <w:rsid w:val="6AC51274"/>
    <w:rsid w:val="6BFEE5F3"/>
    <w:rsid w:val="6CAFF34E"/>
    <w:rsid w:val="6CFFCF4F"/>
    <w:rsid w:val="6DFFF8B6"/>
    <w:rsid w:val="6EEDE807"/>
    <w:rsid w:val="6EEE4BE4"/>
    <w:rsid w:val="6EF65E9C"/>
    <w:rsid w:val="6F3D9197"/>
    <w:rsid w:val="6F7B35A7"/>
    <w:rsid w:val="6FAB3EC4"/>
    <w:rsid w:val="6FB6AF41"/>
    <w:rsid w:val="6FD894C8"/>
    <w:rsid w:val="6FE36A9E"/>
    <w:rsid w:val="6FEFB2D1"/>
    <w:rsid w:val="6FFF97E6"/>
    <w:rsid w:val="70F762AA"/>
    <w:rsid w:val="71397E03"/>
    <w:rsid w:val="71FB5B08"/>
    <w:rsid w:val="739A7EE9"/>
    <w:rsid w:val="73F97190"/>
    <w:rsid w:val="73FB87D9"/>
    <w:rsid w:val="75EF0FBA"/>
    <w:rsid w:val="7607C293"/>
    <w:rsid w:val="76DFA4E8"/>
    <w:rsid w:val="76ED06E5"/>
    <w:rsid w:val="778720BD"/>
    <w:rsid w:val="77A7D615"/>
    <w:rsid w:val="77FF366A"/>
    <w:rsid w:val="77FF8C96"/>
    <w:rsid w:val="77FFA8F9"/>
    <w:rsid w:val="7976604B"/>
    <w:rsid w:val="79F3BC78"/>
    <w:rsid w:val="7A5B6CAA"/>
    <w:rsid w:val="7A9314AC"/>
    <w:rsid w:val="7B4F6850"/>
    <w:rsid w:val="7BABD5C4"/>
    <w:rsid w:val="7BB12055"/>
    <w:rsid w:val="7BBFADBA"/>
    <w:rsid w:val="7BFF492D"/>
    <w:rsid w:val="7C556F2D"/>
    <w:rsid w:val="7C631402"/>
    <w:rsid w:val="7C978C63"/>
    <w:rsid w:val="7CA35AD0"/>
    <w:rsid w:val="7CDF8BC3"/>
    <w:rsid w:val="7CEB72A5"/>
    <w:rsid w:val="7D18750B"/>
    <w:rsid w:val="7DDFDC39"/>
    <w:rsid w:val="7DE40569"/>
    <w:rsid w:val="7E140770"/>
    <w:rsid w:val="7E5D92FB"/>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3">
    <w:name w:val="Document Map"/>
    <w:basedOn w:val="1"/>
    <w:link w:val="18"/>
    <w:qFormat/>
    <w:uiPriority w:val="0"/>
    <w:rPr>
      <w:rFonts w:ascii="宋体" w:eastAsia="宋体"/>
      <w:sz w:val="18"/>
      <w:szCs w:val="18"/>
    </w:r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Chars="200"/>
    </w:pPr>
    <w:rPr>
      <w:rFonts w:ascii="仿宋_GB2312"/>
      <w:szCs w:val="32"/>
    </w:rPr>
  </w:style>
  <w:style w:type="paragraph" w:styleId="6">
    <w:name w:val="Balloon Text"/>
    <w:basedOn w:val="1"/>
    <w:semiHidden/>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qFormat/>
    <w:uiPriority w:val="0"/>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6">
    <w:name w:val="四号正文"/>
    <w:basedOn w:val="1"/>
    <w:link w:val="17"/>
    <w:qFormat/>
    <w:uiPriority w:val="0"/>
    <w:pPr>
      <w:spacing w:line="360" w:lineRule="auto"/>
    </w:pPr>
    <w:rPr>
      <w:rFonts w:ascii="??" w:hAnsi="??" w:eastAsia="宋体" w:cs="宋体"/>
      <w:color w:val="000000"/>
      <w:kern w:val="0"/>
      <w:sz w:val="28"/>
      <w:szCs w:val="21"/>
    </w:rPr>
  </w:style>
  <w:style w:type="character" w:customStyle="1" w:styleId="17">
    <w:name w:val="四号正文 Char"/>
    <w:basedOn w:val="13"/>
    <w:link w:val="16"/>
    <w:qFormat/>
    <w:uiPriority w:val="0"/>
    <w:rPr>
      <w:rFonts w:ascii="??" w:hAnsi="??" w:eastAsia="宋体" w:cs="宋体"/>
      <w:color w:val="000000"/>
      <w:sz w:val="28"/>
      <w:szCs w:val="21"/>
      <w:lang w:val="en-US" w:eastAsia="zh-CN" w:bidi="ar-SA"/>
    </w:rPr>
  </w:style>
  <w:style w:type="character" w:customStyle="1" w:styleId="18">
    <w:name w:val="文档结构图 Char"/>
    <w:basedOn w:val="13"/>
    <w:link w:val="3"/>
    <w:qFormat/>
    <w:uiPriority w:val="0"/>
    <w:rPr>
      <w:rFonts w:ascii="宋体"/>
      <w:kern w:val="2"/>
      <w:sz w:val="18"/>
      <w:szCs w:val="18"/>
    </w:rPr>
  </w:style>
  <w:style w:type="paragraph" w:customStyle="1" w:styleId="19">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0">
    <w:name w:val="页脚 Char"/>
    <w:basedOn w:val="13"/>
    <w:link w:val="7"/>
    <w:qFormat/>
    <w:uiPriority w:val="99"/>
    <w:rPr>
      <w:kern w:val="2"/>
      <w:sz w:val="18"/>
      <w:szCs w:val="18"/>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51"/>
    <w:basedOn w:val="13"/>
    <w:qFormat/>
    <w:uiPriority w:val="0"/>
    <w:rPr>
      <w:rFonts w:hint="default" w:ascii="Wingdings 2" w:hAnsi="Wingdings 2" w:eastAsia="Wingdings 2" w:cs="Wingdings 2"/>
      <w:color w:val="000000"/>
      <w:sz w:val="18"/>
      <w:szCs w:val="18"/>
      <w:u w:val="none"/>
    </w:rPr>
  </w:style>
  <w:style w:type="character" w:customStyle="1" w:styleId="23">
    <w:name w:val="font01"/>
    <w:basedOn w:val="13"/>
    <w:qFormat/>
    <w:uiPriority w:val="0"/>
    <w:rPr>
      <w:rFonts w:ascii="宋体" w:hAnsi="宋体" w:eastAsia="宋体" w:cs="宋体"/>
      <w:color w:val="000000"/>
      <w:sz w:val="18"/>
      <w:szCs w:val="18"/>
      <w:u w:val="none"/>
    </w:rPr>
  </w:style>
  <w:style w:type="character" w:customStyle="1" w:styleId="24">
    <w:name w:val="font41"/>
    <w:basedOn w:val="13"/>
    <w:qFormat/>
    <w:uiPriority w:val="0"/>
    <w:rPr>
      <w:rFonts w:ascii="宋体" w:hAnsi="宋体" w:eastAsia="宋体" w:cs="宋体"/>
      <w:color w:val="000000"/>
      <w:sz w:val="18"/>
      <w:szCs w:val="18"/>
      <w:u w:val="none"/>
    </w:rPr>
  </w:style>
  <w:style w:type="paragraph" w:customStyle="1" w:styleId="25">
    <w:name w:val="天勤正文"/>
    <w:basedOn w:val="1"/>
    <w:qFormat/>
    <w:uiPriority w:val="0"/>
    <w:pPr>
      <w:spacing w:line="600" w:lineRule="exact"/>
      <w:ind w:firstLine="200" w:firstLineChars="200"/>
    </w:pPr>
    <w:rPr>
      <w:rFonts w:eastAsia="方正仿宋" w:cstheme="minorBidi"/>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13</Pages>
  <Words>8579</Words>
  <Characters>9282</Characters>
  <Lines>2</Lines>
  <Paragraphs>1</Paragraphs>
  <TotalTime>5457</TotalTime>
  <ScaleCrop>false</ScaleCrop>
  <LinksUpToDate>false</LinksUpToDate>
  <CharactersWithSpaces>9293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2019-05-27T19:06:00Z</dcterms:created>
  <dc:creator>陈萍</dc:creator>
  <cp:lastModifiedBy>Lenovo</cp:lastModifiedBy>
  <cp:lastPrinted>2024-08-26T01:29:00Z</cp:lastPrinted>
  <dcterms:modified xsi:type="dcterms:W3CDTF">2024-10-15T07:26:39Z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C28BC3797F15439EBB86139C4F01A887_13</vt:lpwstr>
  </property>
</Properties>
</file>