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AEDA0">
      <w:pPr>
        <w:spacing w:line="578" w:lineRule="exact"/>
        <w:rPr>
          <w:rFonts w:ascii="黑体" w:hAnsi="黑体" w:eastAsia="黑体" w:cs="黑体"/>
          <w:sz w:val="32"/>
          <w:szCs w:val="32"/>
        </w:rPr>
      </w:pPr>
      <w:r>
        <w:rPr>
          <w:rFonts w:hint="eastAsia" w:ascii="黑体" w:hAnsi="黑体" w:eastAsia="黑体" w:cs="黑体"/>
          <w:sz w:val="32"/>
          <w:szCs w:val="32"/>
        </w:rPr>
        <w:t>附件1</w:t>
      </w:r>
    </w:p>
    <w:p w14:paraId="351A2D95">
      <w:pPr>
        <w:spacing w:line="578" w:lineRule="exact"/>
        <w:jc w:val="center"/>
        <w:rPr>
          <w:rFonts w:ascii="Times New Roman" w:hAnsi="Times New Roman" w:eastAsia="方正小标宋_GBK"/>
          <w:sz w:val="40"/>
          <w:szCs w:val="44"/>
        </w:rPr>
      </w:pPr>
      <w:r>
        <w:rPr>
          <w:rFonts w:ascii="Times New Roman" w:hAnsi="Times New Roman" w:eastAsia="方正小标宋_GBK"/>
          <w:sz w:val="40"/>
          <w:szCs w:val="44"/>
        </w:rPr>
        <w:t>渠县农业农村局</w:t>
      </w:r>
    </w:p>
    <w:p w14:paraId="5C2FE1AB">
      <w:pPr>
        <w:spacing w:line="578" w:lineRule="exact"/>
        <w:jc w:val="center"/>
        <w:rPr>
          <w:rFonts w:ascii="Times New Roman" w:hAnsi="Times New Roman" w:eastAsia="方正小标宋_GBK"/>
          <w:sz w:val="40"/>
          <w:szCs w:val="44"/>
        </w:rPr>
      </w:pPr>
      <w:r>
        <w:rPr>
          <w:rFonts w:ascii="Times New Roman" w:hAnsi="Times New Roman" w:eastAsia="方正小标宋_GBK"/>
          <w:sz w:val="40"/>
          <w:szCs w:val="44"/>
        </w:rPr>
        <w:t>关于202</w:t>
      </w:r>
      <w:r>
        <w:rPr>
          <w:rFonts w:hint="eastAsia" w:ascii="Times New Roman" w:hAnsi="Times New Roman" w:eastAsia="方正小标宋_GBK"/>
          <w:sz w:val="40"/>
          <w:szCs w:val="44"/>
        </w:rPr>
        <w:t>4</w:t>
      </w:r>
      <w:r>
        <w:rPr>
          <w:rFonts w:ascii="Times New Roman" w:hAnsi="Times New Roman" w:eastAsia="方正小标宋_GBK"/>
          <w:sz w:val="40"/>
          <w:szCs w:val="44"/>
        </w:rPr>
        <w:t>年渠县绿色种养循环农业试点</w:t>
      </w:r>
    </w:p>
    <w:p w14:paraId="3303EBF3">
      <w:pPr>
        <w:spacing w:line="578" w:lineRule="exact"/>
        <w:jc w:val="center"/>
        <w:rPr>
          <w:rFonts w:ascii="Times New Roman" w:hAnsi="Times New Roman" w:eastAsia="方正小标宋_GBK"/>
          <w:sz w:val="40"/>
          <w:szCs w:val="44"/>
        </w:rPr>
      </w:pPr>
      <w:r>
        <w:rPr>
          <w:rFonts w:ascii="Times New Roman" w:hAnsi="Times New Roman" w:eastAsia="方正小标宋_GBK"/>
          <w:sz w:val="40"/>
          <w:szCs w:val="44"/>
        </w:rPr>
        <w:t>项目主体申报及遴选办法</w:t>
      </w:r>
    </w:p>
    <w:p w14:paraId="752506D0">
      <w:pPr>
        <w:numPr>
          <w:ilvl w:val="0"/>
          <w:numId w:val="1"/>
        </w:numPr>
        <w:spacing w:line="578" w:lineRule="exact"/>
        <w:ind w:firstLine="640" w:firstLineChars="200"/>
        <w:jc w:val="left"/>
        <w:outlineLvl w:val="1"/>
        <w:rPr>
          <w:rFonts w:ascii="黑体" w:hAnsi="黑体" w:eastAsia="黑体" w:cs="仿宋_GB2312"/>
          <w:sz w:val="32"/>
          <w:szCs w:val="32"/>
        </w:rPr>
      </w:pPr>
      <w:r>
        <w:rPr>
          <w:rFonts w:hint="eastAsia" w:ascii="黑体" w:hAnsi="黑体" w:eastAsia="黑体" w:cs="仿宋_GB2312"/>
          <w:sz w:val="32"/>
          <w:szCs w:val="32"/>
        </w:rPr>
        <w:t>项目概况</w:t>
      </w:r>
    </w:p>
    <w:p w14:paraId="5BF77A71">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四川省农业农村厅关于印发《2024年四川省绿色种养循环农业试点项目实施方案》的通知（川农函〔2024〕306号）文件精神，通过构建四大粪肥还田主推模式，实现我县推进畜禽粪肥就地消纳、就近还田利用，不断完善推广“农户小循环、区域中循环、县域大循环”的种养循环体系，力争通过试点，形成更加稳定的“种养+服务一体化”的种养适配、生态循环发展模式和长效机制，为我县推广应用提供经验，推动我县畜禽粪污综合利用率达到92%以上。</w:t>
      </w:r>
    </w:p>
    <w:p w14:paraId="5040D7F8">
      <w:pPr>
        <w:spacing w:line="578" w:lineRule="exact"/>
        <w:ind w:left="640"/>
        <w:jc w:val="left"/>
        <w:outlineLvl w:val="1"/>
        <w:rPr>
          <w:rFonts w:ascii="黑体" w:hAnsi="黑体" w:eastAsia="黑体" w:cs="仿宋_GB2312"/>
          <w:sz w:val="32"/>
          <w:szCs w:val="32"/>
        </w:rPr>
      </w:pPr>
      <w:r>
        <w:rPr>
          <w:rFonts w:hint="eastAsia" w:ascii="黑体" w:hAnsi="黑体" w:eastAsia="黑体" w:cs="仿宋_GB2312"/>
          <w:sz w:val="32"/>
          <w:szCs w:val="32"/>
        </w:rPr>
        <w:t>二、项目建设区域</w:t>
      </w:r>
    </w:p>
    <w:p w14:paraId="46D713A0">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以粮油兼顾蔬菜，水果等主产乡镇（街道办）。</w:t>
      </w:r>
    </w:p>
    <w:p w14:paraId="4C92D3BD">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三、服务主体符合条件</w:t>
      </w:r>
    </w:p>
    <w:p w14:paraId="4F8ABBD5">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1、实施地点：项目实施须在绿色种养循环项目建设区域内，交通方便，粪肥还田基础条件较好。</w:t>
      </w:r>
    </w:p>
    <w:p w14:paraId="45112406">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2、作物类型：综合考虑种植业、养殖业分布情况，以粮油为主,兼顾蔬菜、水果。</w:t>
      </w:r>
    </w:p>
    <w:p w14:paraId="44B0C0E7">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3、主体条件：基础设施齐全、运营基础好，能够提供粪肥收集、处理、施用等服务。</w:t>
      </w:r>
    </w:p>
    <w:p w14:paraId="0E8D4BDF">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（1）有机肥生产企业：取得营业执照，具有有机肥生产加工能力的设施设备，畜禽粪污收集、处理、储存、还田等能力，有机肥年生产能力达到一定规模；</w:t>
      </w:r>
    </w:p>
    <w:p w14:paraId="661560EF">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（2）社会化服务组织：取得营业执照，具有畜禽粪污收集能力、与种植大户、农户签订的畜禽粪污施用服务协议，服务总面积达到200亩以上。</w:t>
      </w:r>
    </w:p>
    <w:p w14:paraId="3059490B">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（3）种植企业、种粮专合社、家庭农场等：有一定规模的粮油、蔬菜、水果种植基地，并有土地流转合同及流转农户花名册。</w:t>
      </w:r>
    </w:p>
    <w:p w14:paraId="001DF840">
      <w:pPr>
        <w:spacing w:line="578" w:lineRule="exact"/>
        <w:ind w:firstLine="640" w:firstLineChars="200"/>
        <w:jc w:val="left"/>
        <w:outlineLvl w:val="1"/>
        <w:rPr>
          <w:rFonts w:ascii="黑体" w:hAnsi="黑体" w:eastAsia="黑体" w:cs="仿宋_GB2312"/>
          <w:sz w:val="32"/>
          <w:szCs w:val="32"/>
        </w:rPr>
      </w:pPr>
      <w:r>
        <w:rPr>
          <w:rFonts w:hint="eastAsia" w:ascii="黑体" w:hAnsi="黑体" w:eastAsia="黑体" w:cs="仿宋_GB2312"/>
          <w:sz w:val="32"/>
          <w:szCs w:val="32"/>
        </w:rPr>
        <w:t>三、粪肥还田实施模式、还田施用量及补助标准</w:t>
      </w:r>
    </w:p>
    <w:p w14:paraId="7546DFC8">
      <w:pPr>
        <w:spacing w:line="578"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根据相关文件规定，本项目通过以奖代补方式，对粪肥的收集运输、处理、施用等环节依据还田面积进行打包奖补。</w:t>
      </w:r>
    </w:p>
    <w:p w14:paraId="3D068071">
      <w:pPr>
        <w:spacing w:line="578"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sz w:val="32"/>
          <w:szCs w:val="32"/>
        </w:rPr>
        <w:t>1、“养殖户+第三方服务机构+种植基地的转运还田服务模式</w:t>
      </w:r>
      <w:r>
        <w:rPr>
          <w:rFonts w:hint="eastAsia" w:ascii="仿宋_GB2312" w:hAnsi="仿宋_GB2312" w:eastAsia="仿宋_GB2312" w:cs="仿宋_GB2312"/>
          <w:bCs/>
          <w:color w:val="auto"/>
          <w:sz w:val="32"/>
          <w:szCs w:val="32"/>
        </w:rPr>
        <w:t>”的沼渣/腐熟干粪补助资金原则上不超过100元/亩，每亩施用量不底于1000公斤；沼液补助资金原则上不超过</w:t>
      </w:r>
      <w:r>
        <w:rPr>
          <w:rFonts w:hint="eastAsia" w:ascii="仿宋_GB2312" w:hAnsi="仿宋_GB2312" w:eastAsia="仿宋_GB2312" w:cs="仿宋_GB2312"/>
          <w:bCs/>
          <w:color w:val="auto"/>
          <w:sz w:val="32"/>
          <w:szCs w:val="32"/>
          <w:lang w:val="en-US" w:eastAsia="zh-CN"/>
        </w:rPr>
        <w:t>70</w:t>
      </w:r>
      <w:r>
        <w:rPr>
          <w:rFonts w:hint="eastAsia" w:ascii="仿宋_GB2312" w:hAnsi="仿宋_GB2312" w:eastAsia="仿宋_GB2312" w:cs="仿宋_GB2312"/>
          <w:bCs/>
          <w:color w:val="auto"/>
          <w:sz w:val="32"/>
          <w:szCs w:val="32"/>
        </w:rPr>
        <w:t>元/亩， 每亩施用量不底于2000公斤；</w:t>
      </w:r>
    </w:p>
    <w:p w14:paraId="66C30859">
      <w:pPr>
        <w:spacing w:line="578"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2、“养殖户+综合处理中心+种植基地的管网还田模式”补助资金原则上不超过65元/亩，每亩施用量不底于2000公斤；</w:t>
      </w:r>
    </w:p>
    <w:p w14:paraId="515FEE9B">
      <w:pPr>
        <w:spacing w:line="578"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3、“养殖户+种植基地的堆沤还田模式”补助资金原则上不超过100元/亩左右，每亩施用量不底于1000公斤；</w:t>
      </w:r>
    </w:p>
    <w:p w14:paraId="73EEA3FE">
      <w:pPr>
        <w:spacing w:line="578"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4、“养殖户+有机肥企业+种植基地的商品有机肥还田模式”补助资金原则上不超过100元/亩，每亩施用量不底于300公斤；</w:t>
      </w:r>
    </w:p>
    <w:p w14:paraId="4EA82030">
      <w:pPr>
        <w:spacing w:line="578"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5、商品有机肥补助资金原则上不超过100元/亩进行补贴，每亩施用量不底于300公斤。</w:t>
      </w:r>
    </w:p>
    <w:p w14:paraId="191092D6">
      <w:pPr>
        <w:spacing w:line="578" w:lineRule="exact"/>
        <w:ind w:firstLine="640" w:firstLineChars="200"/>
        <w:jc w:val="left"/>
        <w:outlineLvl w:val="1"/>
        <w:rPr>
          <w:rFonts w:ascii="黑体" w:hAnsi="黑体" w:eastAsia="黑体" w:cs="仿宋_GB2312"/>
          <w:color w:val="auto"/>
          <w:sz w:val="32"/>
          <w:szCs w:val="32"/>
        </w:rPr>
      </w:pPr>
      <w:r>
        <w:rPr>
          <w:rFonts w:hint="eastAsia" w:ascii="黑体" w:hAnsi="黑体" w:eastAsia="黑体" w:cs="仿宋_GB2312"/>
          <w:color w:val="auto"/>
          <w:sz w:val="32"/>
          <w:szCs w:val="32"/>
        </w:rPr>
        <w:t>四、遴选方式</w:t>
      </w:r>
    </w:p>
    <w:p w14:paraId="5EE995AD">
      <w:pPr>
        <w:pStyle w:val="7"/>
        <w:shd w:val="clear" w:color="auto" w:fill="FFFFFF"/>
        <w:spacing w:beforeAutospacing="0" w:afterAutospacing="0" w:line="578" w:lineRule="exact"/>
        <w:ind w:firstLine="420"/>
        <w:jc w:val="both"/>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1.自主申请。有服务意愿的社会化服务组织和有机肥企业在规定的时间内，向县农业农村局申请，并提供相关证明材料。社会化服务主体提供：申请表（附件2）、营业执照、加盖村镇公章的具有与其服务内容、服务规模、服务能力相匹配的农业机械设备证明、服务场地证明，粪肥消纳合同。</w:t>
      </w:r>
      <w:r>
        <w:rPr>
          <w:rFonts w:hint="eastAsia" w:ascii="仿宋_GB2312" w:hAnsi="仿宋_GB2312" w:eastAsia="仿宋_GB2312" w:cs="仿宋_GB2312"/>
          <w:bCs/>
          <w:color w:val="auto"/>
          <w:sz w:val="32"/>
          <w:szCs w:val="32"/>
        </w:rPr>
        <w:t>种植企业、种粮专合社、家庭农场</w:t>
      </w:r>
      <w:r>
        <w:rPr>
          <w:rFonts w:hint="eastAsia" w:ascii="仿宋_GB2312" w:hAnsi="仿宋_GB2312" w:eastAsia="仿宋_GB2312" w:cs="仿宋_GB2312"/>
          <w:bCs/>
          <w:color w:val="auto"/>
          <w:kern w:val="2"/>
          <w:sz w:val="32"/>
          <w:szCs w:val="32"/>
        </w:rPr>
        <w:t>种植主体提供：申请表（附件3）、营业执照、土地流转合同、粪肥消纳合同。申请表一式</w:t>
      </w:r>
      <w:r>
        <w:rPr>
          <w:rFonts w:hint="eastAsia" w:ascii="仿宋_GB2312" w:hAnsi="仿宋_GB2312" w:eastAsia="仿宋_GB2312" w:cs="仿宋_GB2312"/>
          <w:bCs/>
          <w:color w:val="auto"/>
          <w:kern w:val="2"/>
          <w:sz w:val="32"/>
          <w:szCs w:val="32"/>
          <w:lang w:val="en-US" w:eastAsia="zh-CN"/>
        </w:rPr>
        <w:t>二</w:t>
      </w:r>
      <w:r>
        <w:rPr>
          <w:rFonts w:hint="eastAsia" w:ascii="仿宋_GB2312" w:hAnsi="仿宋_GB2312" w:eastAsia="仿宋_GB2312" w:cs="仿宋_GB2312"/>
          <w:bCs/>
          <w:color w:val="auto"/>
          <w:kern w:val="2"/>
          <w:sz w:val="32"/>
          <w:szCs w:val="32"/>
        </w:rPr>
        <w:t>份，相关证明材料装</w:t>
      </w:r>
      <w:bookmarkStart w:id="0" w:name="_GoBack"/>
      <w:bookmarkEnd w:id="0"/>
      <w:r>
        <w:rPr>
          <w:rFonts w:hint="eastAsia" w:ascii="仿宋_GB2312" w:hAnsi="仿宋_GB2312" w:eastAsia="仿宋_GB2312" w:cs="仿宋_GB2312"/>
          <w:bCs/>
          <w:color w:val="auto"/>
          <w:kern w:val="2"/>
          <w:sz w:val="32"/>
          <w:szCs w:val="32"/>
        </w:rPr>
        <w:t>订成册，加盖申报主体公章。</w:t>
      </w:r>
    </w:p>
    <w:p w14:paraId="1EE05282">
      <w:pPr>
        <w:pStyle w:val="7"/>
        <w:shd w:val="clear" w:color="auto" w:fill="FFFFFF"/>
        <w:spacing w:beforeAutospacing="0" w:afterAutospacing="0" w:line="578" w:lineRule="exact"/>
        <w:ind w:firstLine="420"/>
        <w:jc w:val="both"/>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2.专家评审。县农业农村局组织专家对申报主体提供的资料按照本次遴选要求进行评审，提出遴选意见，确定实施主体。</w:t>
      </w:r>
    </w:p>
    <w:p w14:paraId="5A0EC15C">
      <w:pPr>
        <w:pStyle w:val="7"/>
        <w:shd w:val="clear" w:color="auto" w:fill="FFFFFF"/>
        <w:spacing w:beforeAutospacing="0" w:afterAutospacing="0" w:line="578" w:lineRule="exact"/>
        <w:ind w:firstLine="420"/>
        <w:jc w:val="both"/>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3.评审公示。评审结果在渠县人民政府网站进行公示，公示时间不少于3个工作日。</w:t>
      </w:r>
    </w:p>
    <w:p w14:paraId="7B35CECA">
      <w:pPr>
        <w:pStyle w:val="7"/>
        <w:shd w:val="clear" w:color="auto" w:fill="FFFFFF"/>
        <w:spacing w:beforeAutospacing="0" w:afterAutospacing="0" w:line="578" w:lineRule="exact"/>
        <w:ind w:firstLine="420"/>
        <w:jc w:val="both"/>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4.签订服务合同。经公示无异议后予以确定的粪肥还田社会化服务主体、有机肥企业、规模种植主体与农业农村局签订服务合同。</w:t>
      </w:r>
    </w:p>
    <w:p w14:paraId="4C5B4325">
      <w:pPr>
        <w:spacing w:line="578" w:lineRule="exact"/>
        <w:ind w:firstLine="640" w:firstLineChars="200"/>
        <w:jc w:val="left"/>
        <w:outlineLvl w:val="1"/>
        <w:rPr>
          <w:rFonts w:ascii="黑体" w:hAnsi="黑体" w:eastAsia="黑体" w:cs="仿宋_GB2312"/>
          <w:color w:val="auto"/>
          <w:sz w:val="32"/>
          <w:szCs w:val="32"/>
        </w:rPr>
      </w:pPr>
      <w:r>
        <w:rPr>
          <w:rFonts w:hint="eastAsia" w:ascii="黑体" w:hAnsi="黑体" w:eastAsia="黑体" w:cs="仿宋_GB2312"/>
          <w:color w:val="auto"/>
          <w:sz w:val="32"/>
          <w:szCs w:val="32"/>
        </w:rPr>
        <w:t>五、后续协同工作安排</w:t>
      </w:r>
    </w:p>
    <w:p w14:paraId="2ED59268">
      <w:pPr>
        <w:spacing w:line="578"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渠县农业农村局会同财政局，项目所在乡镇（街道办）等相关部门对各参与项目实施服务主体的实施情况进行监督检查。</w:t>
      </w:r>
    </w:p>
    <w:p w14:paraId="5940F3C6">
      <w:pPr>
        <w:spacing w:line="578"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根据完成情况及时组织验收，对验收合格的向财政申请支付；验收不符合要求，取消奖补资金。</w:t>
      </w:r>
    </w:p>
    <w:p w14:paraId="386CCCD3">
      <w:pPr>
        <w:spacing w:line="578" w:lineRule="exact"/>
        <w:ind w:firstLine="640" w:firstLineChars="200"/>
        <w:jc w:val="left"/>
        <w:outlineLvl w:val="1"/>
        <w:rPr>
          <w:rFonts w:ascii="黑体" w:hAnsi="黑体" w:eastAsia="黑体" w:cs="仿宋_GB2312"/>
          <w:color w:val="auto"/>
          <w:sz w:val="32"/>
          <w:szCs w:val="32"/>
        </w:rPr>
      </w:pPr>
      <w:r>
        <w:rPr>
          <w:rFonts w:hint="eastAsia" w:ascii="黑体" w:hAnsi="黑体" w:eastAsia="黑体" w:cs="仿宋_GB2312"/>
          <w:color w:val="auto"/>
          <w:sz w:val="32"/>
          <w:szCs w:val="32"/>
        </w:rPr>
        <w:t>六、注意事项</w:t>
      </w:r>
    </w:p>
    <w:p w14:paraId="6726DD3C">
      <w:pPr>
        <w:spacing w:line="578"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1、报名时应按申报要求提供相关材料。材料应真实有效，不得弄虚作假，否则取消补助。</w:t>
      </w:r>
    </w:p>
    <w:p w14:paraId="26AD6FC5">
      <w:pPr>
        <w:spacing w:line="578" w:lineRule="exact"/>
        <w:ind w:firstLine="640" w:firstLineChars="200"/>
        <w:jc w:val="left"/>
      </w:pPr>
      <w:r>
        <w:rPr>
          <w:rFonts w:hint="eastAsia" w:ascii="仿宋_GB2312" w:hAnsi="仿宋_GB2312" w:eastAsia="仿宋_GB2312" w:cs="仿宋_GB2312"/>
          <w:bCs/>
          <w:color w:val="auto"/>
          <w:sz w:val="32"/>
          <w:szCs w:val="32"/>
        </w:rPr>
        <w:t>2、本次遴选对象是我县县域内的有机肥生产企业、社会化服务组织、种植企业、种粮专合社、家庭农场等主体。</w:t>
      </w:r>
    </w:p>
    <w:sectPr>
      <w:footerReference r:id="rId3" w:type="default"/>
      <w:footerReference r:id="rId4" w:type="even"/>
      <w:pgSz w:w="11906" w:h="16838"/>
      <w:pgMar w:top="1134" w:right="1474" w:bottom="1361" w:left="1588" w:header="851" w:footer="964"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26177"/>
      <w:docPartObj>
        <w:docPartGallery w:val="autotext"/>
      </w:docPartObj>
    </w:sdtPr>
    <w:sdtEndPr>
      <w:rPr>
        <w:rFonts w:asciiTheme="minorEastAsia" w:hAnsiTheme="minorEastAsia" w:eastAsiaTheme="minorEastAsia"/>
        <w:sz w:val="28"/>
      </w:rPr>
    </w:sdtEndPr>
    <w:sdtContent>
      <w:p w14:paraId="0E5817B7">
        <w:pPr>
          <w:pStyle w:val="5"/>
          <w:ind w:right="315" w:rightChars="150"/>
          <w:jc w:val="right"/>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26189"/>
      <w:docPartObj>
        <w:docPartGallery w:val="autotext"/>
      </w:docPartObj>
    </w:sdtPr>
    <w:sdtEndPr>
      <w:rPr>
        <w:rFonts w:asciiTheme="minorEastAsia" w:hAnsiTheme="minorEastAsia" w:eastAsiaTheme="minorEastAsia"/>
        <w:sz w:val="28"/>
      </w:rPr>
    </w:sdtEndPr>
    <w:sdtContent>
      <w:p w14:paraId="43127F75">
        <w:pPr>
          <w:pStyle w:val="5"/>
          <w:ind w:left="210" w:leftChars="100"/>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2 -</w:t>
        </w:r>
        <w:r>
          <w:rPr>
            <w:rFonts w:asciiTheme="minorEastAsia" w:hAnsiTheme="minorEastAsia" w:eastAsiaTheme="minorEastAsia"/>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C0FFB"/>
    <w:multiLevelType w:val="singleLevel"/>
    <w:tmpl w:val="B53C0F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YjFhMTc5NmM4YmMxN2UwMzkzNDYxMWE0ZTU4MjUifQ=="/>
  </w:docVars>
  <w:rsids>
    <w:rsidRoot w:val="0B5D395F"/>
    <w:rsid w:val="00046CE6"/>
    <w:rsid w:val="00171F80"/>
    <w:rsid w:val="001E29F4"/>
    <w:rsid w:val="0021040A"/>
    <w:rsid w:val="00232FB7"/>
    <w:rsid w:val="00233023"/>
    <w:rsid w:val="00244E12"/>
    <w:rsid w:val="00275839"/>
    <w:rsid w:val="002A180D"/>
    <w:rsid w:val="002B6499"/>
    <w:rsid w:val="003049D3"/>
    <w:rsid w:val="003E5FBC"/>
    <w:rsid w:val="004272BA"/>
    <w:rsid w:val="00432FDF"/>
    <w:rsid w:val="00445F49"/>
    <w:rsid w:val="00521921"/>
    <w:rsid w:val="0054050F"/>
    <w:rsid w:val="00577B04"/>
    <w:rsid w:val="005F1C5C"/>
    <w:rsid w:val="00607314"/>
    <w:rsid w:val="0061150C"/>
    <w:rsid w:val="00626D53"/>
    <w:rsid w:val="006745B8"/>
    <w:rsid w:val="006A4F87"/>
    <w:rsid w:val="006A6EF3"/>
    <w:rsid w:val="006C6B00"/>
    <w:rsid w:val="0070610D"/>
    <w:rsid w:val="007131C0"/>
    <w:rsid w:val="0085399F"/>
    <w:rsid w:val="008C4018"/>
    <w:rsid w:val="008E02F0"/>
    <w:rsid w:val="008E543C"/>
    <w:rsid w:val="00987B31"/>
    <w:rsid w:val="009C2670"/>
    <w:rsid w:val="00A26229"/>
    <w:rsid w:val="00A64963"/>
    <w:rsid w:val="00AF5566"/>
    <w:rsid w:val="00B63F34"/>
    <w:rsid w:val="00BB7FB0"/>
    <w:rsid w:val="00BD644A"/>
    <w:rsid w:val="00BE52E8"/>
    <w:rsid w:val="00C40DBE"/>
    <w:rsid w:val="00CC52D1"/>
    <w:rsid w:val="00CD60D0"/>
    <w:rsid w:val="00CF5BFF"/>
    <w:rsid w:val="00DC6966"/>
    <w:rsid w:val="00E125E2"/>
    <w:rsid w:val="00E23FCE"/>
    <w:rsid w:val="00E67243"/>
    <w:rsid w:val="00EA1AD0"/>
    <w:rsid w:val="00FC0AE6"/>
    <w:rsid w:val="00FE31D2"/>
    <w:rsid w:val="01DD59FB"/>
    <w:rsid w:val="053E4A03"/>
    <w:rsid w:val="06A44D39"/>
    <w:rsid w:val="070457D8"/>
    <w:rsid w:val="075D1897"/>
    <w:rsid w:val="0B5D395F"/>
    <w:rsid w:val="0C8F7C42"/>
    <w:rsid w:val="0CDB522D"/>
    <w:rsid w:val="0DA71240"/>
    <w:rsid w:val="0EA240F8"/>
    <w:rsid w:val="10EA5A3E"/>
    <w:rsid w:val="13CC0D89"/>
    <w:rsid w:val="160F16E7"/>
    <w:rsid w:val="16FF01AB"/>
    <w:rsid w:val="17E06F91"/>
    <w:rsid w:val="1A61605F"/>
    <w:rsid w:val="1ED40F33"/>
    <w:rsid w:val="1F813A12"/>
    <w:rsid w:val="1F996FAD"/>
    <w:rsid w:val="23D81FDE"/>
    <w:rsid w:val="24E34285"/>
    <w:rsid w:val="295F32D4"/>
    <w:rsid w:val="2A4C5DAB"/>
    <w:rsid w:val="2CED26E7"/>
    <w:rsid w:val="2EBD433B"/>
    <w:rsid w:val="30226B4B"/>
    <w:rsid w:val="30744ECD"/>
    <w:rsid w:val="322D17D7"/>
    <w:rsid w:val="33574D96"/>
    <w:rsid w:val="33BB0562"/>
    <w:rsid w:val="350622AE"/>
    <w:rsid w:val="35243463"/>
    <w:rsid w:val="39745E21"/>
    <w:rsid w:val="3BDF3B42"/>
    <w:rsid w:val="3F4B3C4B"/>
    <w:rsid w:val="3F8F2B97"/>
    <w:rsid w:val="40905D53"/>
    <w:rsid w:val="41B33AA7"/>
    <w:rsid w:val="42A17DA3"/>
    <w:rsid w:val="43081DBB"/>
    <w:rsid w:val="46862ED8"/>
    <w:rsid w:val="46BE36AC"/>
    <w:rsid w:val="46E85CBC"/>
    <w:rsid w:val="470B1C8F"/>
    <w:rsid w:val="473573DE"/>
    <w:rsid w:val="49927F1D"/>
    <w:rsid w:val="4A6B4E5A"/>
    <w:rsid w:val="4C6E672B"/>
    <w:rsid w:val="534F72E0"/>
    <w:rsid w:val="5C0C5CA9"/>
    <w:rsid w:val="60F94F8D"/>
    <w:rsid w:val="67F847ED"/>
    <w:rsid w:val="6AD57A9F"/>
    <w:rsid w:val="6DD77A0A"/>
    <w:rsid w:val="73685BF0"/>
    <w:rsid w:val="73DB25D9"/>
    <w:rsid w:val="74EB3423"/>
    <w:rsid w:val="75324707"/>
    <w:rsid w:val="75EF43A6"/>
    <w:rsid w:val="75F06214"/>
    <w:rsid w:val="760140DA"/>
    <w:rsid w:val="760F60ED"/>
    <w:rsid w:val="76DA3215"/>
    <w:rsid w:val="76FB4FCD"/>
    <w:rsid w:val="77AB254F"/>
    <w:rsid w:val="78BD50A7"/>
    <w:rsid w:val="7A1C1B13"/>
    <w:rsid w:val="7B0D0B20"/>
    <w:rsid w:val="7BA22E5D"/>
    <w:rsid w:val="7C970223"/>
    <w:rsid w:val="7FAD4448"/>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Body Text"/>
    <w:basedOn w:val="1"/>
    <w:semiHidden/>
    <w:qFormat/>
    <w:uiPriority w:val="0"/>
    <w:rPr>
      <w:rFonts w:ascii="仿宋" w:hAnsi="仿宋" w:eastAsia="仿宋" w:cs="仿宋"/>
      <w:sz w:val="33"/>
      <w:szCs w:val="33"/>
      <w:lang w:eastAsia="en-US"/>
    </w:rPr>
  </w:style>
  <w:style w:type="paragraph" w:styleId="4">
    <w:name w:val="Body Text Indent"/>
    <w:basedOn w:val="1"/>
    <w:next w:val="1"/>
    <w:qFormat/>
    <w:uiPriority w:val="0"/>
    <w:pPr>
      <w:spacing w:after="120"/>
      <w:ind w:left="420" w:leftChars="2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Title"/>
    <w:basedOn w:val="1"/>
    <w:next w:val="9"/>
    <w:qFormat/>
    <w:uiPriority w:val="99"/>
    <w:pPr>
      <w:spacing w:before="240" w:after="60"/>
      <w:jc w:val="center"/>
      <w:outlineLvl w:val="0"/>
    </w:pPr>
    <w:rPr>
      <w:rFonts w:ascii="Cambria" w:hAnsi="Cambria"/>
      <w:b/>
      <w:bCs/>
      <w:kern w:val="0"/>
      <w:sz w:val="32"/>
      <w:szCs w:val="32"/>
    </w:rPr>
  </w:style>
  <w:style w:type="paragraph" w:customStyle="1" w:styleId="9">
    <w:name w:val="Body Text Indent1"/>
    <w:basedOn w:val="1"/>
    <w:next w:val="1"/>
    <w:qFormat/>
    <w:uiPriority w:val="0"/>
    <w:pPr>
      <w:ind w:left="420" w:leftChars="200"/>
    </w:pPr>
    <w:rPr>
      <w:rFonts w:ascii="Times New Roman" w:hAnsi="Times New Roman"/>
    </w:rPr>
  </w:style>
  <w:style w:type="paragraph" w:styleId="10">
    <w:name w:val="Body Text First Indent 2"/>
    <w:basedOn w:val="4"/>
    <w:next w:val="1"/>
    <w:qFormat/>
    <w:uiPriority w:val="0"/>
    <w:pPr>
      <w:spacing w:after="0"/>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6"/>
    <w:qFormat/>
    <w:uiPriority w:val="0"/>
    <w:rPr>
      <w:kern w:val="2"/>
      <w:sz w:val="18"/>
      <w:szCs w:val="18"/>
    </w:rPr>
  </w:style>
  <w:style w:type="character" w:customStyle="1" w:styleId="15">
    <w:name w:val="页脚 Char"/>
    <w:basedOn w:val="13"/>
    <w:link w:val="5"/>
    <w:qFormat/>
    <w:uiPriority w:val="99"/>
    <w:rPr>
      <w:kern w:val="2"/>
      <w:sz w:val="18"/>
      <w:szCs w:val="18"/>
    </w:rPr>
  </w:style>
  <w:style w:type="character" w:customStyle="1" w:styleId="16">
    <w:name w:val="文档结构图 Char"/>
    <w:basedOn w:val="13"/>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1506</Words>
  <Characters>1551</Characters>
  <Lines>21</Lines>
  <Paragraphs>5</Paragraphs>
  <TotalTime>12</TotalTime>
  <ScaleCrop>false</ScaleCrop>
  <LinksUpToDate>false</LinksUpToDate>
  <CharactersWithSpaces>1552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2024-10-12T02:14:00Z</dcterms:created>
  <dc:creator>A 四川首众招标</dc:creator>
  <cp:lastModifiedBy>美丽人生</cp:lastModifiedBy>
  <cp:lastPrinted>2024-10-11T09:38:00Z</cp:lastPrinted>
  <dcterms:modified xsi:type="dcterms:W3CDTF">2024-12-16T08:10:36Z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B9FF0C0D66464E31B062E6BB45E2849F_13</vt:lpwstr>
  </property>
</Properties>
</file>