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1" w:name="_Toc50622802"/>
      <w:bookmarkStart w:id="2" w:name="_Toc15377193"/>
      <w:bookmarkStart w:id="3" w:name="_Toc15377425"/>
      <w:bookmarkStart w:id="4" w:name="_Toc50621913"/>
      <w:bookmarkStart w:id="5" w:name="_Toc15396597"/>
      <w:bookmarkStart w:id="6" w:name="_Toc15378441"/>
      <w:bookmarkStart w:id="7" w:name="_Toc15396475"/>
      <w:r>
        <w:rPr>
          <w:rFonts w:ascii="黑体" w:hAnsi="黑体" w:eastAsia="黑体"/>
          <w:color w:val="000000"/>
          <w:sz w:val="72"/>
          <w:szCs w:val="72"/>
        </w:rPr>
        <w:t>2019</w:t>
      </w:r>
      <w:r>
        <w:rPr>
          <w:rFonts w:hint="eastAsia" w:ascii="方正小标宋简体" w:hAnsi="宋体" w:eastAsia="方正小标宋简体"/>
          <w:color w:val="000000"/>
          <w:sz w:val="72"/>
          <w:szCs w:val="72"/>
        </w:rPr>
        <w:t>年度</w:t>
      </w:r>
      <w:bookmarkEnd w:id="1"/>
      <w:bookmarkEnd w:id="2"/>
      <w:bookmarkEnd w:id="3"/>
      <w:bookmarkEnd w:id="4"/>
      <w:bookmarkEnd w:id="5"/>
      <w:bookmarkEnd w:id="6"/>
      <w:bookmarkEnd w:id="7"/>
    </w:p>
    <w:p>
      <w:pPr>
        <w:adjustRightInd w:val="0"/>
        <w:snapToGrid w:val="0"/>
        <w:spacing w:line="360" w:lineRule="auto"/>
        <w:jc w:val="center"/>
        <w:outlineLvl w:val="0"/>
        <w:rPr>
          <w:rFonts w:ascii="方正小标宋简体" w:hAnsi="宋体" w:eastAsia="方正小标宋简体"/>
          <w:color w:val="000000"/>
          <w:sz w:val="72"/>
          <w:szCs w:val="72"/>
        </w:rPr>
      </w:pPr>
      <w:bookmarkStart w:id="8" w:name="_Toc50621914"/>
      <w:bookmarkStart w:id="9" w:name="_Toc50622803"/>
      <w:bookmarkStart w:id="10" w:name="_Toc15378442"/>
      <w:bookmarkStart w:id="11" w:name="_Toc15396598"/>
      <w:bookmarkStart w:id="12" w:name="_Toc15377426"/>
      <w:bookmarkStart w:id="13" w:name="_Toc15377194"/>
      <w:bookmarkStart w:id="14" w:name="_Toc15396476"/>
      <w:r>
        <w:rPr>
          <w:rFonts w:hint="eastAsia" w:ascii="方正小标宋简体" w:hAnsi="宋体" w:eastAsia="方正小标宋简体"/>
          <w:color w:val="000000"/>
          <w:sz w:val="72"/>
          <w:szCs w:val="72"/>
        </w:rPr>
        <w:t>四川省</w:t>
      </w:r>
      <w:bookmarkEnd w:id="0"/>
      <w:bookmarkStart w:id="15" w:name="_Toc15306268"/>
      <w:r>
        <w:rPr>
          <w:rFonts w:hint="eastAsia" w:ascii="方正小标宋简体" w:hAnsi="宋体" w:eastAsia="方正小标宋简体"/>
          <w:color w:val="000000"/>
          <w:sz w:val="72"/>
          <w:szCs w:val="72"/>
        </w:rPr>
        <w:t>渠县人民检察院</w:t>
      </w:r>
      <w:r>
        <w:rPr>
          <w:rFonts w:ascii="方正小标宋简体" w:hAnsi="宋体" w:eastAsia="方正小标宋简体"/>
          <w:color w:val="000000"/>
          <w:sz w:val="72"/>
          <w:szCs w:val="72"/>
        </w:rPr>
        <w:t xml:space="preserve">  </w:t>
      </w:r>
      <w:r>
        <w:rPr>
          <w:rFonts w:hint="eastAsia" w:ascii="方正小标宋简体" w:hAnsi="宋体" w:eastAsia="方正小标宋简体"/>
          <w:color w:val="000000"/>
          <w:sz w:val="72"/>
          <w:szCs w:val="72"/>
        </w:rPr>
        <w:t>部门决算</w:t>
      </w:r>
      <w:bookmarkEnd w:id="8"/>
      <w:bookmarkEnd w:id="9"/>
      <w:bookmarkEnd w:id="10"/>
      <w:bookmarkEnd w:id="11"/>
      <w:bookmarkEnd w:id="12"/>
      <w:bookmarkEnd w:id="13"/>
      <w:bookmarkEnd w:id="14"/>
      <w:bookmarkEnd w:id="15"/>
    </w:p>
    <w:p>
      <w:pPr>
        <w:widowControl/>
        <w:jc w:val="center"/>
        <w:rPr>
          <w:rFonts w:ascii="黑体" w:hAnsi="黑体" w:eastAsia="黑体"/>
          <w:color w:val="000000"/>
          <w:sz w:val="44"/>
          <w:szCs w:val="44"/>
        </w:rPr>
      </w:pPr>
      <w:r>
        <w:rPr>
          <w:rFonts w:ascii="方正小标宋简体" w:hAnsi="宋体" w:eastAsia="方正小标宋简体"/>
          <w:color w:val="000000"/>
          <w:sz w:val="36"/>
          <w:szCs w:val="36"/>
        </w:rPr>
        <w:br w:type="page"/>
      </w:r>
      <w:r>
        <w:rPr>
          <w:rFonts w:hint="eastAsia" w:ascii="黑体" w:hAnsi="黑体" w:eastAsia="黑体"/>
          <w:color w:val="000000"/>
          <w:sz w:val="44"/>
          <w:szCs w:val="44"/>
        </w:rPr>
        <w:t>目录</w:t>
      </w:r>
    </w:p>
    <w:p>
      <w:pPr>
        <w:widowControl/>
        <w:jc w:val="center"/>
        <w:rPr>
          <w:rFonts w:ascii="黑体" w:hAnsi="黑体" w:eastAsia="黑体"/>
          <w:sz w:val="28"/>
          <w:szCs w:val="28"/>
        </w:rPr>
      </w:pPr>
    </w:p>
    <w:p>
      <w:pPr>
        <w:pStyle w:val="14"/>
        <w:jc w:val="center"/>
        <w:rPr>
          <w:rFonts w:ascii="仿宋" w:hAnsi="仿宋" w:eastAsia="仿宋"/>
          <w:b w:val="0"/>
          <w:sz w:val="28"/>
          <w:szCs w:val="28"/>
        </w:rPr>
      </w:pPr>
      <w:r>
        <w:rPr>
          <w:rFonts w:hint="eastAsia" w:ascii="仿宋" w:hAnsi="仿宋" w:eastAsia="仿宋"/>
          <w:b w:val="0"/>
          <w:sz w:val="28"/>
          <w:szCs w:val="28"/>
        </w:rPr>
        <w:t>公开时间：</w:t>
      </w:r>
      <w:r>
        <w:rPr>
          <w:rFonts w:ascii="仿宋" w:hAnsi="仿宋" w:eastAsia="仿宋"/>
          <w:b w:val="0"/>
          <w:sz w:val="28"/>
          <w:szCs w:val="28"/>
        </w:rPr>
        <w:t>2020</w:t>
      </w:r>
      <w:r>
        <w:rPr>
          <w:rFonts w:hint="eastAsia" w:ascii="仿宋" w:hAnsi="仿宋" w:eastAsia="仿宋"/>
          <w:b w:val="0"/>
          <w:sz w:val="28"/>
          <w:szCs w:val="28"/>
        </w:rPr>
        <w:t>年</w:t>
      </w:r>
      <w:r>
        <w:rPr>
          <w:rFonts w:ascii="仿宋" w:hAnsi="仿宋" w:eastAsia="仿宋"/>
          <w:b w:val="0"/>
          <w:sz w:val="28"/>
          <w:szCs w:val="28"/>
        </w:rPr>
        <w:t>9</w:t>
      </w:r>
      <w:r>
        <w:rPr>
          <w:rFonts w:hint="eastAsia" w:ascii="仿宋" w:hAnsi="仿宋" w:eastAsia="仿宋"/>
          <w:b w:val="0"/>
          <w:sz w:val="28"/>
          <w:szCs w:val="28"/>
        </w:rPr>
        <w:t>月</w:t>
      </w:r>
      <w:r>
        <w:rPr>
          <w:rFonts w:ascii="仿宋" w:hAnsi="仿宋" w:eastAsia="仿宋"/>
          <w:b w:val="0"/>
          <w:sz w:val="28"/>
          <w:szCs w:val="28"/>
        </w:rPr>
        <w:t>3</w:t>
      </w:r>
      <w:r>
        <w:rPr>
          <w:rFonts w:hint="eastAsia" w:ascii="仿宋" w:hAnsi="仿宋" w:eastAsia="仿宋"/>
          <w:b w:val="0"/>
          <w:sz w:val="28"/>
          <w:szCs w:val="28"/>
        </w:rPr>
        <w:t>日</w:t>
      </w:r>
      <w:bookmarkStart w:id="16" w:name="_Toc15396599"/>
      <w:bookmarkStart w:id="17" w:name="_Toc15377196"/>
    </w:p>
    <w:p>
      <w:pPr>
        <w:pStyle w:val="14"/>
        <w:tabs>
          <w:tab w:val="right" w:leader="dot" w:pos="8296"/>
        </w:tabs>
        <w:jc w:val="both"/>
        <w:rPr>
          <w:rFonts w:ascii="仿宋" w:hAnsi="仿宋" w:eastAsia="仿宋"/>
          <w:b w:val="0"/>
          <w:bCs w:val="0"/>
          <w:caps w:val="0"/>
          <w:sz w:val="28"/>
          <w:szCs w:val="28"/>
        </w:rPr>
      </w:pPr>
      <w:r>
        <w:rPr>
          <w:rFonts w:ascii="仿宋" w:hAnsi="仿宋" w:eastAsia="仿宋"/>
          <w:b w:val="0"/>
          <w:sz w:val="24"/>
        </w:rPr>
        <w:fldChar w:fldCharType="begin"/>
      </w:r>
      <w:r>
        <w:rPr>
          <w:rFonts w:ascii="仿宋" w:hAnsi="仿宋" w:eastAsia="仿宋"/>
          <w:b w:val="0"/>
          <w:sz w:val="24"/>
        </w:rPr>
        <w:instrText xml:space="preserve"> TOC \o "1-3" \h \z \u </w:instrText>
      </w:r>
      <w:r>
        <w:rPr>
          <w:rFonts w:ascii="仿宋" w:hAnsi="仿宋" w:eastAsia="仿宋"/>
          <w:b w:val="0"/>
          <w:sz w:val="24"/>
        </w:rPr>
        <w:fldChar w:fldCharType="separate"/>
      </w:r>
    </w:p>
    <w:p>
      <w:pPr>
        <w:pStyle w:val="14"/>
        <w:tabs>
          <w:tab w:val="right" w:leader="dot" w:pos="8296"/>
        </w:tabs>
        <w:jc w:val="both"/>
        <w:rPr>
          <w:rFonts w:ascii="仿宋" w:hAnsi="仿宋" w:eastAsia="仿宋"/>
          <w:b w:val="0"/>
          <w:bCs w:val="0"/>
          <w:caps w:val="0"/>
          <w:sz w:val="28"/>
          <w:szCs w:val="28"/>
        </w:rPr>
      </w:pPr>
      <w:r>
        <w:fldChar w:fldCharType="begin"/>
      </w:r>
      <w:r>
        <w:instrText xml:space="preserve"> HYPERLINK \l "_Toc50622804" </w:instrText>
      </w:r>
      <w:r>
        <w:fldChar w:fldCharType="separate"/>
      </w:r>
      <w:r>
        <w:rPr>
          <w:rStyle w:val="22"/>
          <w:rFonts w:hint="eastAsia" w:ascii="仿宋" w:hAnsi="仿宋" w:eastAsia="仿宋"/>
          <w:sz w:val="28"/>
          <w:szCs w:val="28"/>
        </w:rPr>
        <w:t>第一部分</w:t>
      </w:r>
      <w:r>
        <w:rPr>
          <w:rStyle w:val="22"/>
          <w:rFonts w:ascii="仿宋" w:hAnsi="仿宋" w:eastAsia="仿宋"/>
          <w:sz w:val="28"/>
          <w:szCs w:val="28"/>
        </w:rPr>
        <w:t xml:space="preserve"> </w:t>
      </w:r>
      <w:r>
        <w:rPr>
          <w:rStyle w:val="22"/>
          <w:rFonts w:hint="eastAsia" w:ascii="仿宋" w:hAnsi="仿宋" w:eastAsia="仿宋"/>
          <w:sz w:val="28"/>
          <w:szCs w:val="28"/>
        </w:rPr>
        <w:t>部门概况</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_Toc50622804 \h </w:instrText>
      </w:r>
      <w:r>
        <w:rPr>
          <w:rFonts w:ascii="仿宋" w:hAnsi="仿宋" w:eastAsia="仿宋"/>
          <w:sz w:val="28"/>
          <w:szCs w:val="28"/>
        </w:rPr>
        <w:fldChar w:fldCharType="separate"/>
      </w:r>
      <w:r>
        <w:rPr>
          <w:rFonts w:ascii="仿宋" w:hAnsi="仿宋" w:eastAsia="仿宋"/>
          <w:sz w:val="28"/>
          <w:szCs w:val="28"/>
        </w:rPr>
        <w:t>4</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"_Toc50622805" </w:instrText>
      </w:r>
      <w:r>
        <w:fldChar w:fldCharType="separate"/>
      </w:r>
      <w:r>
        <w:rPr>
          <w:rStyle w:val="22"/>
          <w:rFonts w:hint="eastAsia" w:ascii="仿宋" w:hAnsi="仿宋" w:eastAsia="仿宋"/>
          <w:sz w:val="28"/>
          <w:szCs w:val="28"/>
        </w:rPr>
        <w:t>一、基本职能及主要工作</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_Toc50622805 \h </w:instrText>
      </w:r>
      <w:r>
        <w:rPr>
          <w:rFonts w:ascii="仿宋" w:hAnsi="仿宋" w:eastAsia="仿宋"/>
          <w:sz w:val="28"/>
          <w:szCs w:val="28"/>
        </w:rPr>
        <w:fldChar w:fldCharType="separate"/>
      </w:r>
      <w:r>
        <w:rPr>
          <w:rFonts w:ascii="仿宋" w:hAnsi="仿宋" w:eastAsia="仿宋"/>
          <w:sz w:val="28"/>
          <w:szCs w:val="28"/>
        </w:rPr>
        <w:t>4</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"_Toc50622809" </w:instrText>
      </w:r>
      <w:r>
        <w:fldChar w:fldCharType="separate"/>
      </w:r>
      <w:r>
        <w:rPr>
          <w:rStyle w:val="22"/>
          <w:rFonts w:hint="eastAsia" w:ascii="仿宋" w:hAnsi="仿宋" w:eastAsia="仿宋"/>
          <w:sz w:val="28"/>
          <w:szCs w:val="28"/>
        </w:rPr>
        <w:t>二、机构设置</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_Toc50622809 \h </w:instrText>
      </w:r>
      <w:r>
        <w:rPr>
          <w:rFonts w:ascii="仿宋" w:hAnsi="仿宋" w:eastAsia="仿宋"/>
          <w:sz w:val="28"/>
          <w:szCs w:val="28"/>
        </w:rPr>
        <w:fldChar w:fldCharType="separate"/>
      </w:r>
      <w:r>
        <w:rPr>
          <w:rFonts w:ascii="仿宋" w:hAnsi="仿宋" w:eastAsia="仿宋"/>
          <w:sz w:val="28"/>
          <w:szCs w:val="28"/>
        </w:rPr>
        <w:t>6</w:t>
      </w:r>
      <w:r>
        <w:rPr>
          <w:rFonts w:ascii="仿宋" w:hAnsi="仿宋" w:eastAsia="仿宋"/>
          <w:sz w:val="28"/>
          <w:szCs w:val="28"/>
        </w:rPr>
        <w:fldChar w:fldCharType="end"/>
      </w:r>
      <w:r>
        <w:rPr>
          <w:rFonts w:ascii="仿宋" w:hAnsi="仿宋" w:eastAsia="仿宋"/>
          <w:sz w:val="28"/>
          <w:szCs w:val="28"/>
        </w:rPr>
        <w:fldChar w:fldCharType="end"/>
      </w:r>
    </w:p>
    <w:p>
      <w:pPr>
        <w:pStyle w:val="14"/>
        <w:tabs>
          <w:tab w:val="right" w:leader="dot" w:pos="8296"/>
        </w:tabs>
        <w:jc w:val="both"/>
        <w:rPr>
          <w:rFonts w:ascii="仿宋" w:hAnsi="仿宋" w:eastAsia="仿宋"/>
          <w:b w:val="0"/>
          <w:bCs w:val="0"/>
          <w:caps w:val="0"/>
          <w:sz w:val="28"/>
          <w:szCs w:val="28"/>
        </w:rPr>
      </w:pPr>
      <w:r>
        <w:fldChar w:fldCharType="begin"/>
      </w:r>
      <w:r>
        <w:instrText xml:space="preserve"> HYPERLINK \l "_Toc50622810" </w:instrText>
      </w:r>
      <w:r>
        <w:fldChar w:fldCharType="separate"/>
      </w:r>
      <w:r>
        <w:rPr>
          <w:rStyle w:val="22"/>
          <w:rFonts w:hint="eastAsia" w:ascii="仿宋" w:hAnsi="仿宋" w:eastAsia="仿宋"/>
          <w:sz w:val="28"/>
          <w:szCs w:val="28"/>
        </w:rPr>
        <w:t>第二部分</w:t>
      </w:r>
      <w:r>
        <w:rPr>
          <w:rStyle w:val="22"/>
          <w:rFonts w:ascii="仿宋" w:hAnsi="仿宋" w:eastAsia="仿宋"/>
          <w:sz w:val="28"/>
          <w:szCs w:val="28"/>
        </w:rPr>
        <w:t xml:space="preserve"> 2019</w:t>
      </w:r>
      <w:r>
        <w:rPr>
          <w:rStyle w:val="22"/>
          <w:rFonts w:hint="eastAsia" w:ascii="仿宋" w:hAnsi="仿宋" w:eastAsia="仿宋"/>
          <w:sz w:val="28"/>
          <w:szCs w:val="28"/>
        </w:rPr>
        <w:t>年度部门决算情况说明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_Toc50622810 \h </w:instrText>
      </w:r>
      <w:r>
        <w:rPr>
          <w:rFonts w:ascii="仿宋" w:hAnsi="仿宋" w:eastAsia="仿宋"/>
          <w:sz w:val="28"/>
          <w:szCs w:val="28"/>
        </w:rPr>
        <w:fldChar w:fldCharType="separate"/>
      </w:r>
      <w:r>
        <w:rPr>
          <w:rFonts w:ascii="仿宋" w:hAnsi="仿宋" w:eastAsia="仿宋"/>
          <w:sz w:val="28"/>
          <w:szCs w:val="28"/>
        </w:rPr>
        <w:t>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"_Toc50622811" </w:instrText>
      </w:r>
      <w:r>
        <w:fldChar w:fldCharType="separate"/>
      </w:r>
      <w:r>
        <w:rPr>
          <w:rStyle w:val="22"/>
          <w:rFonts w:hint="eastAsia" w:ascii="仿宋" w:hAnsi="仿宋" w:eastAsia="仿宋"/>
          <w:sz w:val="28"/>
          <w:szCs w:val="28"/>
        </w:rPr>
        <w:t>一、收入支出决算总体情况说明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_Toc50622811 \h </w:instrText>
      </w:r>
      <w:r>
        <w:rPr>
          <w:rFonts w:ascii="仿宋" w:hAnsi="仿宋" w:eastAsia="仿宋"/>
          <w:sz w:val="28"/>
          <w:szCs w:val="28"/>
        </w:rPr>
        <w:fldChar w:fldCharType="separate"/>
      </w:r>
      <w:r>
        <w:rPr>
          <w:rFonts w:ascii="仿宋" w:hAnsi="仿宋" w:eastAsia="仿宋"/>
          <w:sz w:val="28"/>
          <w:szCs w:val="28"/>
        </w:rPr>
        <w:t>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"_Toc50622812" </w:instrText>
      </w:r>
      <w:r>
        <w:fldChar w:fldCharType="separate"/>
      </w:r>
      <w:r>
        <w:rPr>
          <w:rStyle w:val="22"/>
          <w:rFonts w:hint="eastAsia" w:ascii="仿宋" w:hAnsi="仿宋" w:eastAsia="仿宋"/>
          <w:sz w:val="28"/>
          <w:szCs w:val="28"/>
        </w:rPr>
        <w:t>二、收入决算情况说明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_Toc50622812 \h </w:instrText>
      </w:r>
      <w:r>
        <w:rPr>
          <w:rFonts w:ascii="仿宋" w:hAnsi="仿宋" w:eastAsia="仿宋"/>
          <w:sz w:val="28"/>
          <w:szCs w:val="28"/>
        </w:rPr>
        <w:fldChar w:fldCharType="separate"/>
      </w:r>
      <w:r>
        <w:rPr>
          <w:rFonts w:ascii="仿宋" w:hAnsi="仿宋" w:eastAsia="仿宋"/>
          <w:sz w:val="28"/>
          <w:szCs w:val="28"/>
        </w:rPr>
        <w:t>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"_Toc50622815" </w:instrText>
      </w:r>
      <w:r>
        <w:fldChar w:fldCharType="separate"/>
      </w:r>
      <w:r>
        <w:rPr>
          <w:rStyle w:val="22"/>
          <w:rFonts w:hint="eastAsia" w:ascii="仿宋" w:hAnsi="仿宋" w:eastAsia="仿宋"/>
          <w:sz w:val="28"/>
          <w:szCs w:val="28"/>
        </w:rPr>
        <w:t>三、支出决算情况说明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_Toc50622815 \h </w:instrText>
      </w:r>
      <w:r>
        <w:rPr>
          <w:rFonts w:ascii="仿宋" w:hAnsi="仿宋" w:eastAsia="仿宋"/>
          <w:sz w:val="28"/>
          <w:szCs w:val="28"/>
        </w:rPr>
        <w:fldChar w:fldCharType="separate"/>
      </w:r>
      <w:r>
        <w:rPr>
          <w:rFonts w:ascii="仿宋" w:hAnsi="仿宋" w:eastAsia="仿宋"/>
          <w:sz w:val="28"/>
          <w:szCs w:val="28"/>
        </w:rPr>
        <w:t>8</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"_Toc50622816" </w:instrText>
      </w:r>
      <w:r>
        <w:fldChar w:fldCharType="separate"/>
      </w:r>
      <w:r>
        <w:rPr>
          <w:rStyle w:val="22"/>
          <w:rFonts w:hint="eastAsia" w:ascii="仿宋" w:hAnsi="仿宋" w:eastAsia="仿宋"/>
          <w:sz w:val="28"/>
          <w:szCs w:val="28"/>
        </w:rPr>
        <w:t>四、财政拨款收入支出决算总体情况说明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_Toc50622816 \h </w:instrText>
      </w:r>
      <w:r>
        <w:rPr>
          <w:rFonts w:ascii="仿宋" w:hAnsi="仿宋" w:eastAsia="仿宋"/>
          <w:sz w:val="28"/>
          <w:szCs w:val="28"/>
        </w:rPr>
        <w:fldChar w:fldCharType="separate"/>
      </w:r>
      <w:r>
        <w:rPr>
          <w:rFonts w:ascii="仿宋" w:hAnsi="仿宋" w:eastAsia="仿宋"/>
          <w:sz w:val="28"/>
          <w:szCs w:val="28"/>
        </w:rPr>
        <w:t>9</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"_Toc50622817" </w:instrText>
      </w:r>
      <w:r>
        <w:fldChar w:fldCharType="separate"/>
      </w:r>
      <w:r>
        <w:rPr>
          <w:rStyle w:val="22"/>
          <w:rFonts w:hint="eastAsia" w:ascii="仿宋" w:hAnsi="仿宋" w:eastAsia="仿宋"/>
          <w:sz w:val="28"/>
          <w:szCs w:val="28"/>
        </w:rPr>
        <w:t>五、一般公共预算财政拨款支出决算情况说明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_Toc50622817 \h </w:instrText>
      </w:r>
      <w:r>
        <w:rPr>
          <w:rFonts w:ascii="仿宋" w:hAnsi="仿宋" w:eastAsia="仿宋"/>
          <w:sz w:val="28"/>
          <w:szCs w:val="28"/>
        </w:rPr>
        <w:fldChar w:fldCharType="separate"/>
      </w:r>
      <w:r>
        <w:rPr>
          <w:rFonts w:ascii="仿宋" w:hAnsi="仿宋" w:eastAsia="仿宋"/>
          <w:sz w:val="28"/>
          <w:szCs w:val="28"/>
        </w:rPr>
        <w:t>10</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"_Toc50622820" </w:instrText>
      </w:r>
      <w:r>
        <w:fldChar w:fldCharType="separate"/>
      </w:r>
      <w:r>
        <w:rPr>
          <w:rStyle w:val="22"/>
          <w:rFonts w:hint="eastAsia" w:ascii="仿宋" w:hAnsi="仿宋" w:eastAsia="仿宋"/>
          <w:sz w:val="28"/>
          <w:szCs w:val="28"/>
        </w:rPr>
        <w:t>六、一般公共预算财政拨款基本支出决算情况说明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_Toc50622820 \h </w:instrText>
      </w:r>
      <w:r>
        <w:rPr>
          <w:rFonts w:ascii="仿宋" w:hAnsi="仿宋" w:eastAsia="仿宋"/>
          <w:sz w:val="28"/>
          <w:szCs w:val="28"/>
        </w:rPr>
        <w:fldChar w:fldCharType="separate"/>
      </w:r>
      <w:r>
        <w:rPr>
          <w:rFonts w:ascii="仿宋" w:hAnsi="仿宋" w:eastAsia="仿宋"/>
          <w:sz w:val="28"/>
          <w:szCs w:val="28"/>
        </w:rPr>
        <w:t>13</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"_Toc50622821" </w:instrText>
      </w:r>
      <w:r>
        <w:fldChar w:fldCharType="separate"/>
      </w:r>
      <w:r>
        <w:rPr>
          <w:rStyle w:val="22"/>
          <w:rFonts w:hint="eastAsia" w:ascii="仿宋" w:hAnsi="仿宋" w:eastAsia="仿宋"/>
          <w:sz w:val="28"/>
          <w:szCs w:val="28"/>
        </w:rPr>
        <w:t>七、“三公”经费财政拨款支出决算情况说明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_Toc50622821 \h </w:instrText>
      </w:r>
      <w:r>
        <w:rPr>
          <w:rFonts w:ascii="仿宋" w:hAnsi="仿宋" w:eastAsia="仿宋"/>
          <w:sz w:val="28"/>
          <w:szCs w:val="28"/>
        </w:rPr>
        <w:fldChar w:fldCharType="separate"/>
      </w:r>
      <w:r>
        <w:rPr>
          <w:rFonts w:ascii="仿宋" w:hAnsi="仿宋" w:eastAsia="仿宋"/>
          <w:sz w:val="28"/>
          <w:szCs w:val="28"/>
        </w:rPr>
        <w:t>13</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"_Toc50622823" </w:instrText>
      </w:r>
      <w:r>
        <w:fldChar w:fldCharType="separate"/>
      </w:r>
      <w:r>
        <w:rPr>
          <w:rStyle w:val="22"/>
          <w:rFonts w:hint="eastAsia" w:ascii="仿宋" w:hAnsi="仿宋" w:eastAsia="仿宋"/>
          <w:sz w:val="28"/>
          <w:szCs w:val="28"/>
        </w:rPr>
        <w:t>八、政府性基金预算支出决算情况说明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_Toc50622823 \h </w:instrText>
      </w:r>
      <w:r>
        <w:rPr>
          <w:rFonts w:ascii="仿宋" w:hAnsi="仿宋" w:eastAsia="仿宋"/>
          <w:sz w:val="28"/>
          <w:szCs w:val="28"/>
        </w:rPr>
        <w:fldChar w:fldCharType="separate"/>
      </w:r>
      <w:r>
        <w:rPr>
          <w:rFonts w:ascii="仿宋" w:hAnsi="仿宋" w:eastAsia="仿宋"/>
          <w:sz w:val="28"/>
          <w:szCs w:val="28"/>
        </w:rPr>
        <w:t>15</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"_Toc50622824" </w:instrText>
      </w:r>
      <w:r>
        <w:fldChar w:fldCharType="separate"/>
      </w:r>
      <w:r>
        <w:rPr>
          <w:rStyle w:val="22"/>
          <w:rFonts w:hint="eastAsia" w:ascii="仿宋" w:hAnsi="仿宋" w:eastAsia="仿宋"/>
          <w:sz w:val="28"/>
          <w:szCs w:val="28"/>
        </w:rPr>
        <w:t>九、国有资本经营预算支出决算情况说明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_Toc50622824 \h </w:instrText>
      </w:r>
      <w:r>
        <w:rPr>
          <w:rFonts w:ascii="仿宋" w:hAnsi="仿宋" w:eastAsia="仿宋"/>
          <w:sz w:val="28"/>
          <w:szCs w:val="28"/>
        </w:rPr>
        <w:fldChar w:fldCharType="separate"/>
      </w:r>
      <w:r>
        <w:rPr>
          <w:rFonts w:ascii="仿宋" w:hAnsi="仿宋" w:eastAsia="仿宋"/>
          <w:sz w:val="28"/>
          <w:szCs w:val="28"/>
        </w:rPr>
        <w:t>15</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"_Toc50622825" </w:instrText>
      </w:r>
      <w:r>
        <w:fldChar w:fldCharType="separate"/>
      </w:r>
      <w:r>
        <w:rPr>
          <w:rStyle w:val="22"/>
          <w:rFonts w:hint="eastAsia" w:ascii="仿宋" w:hAnsi="仿宋" w:eastAsia="仿宋"/>
          <w:sz w:val="28"/>
          <w:szCs w:val="28"/>
        </w:rPr>
        <w:t>十、其他重要事项的情况说明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_Toc50622825 \h </w:instrText>
      </w:r>
      <w:r>
        <w:rPr>
          <w:rFonts w:ascii="仿宋" w:hAnsi="仿宋" w:eastAsia="仿宋"/>
          <w:sz w:val="28"/>
          <w:szCs w:val="28"/>
        </w:rPr>
        <w:fldChar w:fldCharType="separate"/>
      </w:r>
      <w:r>
        <w:rPr>
          <w:rFonts w:ascii="仿宋" w:hAnsi="仿宋" w:eastAsia="仿宋"/>
          <w:sz w:val="28"/>
          <w:szCs w:val="28"/>
        </w:rPr>
        <w:t>15</w:t>
      </w:r>
      <w:r>
        <w:rPr>
          <w:rFonts w:ascii="仿宋" w:hAnsi="仿宋" w:eastAsia="仿宋"/>
          <w:sz w:val="28"/>
          <w:szCs w:val="28"/>
        </w:rPr>
        <w:fldChar w:fldCharType="end"/>
      </w:r>
      <w:r>
        <w:rPr>
          <w:rFonts w:ascii="仿宋" w:hAnsi="仿宋" w:eastAsia="仿宋"/>
          <w:sz w:val="28"/>
          <w:szCs w:val="28"/>
        </w:rPr>
        <w:fldChar w:fldCharType="end"/>
      </w:r>
    </w:p>
    <w:p>
      <w:pPr>
        <w:pStyle w:val="14"/>
        <w:tabs>
          <w:tab w:val="right" w:leader="dot" w:pos="8296"/>
        </w:tabs>
        <w:jc w:val="both"/>
        <w:rPr>
          <w:rFonts w:ascii="仿宋" w:hAnsi="仿宋" w:eastAsia="仿宋"/>
          <w:b w:val="0"/>
          <w:bCs w:val="0"/>
          <w:caps w:val="0"/>
          <w:sz w:val="28"/>
          <w:szCs w:val="28"/>
        </w:rPr>
      </w:pPr>
      <w:r>
        <w:fldChar w:fldCharType="begin"/>
      </w:r>
      <w:r>
        <w:instrText xml:space="preserve"> HYPERLINK \l "_Toc50622831" </w:instrText>
      </w:r>
      <w:r>
        <w:fldChar w:fldCharType="separate"/>
      </w:r>
      <w:r>
        <w:rPr>
          <w:rStyle w:val="22"/>
          <w:rFonts w:hint="eastAsia" w:ascii="仿宋" w:hAnsi="仿宋" w:eastAsia="仿宋"/>
          <w:sz w:val="28"/>
          <w:szCs w:val="28"/>
        </w:rPr>
        <w:t>第三部分</w:t>
      </w:r>
      <w:r>
        <w:rPr>
          <w:rStyle w:val="22"/>
          <w:rFonts w:ascii="仿宋" w:hAnsi="仿宋" w:eastAsia="仿宋"/>
          <w:sz w:val="28"/>
          <w:szCs w:val="28"/>
        </w:rPr>
        <w:t xml:space="preserve"> </w:t>
      </w:r>
      <w:r>
        <w:rPr>
          <w:rStyle w:val="22"/>
          <w:rFonts w:hint="eastAsia" w:ascii="仿宋" w:hAnsi="仿宋" w:eastAsia="仿宋"/>
          <w:sz w:val="28"/>
          <w:szCs w:val="28"/>
        </w:rPr>
        <w:t>名词解释</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_Toc50622831 \h </w:instrText>
      </w:r>
      <w:r>
        <w:rPr>
          <w:rFonts w:ascii="仿宋" w:hAnsi="仿宋" w:eastAsia="仿宋"/>
          <w:sz w:val="28"/>
          <w:szCs w:val="28"/>
        </w:rPr>
        <w:fldChar w:fldCharType="separate"/>
      </w:r>
      <w:r>
        <w:rPr>
          <w:rFonts w:ascii="仿宋" w:hAnsi="仿宋" w:eastAsia="仿宋"/>
          <w:sz w:val="28"/>
          <w:szCs w:val="28"/>
        </w:rPr>
        <w:t>25</w:t>
      </w:r>
      <w:r>
        <w:rPr>
          <w:rFonts w:ascii="仿宋" w:hAnsi="仿宋" w:eastAsia="仿宋"/>
          <w:sz w:val="28"/>
          <w:szCs w:val="28"/>
        </w:rPr>
        <w:fldChar w:fldCharType="end"/>
      </w:r>
      <w:r>
        <w:rPr>
          <w:rFonts w:ascii="仿宋" w:hAnsi="仿宋" w:eastAsia="仿宋"/>
          <w:sz w:val="28"/>
          <w:szCs w:val="28"/>
        </w:rPr>
        <w:fldChar w:fldCharType="end"/>
      </w:r>
    </w:p>
    <w:p>
      <w:pPr>
        <w:pStyle w:val="14"/>
        <w:tabs>
          <w:tab w:val="right" w:leader="dot" w:pos="8296"/>
        </w:tabs>
        <w:jc w:val="both"/>
        <w:rPr>
          <w:rFonts w:ascii="仿宋" w:hAnsi="仿宋" w:eastAsia="仿宋"/>
          <w:b w:val="0"/>
          <w:bCs w:val="0"/>
          <w:caps w:val="0"/>
          <w:sz w:val="28"/>
          <w:szCs w:val="28"/>
        </w:rPr>
      </w:pPr>
      <w:r>
        <w:fldChar w:fldCharType="begin"/>
      </w:r>
      <w:r>
        <w:instrText xml:space="preserve"> HYPERLINK \l "_Toc50622832" </w:instrText>
      </w:r>
      <w:r>
        <w:fldChar w:fldCharType="separate"/>
      </w:r>
      <w:r>
        <w:rPr>
          <w:rStyle w:val="22"/>
          <w:rFonts w:hint="eastAsia" w:ascii="仿宋" w:hAnsi="仿宋" w:eastAsia="仿宋"/>
          <w:sz w:val="28"/>
          <w:szCs w:val="28"/>
        </w:rPr>
        <w:t>第四部分</w:t>
      </w:r>
      <w:r>
        <w:rPr>
          <w:rStyle w:val="22"/>
          <w:rFonts w:ascii="仿宋" w:hAnsi="仿宋" w:eastAsia="仿宋"/>
          <w:sz w:val="28"/>
          <w:szCs w:val="28"/>
        </w:rPr>
        <w:t xml:space="preserve"> </w:t>
      </w:r>
      <w:r>
        <w:rPr>
          <w:rStyle w:val="22"/>
          <w:rFonts w:hint="eastAsia" w:ascii="仿宋" w:hAnsi="仿宋" w:eastAsia="仿宋"/>
          <w:sz w:val="28"/>
          <w:szCs w:val="28"/>
        </w:rPr>
        <w:t>附件</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_Toc50622832 \h </w:instrText>
      </w:r>
      <w:r>
        <w:rPr>
          <w:rFonts w:ascii="仿宋" w:hAnsi="仿宋" w:eastAsia="仿宋"/>
          <w:sz w:val="28"/>
          <w:szCs w:val="28"/>
        </w:rPr>
        <w:fldChar w:fldCharType="separate"/>
      </w:r>
      <w:r>
        <w:rPr>
          <w:rFonts w:ascii="仿宋" w:hAnsi="仿宋" w:eastAsia="仿宋"/>
          <w:sz w:val="28"/>
          <w:szCs w:val="28"/>
        </w:rPr>
        <w:t>28</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"_Toc50622833" </w:instrText>
      </w:r>
      <w:r>
        <w:fldChar w:fldCharType="separate"/>
      </w:r>
      <w:r>
        <w:rPr>
          <w:rStyle w:val="22"/>
          <w:rFonts w:hint="eastAsia" w:ascii="仿宋" w:hAnsi="仿宋" w:eastAsia="仿宋"/>
          <w:sz w:val="28"/>
          <w:szCs w:val="28"/>
        </w:rPr>
        <w:t>附件</w:t>
      </w:r>
      <w:r>
        <w:rPr>
          <w:rStyle w:val="22"/>
          <w:rFonts w:ascii="仿宋" w:hAnsi="仿宋" w:eastAsia="仿宋"/>
          <w:sz w:val="28"/>
          <w:szCs w:val="28"/>
        </w:rPr>
        <w:t>1</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_Toc50622833 \h </w:instrText>
      </w:r>
      <w:r>
        <w:rPr>
          <w:rFonts w:ascii="仿宋" w:hAnsi="仿宋" w:eastAsia="仿宋"/>
          <w:sz w:val="28"/>
          <w:szCs w:val="28"/>
        </w:rPr>
        <w:fldChar w:fldCharType="separate"/>
      </w:r>
      <w:r>
        <w:rPr>
          <w:rFonts w:ascii="仿宋" w:hAnsi="仿宋" w:eastAsia="仿宋"/>
          <w:sz w:val="28"/>
          <w:szCs w:val="28"/>
        </w:rPr>
        <w:t>28</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"_Toc50622834" </w:instrText>
      </w:r>
      <w:r>
        <w:fldChar w:fldCharType="separate"/>
      </w:r>
      <w:r>
        <w:rPr>
          <w:rStyle w:val="22"/>
          <w:rFonts w:hint="eastAsia" w:ascii="仿宋" w:hAnsi="仿宋" w:eastAsia="仿宋"/>
          <w:sz w:val="28"/>
          <w:szCs w:val="28"/>
        </w:rPr>
        <w:t>附件</w:t>
      </w:r>
      <w:r>
        <w:rPr>
          <w:rStyle w:val="22"/>
          <w:rFonts w:ascii="仿宋" w:hAnsi="仿宋" w:eastAsia="仿宋"/>
          <w:sz w:val="28"/>
          <w:szCs w:val="28"/>
        </w:rPr>
        <w:t>2</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_Toc50622834 \h </w:instrText>
      </w:r>
      <w:r>
        <w:rPr>
          <w:rFonts w:ascii="仿宋" w:hAnsi="仿宋" w:eastAsia="仿宋"/>
          <w:sz w:val="28"/>
          <w:szCs w:val="28"/>
        </w:rPr>
        <w:fldChar w:fldCharType="separate"/>
      </w:r>
      <w:r>
        <w:rPr>
          <w:rFonts w:ascii="仿宋" w:hAnsi="仿宋" w:eastAsia="仿宋"/>
          <w:sz w:val="28"/>
          <w:szCs w:val="28"/>
        </w:rPr>
        <w:t>34</w:t>
      </w:r>
      <w:r>
        <w:rPr>
          <w:rFonts w:ascii="仿宋" w:hAnsi="仿宋" w:eastAsia="仿宋"/>
          <w:sz w:val="28"/>
          <w:szCs w:val="28"/>
        </w:rPr>
        <w:fldChar w:fldCharType="end"/>
      </w:r>
      <w:r>
        <w:rPr>
          <w:rFonts w:ascii="仿宋" w:hAnsi="仿宋" w:eastAsia="仿宋"/>
          <w:sz w:val="28"/>
          <w:szCs w:val="28"/>
        </w:rPr>
        <w:fldChar w:fldCharType="end"/>
      </w:r>
    </w:p>
    <w:p>
      <w:pPr>
        <w:pStyle w:val="14"/>
        <w:tabs>
          <w:tab w:val="right" w:leader="dot" w:pos="8296"/>
        </w:tabs>
        <w:jc w:val="both"/>
        <w:rPr>
          <w:rFonts w:ascii="仿宋" w:hAnsi="仿宋" w:eastAsia="仿宋"/>
          <w:b w:val="0"/>
          <w:bCs w:val="0"/>
          <w:caps w:val="0"/>
          <w:sz w:val="28"/>
          <w:szCs w:val="28"/>
        </w:rPr>
      </w:pPr>
      <w:r>
        <w:fldChar w:fldCharType="begin"/>
      </w:r>
      <w:r>
        <w:instrText xml:space="preserve"> HYPERLINK \l "_Toc50622835" </w:instrText>
      </w:r>
      <w:r>
        <w:fldChar w:fldCharType="separate"/>
      </w:r>
      <w:r>
        <w:rPr>
          <w:rStyle w:val="22"/>
          <w:rFonts w:hint="eastAsia" w:ascii="仿宋" w:hAnsi="仿宋" w:eastAsia="仿宋"/>
          <w:sz w:val="28"/>
          <w:szCs w:val="28"/>
        </w:rPr>
        <w:t>第五部分</w:t>
      </w:r>
      <w:r>
        <w:rPr>
          <w:rStyle w:val="22"/>
          <w:rFonts w:ascii="仿宋" w:hAnsi="仿宋" w:eastAsia="仿宋"/>
          <w:sz w:val="28"/>
          <w:szCs w:val="28"/>
        </w:rPr>
        <w:t xml:space="preserve"> </w:t>
      </w:r>
      <w:r>
        <w:rPr>
          <w:rStyle w:val="22"/>
          <w:rFonts w:hint="eastAsia" w:ascii="仿宋" w:hAnsi="仿宋" w:eastAsia="仿宋"/>
          <w:sz w:val="28"/>
          <w:szCs w:val="28"/>
        </w:rPr>
        <w:t>附表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_Toc50622835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"_Toc50622836" </w:instrText>
      </w:r>
      <w:r>
        <w:fldChar w:fldCharType="separate"/>
      </w:r>
      <w:r>
        <w:rPr>
          <w:rStyle w:val="22"/>
          <w:rFonts w:hint="eastAsia" w:ascii="仿宋" w:hAnsi="仿宋" w:eastAsia="仿宋"/>
          <w:sz w:val="28"/>
          <w:szCs w:val="28"/>
        </w:rPr>
        <w:t>一、收入支出决算总表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_Toc50622836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"_Toc50622837" </w:instrText>
      </w:r>
      <w:r>
        <w:fldChar w:fldCharType="separate"/>
      </w:r>
      <w:r>
        <w:rPr>
          <w:rStyle w:val="22"/>
          <w:rFonts w:hint="eastAsia" w:ascii="仿宋" w:hAnsi="仿宋" w:eastAsia="仿宋"/>
          <w:sz w:val="28"/>
          <w:szCs w:val="28"/>
        </w:rPr>
        <w:t>二、收入决算表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_Toc50622837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"_Toc50622838" </w:instrText>
      </w:r>
      <w:r>
        <w:fldChar w:fldCharType="separate"/>
      </w:r>
      <w:r>
        <w:rPr>
          <w:rStyle w:val="22"/>
          <w:rFonts w:hint="eastAsia" w:ascii="仿宋" w:hAnsi="仿宋" w:eastAsia="仿宋"/>
          <w:sz w:val="28"/>
          <w:szCs w:val="28"/>
        </w:rPr>
        <w:t>三、支出决算表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_Toc50622838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"_Toc50622839" </w:instrText>
      </w:r>
      <w:r>
        <w:fldChar w:fldCharType="separate"/>
      </w:r>
      <w:r>
        <w:rPr>
          <w:rStyle w:val="22"/>
          <w:rFonts w:hint="eastAsia" w:ascii="仿宋" w:hAnsi="仿宋" w:eastAsia="仿宋"/>
          <w:sz w:val="28"/>
          <w:szCs w:val="28"/>
        </w:rPr>
        <w:t>四、财政拨款收入支出决算总表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_Toc50622839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"_Toc50622840" </w:instrText>
      </w:r>
      <w:r>
        <w:fldChar w:fldCharType="separate"/>
      </w:r>
      <w:r>
        <w:rPr>
          <w:rStyle w:val="22"/>
          <w:rFonts w:hint="eastAsia" w:ascii="仿宋" w:hAnsi="仿宋" w:eastAsia="仿宋"/>
          <w:sz w:val="28"/>
          <w:szCs w:val="28"/>
        </w:rPr>
        <w:t>五、财政拨款支出决算明细表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_Toc50622840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"_Toc50622841" </w:instrText>
      </w:r>
      <w:r>
        <w:fldChar w:fldCharType="separate"/>
      </w:r>
      <w:r>
        <w:rPr>
          <w:rStyle w:val="22"/>
          <w:rFonts w:hint="eastAsia" w:ascii="仿宋" w:hAnsi="仿宋" w:eastAsia="仿宋"/>
          <w:sz w:val="28"/>
          <w:szCs w:val="28"/>
        </w:rPr>
        <w:t>六、一般公共预算财政拨款支出决算表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_Toc50622841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"_Toc50622842" </w:instrText>
      </w:r>
      <w:r>
        <w:fldChar w:fldCharType="separate"/>
      </w:r>
      <w:r>
        <w:rPr>
          <w:rStyle w:val="22"/>
          <w:rFonts w:hint="eastAsia" w:ascii="仿宋" w:hAnsi="仿宋" w:eastAsia="仿宋"/>
          <w:sz w:val="28"/>
          <w:szCs w:val="28"/>
        </w:rPr>
        <w:t>七、一般公共预算财政拨款支出决算明细表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_Toc50622842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"_Toc50622843" </w:instrText>
      </w:r>
      <w:r>
        <w:fldChar w:fldCharType="separate"/>
      </w:r>
      <w:r>
        <w:rPr>
          <w:rStyle w:val="22"/>
          <w:rFonts w:hint="eastAsia" w:ascii="仿宋" w:hAnsi="仿宋" w:eastAsia="仿宋"/>
          <w:sz w:val="28"/>
          <w:szCs w:val="28"/>
        </w:rPr>
        <w:t>八、一般公共预算财政拨款基本支出决算表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_Toc50622843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"_Toc50622844" </w:instrText>
      </w:r>
      <w:r>
        <w:fldChar w:fldCharType="separate"/>
      </w:r>
      <w:r>
        <w:rPr>
          <w:rStyle w:val="22"/>
          <w:rFonts w:hint="eastAsia" w:ascii="仿宋" w:hAnsi="仿宋" w:eastAsia="仿宋"/>
          <w:sz w:val="28"/>
          <w:szCs w:val="28"/>
        </w:rPr>
        <w:t>九、一般公共预算财政拨款项目支出决算表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_Toc50622844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"_Toc50622845" </w:instrText>
      </w:r>
      <w:r>
        <w:fldChar w:fldCharType="separate"/>
      </w:r>
      <w:r>
        <w:rPr>
          <w:rStyle w:val="22"/>
          <w:rFonts w:hint="eastAsia" w:ascii="仿宋" w:hAnsi="仿宋" w:eastAsia="仿宋"/>
          <w:sz w:val="28"/>
          <w:szCs w:val="28"/>
        </w:rPr>
        <w:t>十、一般公共预算财政拨款“三公”经费支出决算表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_Toc50622845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"_Toc50622846" </w:instrText>
      </w:r>
      <w:r>
        <w:fldChar w:fldCharType="separate"/>
      </w:r>
      <w:r>
        <w:rPr>
          <w:rStyle w:val="22"/>
          <w:rFonts w:hint="eastAsia" w:ascii="仿宋" w:hAnsi="仿宋" w:eastAsia="仿宋"/>
          <w:sz w:val="28"/>
          <w:szCs w:val="28"/>
        </w:rPr>
        <w:t>十一、政府性基金预算财政拨款收入支出决算表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_Toc50622846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rFonts w:ascii="仿宋" w:hAnsi="仿宋" w:eastAsia="仿宋"/>
          <w:smallCaps w:val="0"/>
          <w:sz w:val="28"/>
          <w:szCs w:val="28"/>
        </w:rPr>
      </w:pPr>
      <w:r>
        <w:fldChar w:fldCharType="begin"/>
      </w:r>
      <w:r>
        <w:instrText xml:space="preserve"> HYPERLINK \l "_Toc50622847" </w:instrText>
      </w:r>
      <w:r>
        <w:fldChar w:fldCharType="separate"/>
      </w:r>
      <w:r>
        <w:rPr>
          <w:rStyle w:val="22"/>
          <w:rFonts w:hint="eastAsia" w:ascii="仿宋" w:hAnsi="仿宋" w:eastAsia="仿宋"/>
          <w:sz w:val="28"/>
          <w:szCs w:val="28"/>
        </w:rPr>
        <w:t>十二、政府性基金预算财政拨款“三公”经费支出决算表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_Toc50622847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pStyle w:val="17"/>
        <w:tabs>
          <w:tab w:val="right" w:leader="dot" w:pos="8296"/>
        </w:tabs>
        <w:jc w:val="both"/>
        <w:rPr>
          <w:smallCaps w:val="0"/>
          <w:sz w:val="21"/>
          <w:szCs w:val="24"/>
        </w:rPr>
      </w:pPr>
      <w:r>
        <w:fldChar w:fldCharType="begin"/>
      </w:r>
      <w:r>
        <w:instrText xml:space="preserve"> HYPERLINK \l "_Toc50622848" </w:instrText>
      </w:r>
      <w:r>
        <w:fldChar w:fldCharType="separate"/>
      </w:r>
      <w:r>
        <w:rPr>
          <w:rStyle w:val="22"/>
          <w:rFonts w:hint="eastAsia" w:ascii="仿宋" w:hAnsi="仿宋" w:eastAsia="仿宋"/>
          <w:sz w:val="28"/>
          <w:szCs w:val="28"/>
        </w:rPr>
        <w:t>十三、国有资本经营预算支出决算表</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_Toc50622848 \h </w:instrText>
      </w:r>
      <w:r>
        <w:rPr>
          <w:rFonts w:ascii="仿宋" w:hAnsi="仿宋" w:eastAsia="仿宋"/>
          <w:sz w:val="28"/>
          <w:szCs w:val="28"/>
        </w:rPr>
        <w:fldChar w:fldCharType="separate"/>
      </w:r>
      <w:r>
        <w:rPr>
          <w:rFonts w:ascii="仿宋" w:hAnsi="仿宋" w:eastAsia="仿宋"/>
          <w:sz w:val="28"/>
          <w:szCs w:val="28"/>
        </w:rPr>
        <w:t>37</w:t>
      </w:r>
      <w:r>
        <w:rPr>
          <w:rFonts w:ascii="仿宋" w:hAnsi="仿宋" w:eastAsia="仿宋"/>
          <w:sz w:val="28"/>
          <w:szCs w:val="28"/>
        </w:rPr>
        <w:fldChar w:fldCharType="end"/>
      </w:r>
      <w:r>
        <w:rPr>
          <w:rFonts w:ascii="仿宋" w:hAnsi="仿宋" w:eastAsia="仿宋"/>
          <w:sz w:val="28"/>
          <w:szCs w:val="28"/>
        </w:rPr>
        <w:fldChar w:fldCharType="end"/>
      </w:r>
    </w:p>
    <w:p>
      <w:pPr>
        <w:widowControl/>
        <w:spacing w:line="440" w:lineRule="exact"/>
        <w:jc w:val="left"/>
        <w:rPr>
          <w:rFonts w:ascii="仿宋" w:hAnsi="仿宋" w:eastAsia="仿宋"/>
          <w:bCs/>
          <w:kern w:val="44"/>
          <w:sz w:val="24"/>
        </w:rPr>
      </w:pPr>
      <w:r>
        <w:rPr>
          <w:rFonts w:ascii="仿宋" w:hAnsi="仿宋" w:eastAsia="仿宋"/>
          <w:b/>
          <w:sz w:val="24"/>
        </w:rPr>
        <w:fldChar w:fldCharType="end"/>
      </w:r>
      <w:r>
        <w:rPr>
          <w:rFonts w:ascii="仿宋" w:hAnsi="仿宋" w:eastAsia="仿宋"/>
          <w:b/>
          <w:sz w:val="24"/>
        </w:rPr>
        <w:br w:type="page"/>
      </w:r>
    </w:p>
    <w:p>
      <w:pPr>
        <w:pStyle w:val="2"/>
        <w:jc w:val="center"/>
        <w:rPr>
          <w:rFonts w:ascii="黑体" w:hAnsi="黑体" w:eastAsia="黑体"/>
        </w:rPr>
      </w:pPr>
      <w:bookmarkStart w:id="18" w:name="_Toc50621915"/>
      <w:bookmarkStart w:id="19" w:name="_Toc50622804"/>
      <w:r>
        <w:rPr>
          <w:rFonts w:hint="eastAsia" w:ascii="黑体" w:hAnsi="黑体" w:eastAsia="黑体"/>
        </w:rPr>
        <w:t>第一部分</w:t>
      </w:r>
      <w:r>
        <w:rPr>
          <w:rFonts w:ascii="黑体" w:hAnsi="黑体" w:eastAsia="黑体"/>
        </w:rPr>
        <w:t xml:space="preserve"> </w:t>
      </w:r>
      <w:r>
        <w:rPr>
          <w:rFonts w:hint="eastAsia" w:ascii="黑体" w:hAnsi="黑体" w:eastAsia="黑体"/>
        </w:rPr>
        <w:t>部门概况</w:t>
      </w:r>
      <w:bookmarkEnd w:id="16"/>
      <w:bookmarkEnd w:id="17"/>
      <w:bookmarkEnd w:id="18"/>
      <w:bookmarkEnd w:id="19"/>
    </w:p>
    <w:p>
      <w:pPr>
        <w:widowControl/>
        <w:jc w:val="left"/>
        <w:rPr>
          <w:rFonts w:ascii="黑体" w:eastAsia="黑体"/>
          <w:color w:val="000000"/>
          <w:sz w:val="32"/>
          <w:szCs w:val="32"/>
        </w:rPr>
      </w:pPr>
    </w:p>
    <w:p>
      <w:pPr>
        <w:pStyle w:val="3"/>
        <w:spacing w:line="415" w:lineRule="auto"/>
        <w:ind w:firstLine="643" w:firstLineChars="200"/>
        <w:jc w:val="left"/>
        <w:rPr>
          <w:rFonts w:ascii="黑体" w:hAnsi="黑体" w:eastAsia="黑体"/>
        </w:rPr>
      </w:pPr>
      <w:bookmarkStart w:id="20" w:name="_Toc15396600"/>
      <w:bookmarkStart w:id="21" w:name="_Toc15377197"/>
      <w:bookmarkStart w:id="22" w:name="_Toc50621916"/>
      <w:bookmarkStart w:id="23" w:name="_Toc50622805"/>
      <w:r>
        <w:rPr>
          <w:rFonts w:hint="eastAsia" w:ascii="黑体" w:hAnsi="黑体" w:eastAsia="黑体"/>
        </w:rPr>
        <w:t>一、基本职能及主要工作</w:t>
      </w:r>
      <w:bookmarkEnd w:id="20"/>
      <w:bookmarkEnd w:id="21"/>
      <w:bookmarkEnd w:id="22"/>
      <w:bookmarkEnd w:id="23"/>
    </w:p>
    <w:p>
      <w:pPr>
        <w:pStyle w:val="6"/>
        <w:adjustRightInd w:val="0"/>
        <w:snapToGrid w:val="0"/>
        <w:spacing w:before="93" w:line="600" w:lineRule="exact"/>
        <w:ind w:firstLine="672" w:firstLineChars="210"/>
        <w:outlineLvl w:val="2"/>
        <w:rPr>
          <w:rFonts w:ascii="仿宋" w:hAnsi="仿宋" w:eastAsia="仿宋"/>
          <w:bCs/>
          <w:color w:val="000000"/>
          <w:sz w:val="32"/>
          <w:szCs w:val="32"/>
        </w:rPr>
      </w:pPr>
      <w:bookmarkStart w:id="24" w:name="_Toc15378445"/>
      <w:bookmarkStart w:id="25" w:name="_Toc15377198"/>
      <w:bookmarkStart w:id="26" w:name="_Toc50621917"/>
      <w:bookmarkStart w:id="27" w:name="_Toc50622806"/>
      <w:r>
        <w:rPr>
          <w:rFonts w:hint="eastAsia" w:ascii="仿宋" w:hAnsi="仿宋" w:eastAsia="仿宋"/>
          <w:bCs/>
          <w:color w:val="000000"/>
          <w:sz w:val="32"/>
          <w:szCs w:val="32"/>
        </w:rPr>
        <w:t>（一）主要职能。</w:t>
      </w:r>
      <w:bookmarkEnd w:id="24"/>
      <w:bookmarkEnd w:id="25"/>
      <w:bookmarkEnd w:id="26"/>
      <w:bookmarkEnd w:id="27"/>
      <w:bookmarkStart w:id="28" w:name="_Toc15378446"/>
      <w:bookmarkStart w:id="29" w:name="_Toc15377199"/>
    </w:p>
    <w:p>
      <w:pPr>
        <w:pStyle w:val="6"/>
        <w:adjustRightInd w:val="0"/>
        <w:snapToGrid w:val="0"/>
        <w:spacing w:before="93" w:line="600" w:lineRule="exact"/>
        <w:ind w:firstLine="672" w:firstLineChars="210"/>
        <w:outlineLvl w:val="2"/>
        <w:rPr>
          <w:rFonts w:ascii="仿宋" w:hAnsi="仿宋" w:eastAsia="仿宋"/>
          <w:bCs/>
          <w:color w:val="000000"/>
          <w:sz w:val="32"/>
          <w:szCs w:val="32"/>
        </w:rPr>
      </w:pPr>
      <w:bookmarkStart w:id="30" w:name="_Toc50621918"/>
      <w:bookmarkStart w:id="31" w:name="_Toc50622807"/>
      <w:r>
        <w:rPr>
          <w:rFonts w:hint="eastAsia" w:ascii="仿宋" w:hAnsi="仿宋" w:eastAsia="仿宋"/>
          <w:color w:val="000000"/>
          <w:sz w:val="32"/>
          <w:szCs w:val="32"/>
        </w:rPr>
        <w:t>渠县人民检察院主要职责是切实履行法律监督职能，认真贯彻执行检察机关的工作方针、政策、法律、司法解释；对背叛国家、分裂国家案以及破坏国家的政策、法律、政令统一实施的重大犯罪案件，行使检察权；对公安机关和国家安全机关、监狱侦查的案件进行审查，决定是否逮捕、起诉或者不起诉，对刑事案件提起公诉，支持公诉；对公安机关的侦查活动是否合法实行监督；对人民法院的刑事、民事审判活动、行政诉讼是否合法实行监督；在履行职责中发现生态环境和资源保护、国有资产保护、国有土地使用权出让等领域负有监督管理职责的行政机关违法行使职权或者不作为，造成国家和社会公共利益受到侵害，公民、法人和其他社会组织由于没有直接利害关系，没有也无法提起诉讼的，可以向人民法院提起行政公益诉讼。对刑事案件判决、裁定的执法和看守所的活动是否合法实行监督。</w:t>
      </w:r>
      <w:bookmarkEnd w:id="30"/>
      <w:bookmarkEnd w:id="31"/>
    </w:p>
    <w:p>
      <w:pPr>
        <w:pStyle w:val="6"/>
        <w:adjustRightInd w:val="0"/>
        <w:snapToGrid w:val="0"/>
        <w:spacing w:before="93" w:line="600" w:lineRule="exact"/>
        <w:ind w:firstLine="672" w:firstLineChars="210"/>
        <w:outlineLvl w:val="2"/>
        <w:rPr>
          <w:rFonts w:ascii="仿宋" w:hAnsi="仿宋" w:eastAsia="仿宋"/>
          <w:bCs/>
          <w:color w:val="000000"/>
          <w:sz w:val="32"/>
          <w:szCs w:val="32"/>
        </w:rPr>
      </w:pPr>
      <w:bookmarkStart w:id="32" w:name="_Toc50621919"/>
      <w:bookmarkStart w:id="33" w:name="_Toc50622808"/>
      <w:r>
        <w:rPr>
          <w:rFonts w:hint="eastAsia" w:ascii="仿宋" w:hAnsi="仿宋" w:eastAsia="仿宋"/>
          <w:bCs/>
          <w:color w:val="000000"/>
          <w:sz w:val="32"/>
          <w:szCs w:val="32"/>
        </w:rPr>
        <w:t>（二）</w:t>
      </w:r>
      <w:r>
        <w:rPr>
          <w:rFonts w:ascii="仿宋" w:hAnsi="仿宋" w:eastAsia="仿宋"/>
          <w:bCs/>
          <w:color w:val="000000"/>
          <w:sz w:val="32"/>
          <w:szCs w:val="32"/>
        </w:rPr>
        <w:t>2019</w:t>
      </w:r>
      <w:r>
        <w:rPr>
          <w:rFonts w:hint="eastAsia" w:ascii="仿宋" w:hAnsi="仿宋" w:eastAsia="仿宋"/>
          <w:bCs/>
          <w:color w:val="000000"/>
          <w:sz w:val="32"/>
          <w:szCs w:val="32"/>
        </w:rPr>
        <w:t>年重点工作完成情况。</w:t>
      </w:r>
      <w:bookmarkEnd w:id="28"/>
      <w:bookmarkEnd w:id="29"/>
      <w:bookmarkEnd w:id="32"/>
      <w:bookmarkEnd w:id="33"/>
    </w:p>
    <w:p>
      <w:pPr>
        <w:spacing w:line="578" w:lineRule="exact"/>
        <w:ind w:firstLine="640" w:firstLineChars="200"/>
        <w:rPr>
          <w:rFonts w:ascii="仿宋" w:hAnsi="仿宋" w:eastAsia="仿宋"/>
          <w:sz w:val="32"/>
          <w:szCs w:val="32"/>
        </w:rPr>
      </w:pPr>
      <w:r>
        <w:rPr>
          <w:rFonts w:ascii="仿宋" w:hAnsi="仿宋" w:eastAsia="仿宋"/>
          <w:sz w:val="32"/>
          <w:szCs w:val="32"/>
        </w:rPr>
        <w:t>2019</w:t>
      </w:r>
      <w:r>
        <w:rPr>
          <w:rFonts w:hint="eastAsia" w:ascii="仿宋" w:hAnsi="仿宋" w:eastAsia="仿宋"/>
          <w:sz w:val="32"/>
          <w:szCs w:val="32"/>
        </w:rPr>
        <w:t>年以来，县检察院在县委和市检察院的坚强领导下，在县人大及其常委会法律监督下，在县政府大力支持、县政协民主监督和人民群众的社会监督下，以习近平新时代中国特色社会主义思想为指导，深入贯彻党的十九大、十九届四中全会精神，认真落实“讲政治、顾大局、谋发展、重自强”工作要求，</w:t>
      </w:r>
      <w:r>
        <w:rPr>
          <w:rFonts w:hint="eastAsia" w:ascii="仿宋" w:hAnsi="仿宋" w:eastAsia="仿宋"/>
          <w:bCs/>
          <w:snapToGrid w:val="0"/>
          <w:kern w:val="0"/>
          <w:sz w:val="32"/>
          <w:szCs w:val="32"/>
        </w:rPr>
        <w:t>主动转变监督理念，全力推动“四大检察”“十大业务”全面协调发展，为加快实现“三个定位”，奋力争当“创副”排头兵提供强有力的司法保障</w:t>
      </w:r>
      <w:r>
        <w:rPr>
          <w:rFonts w:hint="eastAsia" w:ascii="仿宋" w:hAnsi="仿宋" w:eastAsia="仿宋"/>
          <w:sz w:val="32"/>
          <w:szCs w:val="32"/>
        </w:rPr>
        <w:t>。</w:t>
      </w:r>
      <w:r>
        <w:rPr>
          <w:rFonts w:hint="eastAsia" w:ascii="仿宋" w:hAnsi="仿宋" w:eastAsia="仿宋" w:cs="楷体_GB2312"/>
          <w:b/>
          <w:sz w:val="32"/>
          <w:szCs w:val="32"/>
        </w:rPr>
        <w:t>一是</w:t>
      </w:r>
      <w:r>
        <w:rPr>
          <w:rFonts w:hint="eastAsia" w:ascii="仿宋" w:hAnsi="仿宋" w:eastAsia="仿宋"/>
          <w:b/>
          <w:sz w:val="32"/>
          <w:szCs w:val="32"/>
        </w:rPr>
        <w:t>做优刑事诉讼检察。</w:t>
      </w:r>
      <w:r>
        <w:rPr>
          <w:rFonts w:hint="eastAsia" w:ascii="仿宋" w:hAnsi="仿宋" w:eastAsia="仿宋"/>
          <w:sz w:val="32"/>
          <w:szCs w:val="32"/>
        </w:rPr>
        <w:t>大力推进平安渠县建设，批捕刑事犯罪</w:t>
      </w:r>
      <w:r>
        <w:rPr>
          <w:rFonts w:ascii="仿宋" w:hAnsi="仿宋" w:eastAsia="仿宋"/>
          <w:sz w:val="32"/>
          <w:szCs w:val="32"/>
        </w:rPr>
        <w:t>257</w:t>
      </w:r>
      <w:r>
        <w:rPr>
          <w:rFonts w:hint="eastAsia" w:ascii="仿宋" w:hAnsi="仿宋" w:eastAsia="仿宋"/>
          <w:sz w:val="32"/>
          <w:szCs w:val="32"/>
        </w:rPr>
        <w:t>人，起诉</w:t>
      </w:r>
      <w:r>
        <w:rPr>
          <w:rFonts w:ascii="仿宋" w:hAnsi="仿宋" w:eastAsia="仿宋"/>
          <w:sz w:val="32"/>
          <w:szCs w:val="32"/>
        </w:rPr>
        <w:t>389</w:t>
      </w:r>
      <w:r>
        <w:rPr>
          <w:rFonts w:hint="eastAsia" w:ascii="仿宋" w:hAnsi="仿宋" w:eastAsia="仿宋"/>
          <w:sz w:val="32"/>
          <w:szCs w:val="32"/>
        </w:rPr>
        <w:t>人，对涉嫌犯罪但情节轻微、无社会危险性的，决定不批准逮捕</w:t>
      </w:r>
      <w:r>
        <w:rPr>
          <w:rFonts w:ascii="仿宋" w:hAnsi="仿宋" w:eastAsia="仿宋"/>
          <w:sz w:val="32"/>
          <w:szCs w:val="32"/>
        </w:rPr>
        <w:t>29</w:t>
      </w:r>
      <w:r>
        <w:rPr>
          <w:rFonts w:hint="eastAsia" w:ascii="仿宋" w:hAnsi="仿宋" w:eastAsia="仿宋"/>
          <w:sz w:val="32"/>
          <w:szCs w:val="32"/>
        </w:rPr>
        <w:t>人，对犯罪情节轻微不需要判处刑罚的，决定不起诉</w:t>
      </w:r>
      <w:r>
        <w:rPr>
          <w:rFonts w:ascii="仿宋" w:hAnsi="仿宋" w:eastAsia="仿宋"/>
          <w:sz w:val="32"/>
          <w:szCs w:val="32"/>
        </w:rPr>
        <w:t>21</w:t>
      </w:r>
      <w:r>
        <w:rPr>
          <w:rFonts w:hint="eastAsia" w:ascii="仿宋" w:hAnsi="仿宋" w:eastAsia="仿宋"/>
          <w:sz w:val="32"/>
          <w:szCs w:val="32"/>
        </w:rPr>
        <w:t>人。强化侦查活动监督，书面纠正侦查违法行为</w:t>
      </w:r>
      <w:r>
        <w:rPr>
          <w:rFonts w:ascii="仿宋" w:hAnsi="仿宋" w:eastAsia="仿宋"/>
          <w:sz w:val="32"/>
          <w:szCs w:val="32"/>
        </w:rPr>
        <w:t>18</w:t>
      </w:r>
      <w:r>
        <w:rPr>
          <w:rFonts w:hint="eastAsia" w:ascii="仿宋" w:hAnsi="仿宋" w:eastAsia="仿宋"/>
          <w:sz w:val="32"/>
          <w:szCs w:val="32"/>
        </w:rPr>
        <w:t>件次，纠正漏捕漏诉</w:t>
      </w:r>
      <w:r>
        <w:rPr>
          <w:rFonts w:ascii="仿宋" w:hAnsi="仿宋" w:eastAsia="仿宋"/>
          <w:sz w:val="32"/>
          <w:szCs w:val="32"/>
        </w:rPr>
        <w:t>25</w:t>
      </w:r>
      <w:r>
        <w:rPr>
          <w:rFonts w:hint="eastAsia" w:ascii="仿宋" w:hAnsi="仿宋" w:eastAsia="仿宋"/>
          <w:sz w:val="32"/>
          <w:szCs w:val="32"/>
        </w:rPr>
        <w:t>人。强化审判活动监督，对认为确有错误的刑事裁判提出抗诉</w:t>
      </w:r>
      <w:r>
        <w:rPr>
          <w:rFonts w:ascii="仿宋" w:hAnsi="仿宋" w:eastAsia="仿宋"/>
          <w:sz w:val="32"/>
          <w:szCs w:val="32"/>
        </w:rPr>
        <w:t>5</w:t>
      </w:r>
      <w:r>
        <w:rPr>
          <w:rFonts w:hint="eastAsia" w:ascii="仿宋" w:hAnsi="仿宋" w:eastAsia="仿宋"/>
          <w:sz w:val="32"/>
          <w:szCs w:val="32"/>
        </w:rPr>
        <w:t>件。强化刑事执行监督，办理羁押必要性审查案件</w:t>
      </w:r>
      <w:r>
        <w:rPr>
          <w:rFonts w:ascii="仿宋" w:hAnsi="仿宋" w:eastAsia="仿宋"/>
          <w:sz w:val="32"/>
          <w:szCs w:val="32"/>
        </w:rPr>
        <w:t>15</w:t>
      </w:r>
      <w:r>
        <w:rPr>
          <w:rFonts w:hint="eastAsia" w:ascii="仿宋" w:hAnsi="仿宋" w:eastAsia="仿宋"/>
          <w:sz w:val="32"/>
          <w:szCs w:val="32"/>
        </w:rPr>
        <w:t>件，变更强制措施</w:t>
      </w:r>
      <w:r>
        <w:rPr>
          <w:rFonts w:ascii="仿宋" w:hAnsi="仿宋" w:eastAsia="仿宋"/>
          <w:sz w:val="32"/>
          <w:szCs w:val="32"/>
        </w:rPr>
        <w:t>15</w:t>
      </w:r>
      <w:r>
        <w:rPr>
          <w:rFonts w:hint="eastAsia" w:ascii="仿宋" w:hAnsi="仿宋" w:eastAsia="仿宋"/>
          <w:sz w:val="32"/>
          <w:szCs w:val="32"/>
        </w:rPr>
        <w:t>人；纠正社区矫正人员脱管</w:t>
      </w:r>
      <w:r>
        <w:rPr>
          <w:rFonts w:ascii="仿宋" w:hAnsi="仿宋" w:eastAsia="仿宋"/>
          <w:sz w:val="32"/>
          <w:szCs w:val="32"/>
        </w:rPr>
        <w:t>4</w:t>
      </w:r>
      <w:r>
        <w:rPr>
          <w:rFonts w:hint="eastAsia" w:ascii="仿宋" w:hAnsi="仿宋" w:eastAsia="仿宋"/>
          <w:sz w:val="32"/>
          <w:szCs w:val="32"/>
        </w:rPr>
        <w:t>人，刑事执行和监管活动违法</w:t>
      </w:r>
      <w:r>
        <w:rPr>
          <w:rFonts w:ascii="仿宋" w:hAnsi="仿宋" w:eastAsia="仿宋"/>
          <w:sz w:val="32"/>
          <w:szCs w:val="32"/>
        </w:rPr>
        <w:t>14</w:t>
      </w:r>
      <w:r>
        <w:rPr>
          <w:rFonts w:hint="eastAsia" w:ascii="仿宋" w:hAnsi="仿宋" w:eastAsia="仿宋"/>
          <w:sz w:val="32"/>
          <w:szCs w:val="32"/>
        </w:rPr>
        <w:t>件；办理财产刑执行监督案</w:t>
      </w:r>
      <w:r>
        <w:rPr>
          <w:rFonts w:ascii="仿宋" w:hAnsi="仿宋" w:eastAsia="仿宋"/>
          <w:sz w:val="32"/>
          <w:szCs w:val="32"/>
        </w:rPr>
        <w:t>3</w:t>
      </w:r>
      <w:r>
        <w:rPr>
          <w:rFonts w:hint="eastAsia" w:ascii="仿宋" w:hAnsi="仿宋" w:eastAsia="仿宋"/>
          <w:sz w:val="32"/>
          <w:szCs w:val="32"/>
        </w:rPr>
        <w:t>件；依法履行检察机关对司法工作人员相关职务犯罪的侦查权，发现并向市检察院移送线索</w:t>
      </w:r>
      <w:r>
        <w:rPr>
          <w:rFonts w:ascii="仿宋" w:hAnsi="仿宋" w:eastAsia="仿宋"/>
          <w:sz w:val="32"/>
          <w:szCs w:val="32"/>
        </w:rPr>
        <w:t>3</w:t>
      </w:r>
      <w:r>
        <w:rPr>
          <w:rFonts w:hint="eastAsia" w:ascii="仿宋" w:hAnsi="仿宋" w:eastAsia="仿宋"/>
          <w:sz w:val="32"/>
          <w:szCs w:val="32"/>
        </w:rPr>
        <w:t>条。</w:t>
      </w:r>
      <w:r>
        <w:rPr>
          <w:rFonts w:hint="eastAsia" w:ascii="仿宋" w:hAnsi="仿宋" w:eastAsia="仿宋" w:cs="仿宋_GB2312"/>
          <w:b/>
          <w:sz w:val="32"/>
          <w:szCs w:val="32"/>
        </w:rPr>
        <w:t>二是</w:t>
      </w:r>
      <w:r>
        <w:rPr>
          <w:rFonts w:hint="eastAsia" w:ascii="仿宋" w:hAnsi="仿宋" w:eastAsia="仿宋"/>
          <w:b/>
          <w:sz w:val="32"/>
          <w:szCs w:val="32"/>
        </w:rPr>
        <w:t>做精民事行政检察。</w:t>
      </w:r>
      <w:r>
        <w:rPr>
          <w:rFonts w:hint="eastAsia" w:ascii="仿宋" w:hAnsi="仿宋" w:eastAsia="仿宋"/>
          <w:sz w:val="32"/>
          <w:szCs w:val="32"/>
        </w:rPr>
        <w:t>办理各类民事行政诉讼监督案件</w:t>
      </w:r>
      <w:r>
        <w:rPr>
          <w:rFonts w:ascii="仿宋" w:hAnsi="仿宋" w:eastAsia="仿宋"/>
          <w:sz w:val="32"/>
          <w:szCs w:val="32"/>
        </w:rPr>
        <w:t>16</w:t>
      </w:r>
      <w:r>
        <w:rPr>
          <w:rFonts w:hint="eastAsia" w:ascii="仿宋" w:hAnsi="仿宋" w:eastAsia="仿宋"/>
          <w:sz w:val="32"/>
          <w:szCs w:val="32"/>
        </w:rPr>
        <w:t>件，其中对民事行政执行活动和审判程序中的违法情形提出检察建议</w:t>
      </w:r>
      <w:r>
        <w:rPr>
          <w:rFonts w:ascii="仿宋" w:hAnsi="仿宋" w:eastAsia="仿宋"/>
          <w:sz w:val="32"/>
          <w:szCs w:val="32"/>
        </w:rPr>
        <w:t>10</w:t>
      </w:r>
      <w:r>
        <w:rPr>
          <w:rFonts w:hint="eastAsia" w:ascii="仿宋" w:hAnsi="仿宋" w:eastAsia="仿宋"/>
          <w:sz w:val="32"/>
          <w:szCs w:val="32"/>
        </w:rPr>
        <w:t>件，对认为确有错误的民事行政生效判决、裁定提出抗诉和再审检察建议</w:t>
      </w:r>
      <w:r>
        <w:rPr>
          <w:rFonts w:ascii="仿宋" w:hAnsi="仿宋" w:eastAsia="仿宋"/>
          <w:sz w:val="32"/>
          <w:szCs w:val="32"/>
        </w:rPr>
        <w:t>4</w:t>
      </w:r>
      <w:r>
        <w:rPr>
          <w:rFonts w:hint="eastAsia" w:ascii="仿宋" w:hAnsi="仿宋" w:eastAsia="仿宋"/>
          <w:sz w:val="32"/>
          <w:szCs w:val="32"/>
        </w:rPr>
        <w:t>件。强化虚假诉讼监督，发现并监督虚假诉讼案件线索</w:t>
      </w:r>
      <w:r>
        <w:rPr>
          <w:rFonts w:ascii="仿宋" w:hAnsi="仿宋" w:eastAsia="仿宋"/>
          <w:sz w:val="32"/>
          <w:szCs w:val="32"/>
        </w:rPr>
        <w:t>1</w:t>
      </w:r>
      <w:r>
        <w:rPr>
          <w:rFonts w:hint="eastAsia" w:ascii="仿宋" w:hAnsi="仿宋" w:eastAsia="仿宋"/>
          <w:sz w:val="32"/>
          <w:szCs w:val="32"/>
        </w:rPr>
        <w:t>件。对发现的社会治理问题和漏洞，向有关部门提出检察建议</w:t>
      </w:r>
      <w:r>
        <w:rPr>
          <w:rFonts w:ascii="仿宋" w:hAnsi="仿宋" w:eastAsia="仿宋"/>
          <w:sz w:val="32"/>
          <w:szCs w:val="32"/>
        </w:rPr>
        <w:t>5</w:t>
      </w:r>
      <w:r>
        <w:rPr>
          <w:rFonts w:hint="eastAsia" w:ascii="仿宋" w:hAnsi="仿宋" w:eastAsia="仿宋"/>
          <w:sz w:val="32"/>
          <w:szCs w:val="32"/>
        </w:rPr>
        <w:t>件。办理民事执行活动监督案件</w:t>
      </w:r>
      <w:r>
        <w:rPr>
          <w:rFonts w:ascii="仿宋" w:hAnsi="仿宋" w:eastAsia="仿宋"/>
          <w:sz w:val="32"/>
          <w:szCs w:val="32"/>
        </w:rPr>
        <w:t>4</w:t>
      </w:r>
      <w:r>
        <w:rPr>
          <w:rFonts w:hint="eastAsia" w:ascii="仿宋" w:hAnsi="仿宋" w:eastAsia="仿宋"/>
          <w:sz w:val="32"/>
          <w:szCs w:val="32"/>
        </w:rPr>
        <w:t>件、非诉执行活动监督</w:t>
      </w:r>
      <w:r>
        <w:rPr>
          <w:rFonts w:ascii="仿宋" w:hAnsi="仿宋" w:eastAsia="仿宋"/>
          <w:sz w:val="32"/>
          <w:szCs w:val="32"/>
        </w:rPr>
        <w:t>2</w:t>
      </w:r>
      <w:r>
        <w:rPr>
          <w:rFonts w:hint="eastAsia" w:ascii="仿宋" w:hAnsi="仿宋" w:eastAsia="仿宋"/>
          <w:sz w:val="32"/>
          <w:szCs w:val="32"/>
        </w:rPr>
        <w:t>件。</w:t>
      </w:r>
      <w:r>
        <w:rPr>
          <w:rFonts w:hint="eastAsia" w:ascii="仿宋" w:hAnsi="仿宋" w:eastAsia="仿宋" w:cs="仿宋_GB2312"/>
          <w:b/>
          <w:sz w:val="32"/>
          <w:szCs w:val="32"/>
        </w:rPr>
        <w:t>三是</w:t>
      </w:r>
      <w:r>
        <w:rPr>
          <w:rFonts w:hint="eastAsia" w:ascii="仿宋" w:hAnsi="仿宋" w:eastAsia="仿宋"/>
          <w:b/>
          <w:sz w:val="32"/>
          <w:szCs w:val="32"/>
        </w:rPr>
        <w:t>做好公益诉讼检察。</w:t>
      </w:r>
      <w:r>
        <w:rPr>
          <w:rFonts w:hint="eastAsia" w:ascii="仿宋" w:hAnsi="仿宋" w:eastAsia="仿宋"/>
          <w:sz w:val="32"/>
          <w:szCs w:val="32"/>
        </w:rPr>
        <w:t>办理公益诉讼案件</w:t>
      </w:r>
      <w:r>
        <w:rPr>
          <w:rFonts w:ascii="仿宋" w:hAnsi="仿宋" w:eastAsia="仿宋"/>
          <w:sz w:val="32"/>
          <w:szCs w:val="32"/>
        </w:rPr>
        <w:t>71</w:t>
      </w:r>
      <w:r>
        <w:rPr>
          <w:rFonts w:hint="eastAsia" w:ascii="仿宋" w:hAnsi="仿宋" w:eastAsia="仿宋"/>
          <w:sz w:val="32"/>
          <w:szCs w:val="32"/>
        </w:rPr>
        <w:t>件，发出诉前检察建议</w:t>
      </w:r>
      <w:r>
        <w:rPr>
          <w:rFonts w:ascii="仿宋" w:hAnsi="仿宋" w:eastAsia="仿宋"/>
          <w:sz w:val="32"/>
          <w:szCs w:val="32"/>
        </w:rPr>
        <w:t>33</w:t>
      </w:r>
      <w:r>
        <w:rPr>
          <w:rFonts w:hint="eastAsia" w:ascii="仿宋" w:hAnsi="仿宋" w:eastAsia="仿宋"/>
          <w:sz w:val="32"/>
          <w:szCs w:val="32"/>
        </w:rPr>
        <w:t>件。提起刑事附带民事公益诉讼</w:t>
      </w:r>
      <w:r>
        <w:rPr>
          <w:rFonts w:ascii="仿宋" w:hAnsi="仿宋" w:eastAsia="仿宋"/>
          <w:sz w:val="32"/>
          <w:szCs w:val="32"/>
        </w:rPr>
        <w:t>2</w:t>
      </w:r>
      <w:r>
        <w:rPr>
          <w:rFonts w:hint="eastAsia" w:ascii="仿宋" w:hAnsi="仿宋" w:eastAsia="仿宋"/>
          <w:sz w:val="32"/>
          <w:szCs w:val="32"/>
        </w:rPr>
        <w:t>件，法院均判决支持。其中，针对王某某非法捕捞水产品案提起的刑附民公益诉讼，会同河长办、农业农村局等部门督促王某某向渠江河投放鱼苗</w:t>
      </w:r>
      <w:r>
        <w:rPr>
          <w:rFonts w:ascii="仿宋" w:hAnsi="仿宋" w:eastAsia="仿宋"/>
          <w:sz w:val="32"/>
          <w:szCs w:val="32"/>
        </w:rPr>
        <w:t>30000</w:t>
      </w:r>
      <w:r>
        <w:rPr>
          <w:rFonts w:hint="eastAsia" w:ascii="仿宋" w:hAnsi="仿宋" w:eastAsia="仿宋"/>
          <w:sz w:val="32"/>
          <w:szCs w:val="32"/>
        </w:rPr>
        <w:t>余尾。</w:t>
      </w:r>
    </w:p>
    <w:p>
      <w:pPr>
        <w:pStyle w:val="3"/>
        <w:spacing w:line="415" w:lineRule="auto"/>
        <w:ind w:firstLine="643" w:firstLineChars="200"/>
        <w:jc w:val="left"/>
        <w:rPr>
          <w:rFonts w:ascii="黑体" w:hAnsi="黑体" w:eastAsia="黑体"/>
        </w:rPr>
      </w:pPr>
      <w:bookmarkStart w:id="34" w:name="_Toc50622809"/>
      <w:bookmarkStart w:id="35" w:name="_Toc50621920"/>
      <w:bookmarkStart w:id="36" w:name="_Toc15377200"/>
      <w:bookmarkStart w:id="37" w:name="_Toc15396601"/>
      <w:r>
        <w:rPr>
          <w:rFonts w:hint="eastAsia" w:ascii="黑体" w:hAnsi="黑体" w:eastAsia="黑体"/>
        </w:rPr>
        <w:t>二、机构设置</w:t>
      </w:r>
      <w:bookmarkEnd w:id="34"/>
      <w:bookmarkEnd w:id="35"/>
      <w:bookmarkEnd w:id="36"/>
      <w:bookmarkEnd w:id="37"/>
    </w:p>
    <w:p>
      <w:pPr>
        <w:ind w:firstLine="800" w:firstLineChars="250"/>
        <w:rPr>
          <w:rFonts w:ascii="仿宋" w:hAnsi="仿宋" w:eastAsia="仿宋"/>
          <w:sz w:val="32"/>
          <w:szCs w:val="32"/>
        </w:rPr>
      </w:pPr>
      <w:r>
        <w:rPr>
          <w:rFonts w:hint="eastAsia" w:ascii="仿宋" w:hAnsi="仿宋" w:eastAsia="仿宋"/>
          <w:sz w:val="32"/>
          <w:szCs w:val="32"/>
        </w:rPr>
        <w:t>渠县人民检察院下属二级单位</w:t>
      </w:r>
      <w:r>
        <w:rPr>
          <w:rFonts w:ascii="仿宋" w:hAnsi="仿宋" w:eastAsia="仿宋"/>
          <w:sz w:val="32"/>
          <w:szCs w:val="32"/>
        </w:rPr>
        <w:t>0</w:t>
      </w:r>
      <w:r>
        <w:rPr>
          <w:rFonts w:hint="eastAsia" w:ascii="仿宋" w:hAnsi="仿宋" w:eastAsia="仿宋"/>
          <w:sz w:val="32"/>
          <w:szCs w:val="32"/>
        </w:rPr>
        <w:t>个，其中行政单位</w:t>
      </w:r>
      <w:r>
        <w:rPr>
          <w:rFonts w:ascii="仿宋" w:hAnsi="仿宋" w:eastAsia="仿宋"/>
          <w:sz w:val="32"/>
          <w:szCs w:val="32"/>
        </w:rPr>
        <w:t>0</w:t>
      </w:r>
      <w:r>
        <w:rPr>
          <w:rFonts w:hint="eastAsia" w:ascii="仿宋" w:hAnsi="仿宋" w:eastAsia="仿宋"/>
          <w:sz w:val="32"/>
          <w:szCs w:val="32"/>
        </w:rPr>
        <w:t>个，参照公务员法管理的事业单位</w:t>
      </w:r>
      <w:r>
        <w:rPr>
          <w:rFonts w:ascii="仿宋" w:hAnsi="仿宋" w:eastAsia="仿宋"/>
          <w:bCs/>
          <w:sz w:val="32"/>
          <w:szCs w:val="32"/>
        </w:rPr>
        <w:t>0</w:t>
      </w:r>
      <w:r>
        <w:rPr>
          <w:rFonts w:hint="eastAsia" w:ascii="仿宋" w:hAnsi="仿宋" w:eastAsia="仿宋"/>
          <w:sz w:val="32"/>
          <w:szCs w:val="32"/>
        </w:rPr>
        <w:t>个，其他事业单位</w:t>
      </w:r>
      <w:r>
        <w:rPr>
          <w:rFonts w:ascii="仿宋" w:hAnsi="仿宋" w:eastAsia="仿宋"/>
          <w:sz w:val="32"/>
          <w:szCs w:val="32"/>
        </w:rPr>
        <w:t>0</w:t>
      </w:r>
      <w:r>
        <w:rPr>
          <w:rFonts w:hint="eastAsia" w:ascii="仿宋" w:hAnsi="仿宋" w:eastAsia="仿宋"/>
          <w:sz w:val="32"/>
          <w:szCs w:val="32"/>
        </w:rPr>
        <w:t>个。</w:t>
      </w: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ind w:firstLine="800" w:firstLineChars="250"/>
        <w:rPr>
          <w:rFonts w:ascii="仿宋" w:hAnsi="仿宋" w:eastAsia="仿宋"/>
          <w:sz w:val="32"/>
          <w:szCs w:val="32"/>
        </w:rPr>
      </w:pPr>
    </w:p>
    <w:p>
      <w:pPr>
        <w:pStyle w:val="2"/>
        <w:jc w:val="center"/>
        <w:rPr>
          <w:rFonts w:ascii="黑体" w:hAnsi="黑体" w:eastAsia="黑体"/>
        </w:rPr>
      </w:pPr>
      <w:bookmarkStart w:id="38" w:name="_Toc50622810"/>
      <w:bookmarkStart w:id="39" w:name="_Toc50621921"/>
      <w:bookmarkStart w:id="40" w:name="_Toc15396602"/>
      <w:bookmarkStart w:id="41" w:name="_Toc15377204"/>
      <w:r>
        <w:rPr>
          <w:rFonts w:hint="eastAsia" w:ascii="黑体" w:hAnsi="黑体" w:eastAsia="黑体"/>
        </w:rPr>
        <w:t>第二部分</w:t>
      </w:r>
      <w:r>
        <w:rPr>
          <w:rFonts w:ascii="黑体" w:hAnsi="黑体" w:eastAsia="黑体"/>
        </w:rPr>
        <w:t xml:space="preserve"> 2019</w:t>
      </w:r>
      <w:r>
        <w:rPr>
          <w:rFonts w:hint="eastAsia" w:ascii="黑体" w:hAnsi="黑体" w:eastAsia="黑体"/>
        </w:rPr>
        <w:t>年度部门决算情况说明</w:t>
      </w:r>
      <w:bookmarkEnd w:id="38"/>
      <w:bookmarkEnd w:id="39"/>
      <w:bookmarkEnd w:id="40"/>
      <w:bookmarkEnd w:id="41"/>
    </w:p>
    <w:p/>
    <w:p>
      <w:pPr>
        <w:pStyle w:val="3"/>
        <w:spacing w:line="415" w:lineRule="auto"/>
        <w:ind w:firstLine="643" w:firstLineChars="200"/>
        <w:rPr>
          <w:rFonts w:ascii="黑体" w:hAnsi="黑体" w:eastAsia="黑体"/>
        </w:rPr>
      </w:pPr>
      <w:bookmarkStart w:id="42" w:name="_Toc50622811"/>
      <w:bookmarkStart w:id="43" w:name="_Toc50621922"/>
      <w:bookmarkStart w:id="44" w:name="_Toc15396603"/>
      <w:bookmarkStart w:id="45" w:name="_Toc15377205"/>
      <w:r>
        <w:rPr>
          <w:rFonts w:hint="eastAsia" w:ascii="黑体" w:hAnsi="黑体" w:eastAsia="黑体"/>
          <w:color w:val="000000"/>
        </w:rPr>
        <w:t>一、收</w:t>
      </w:r>
      <w:r>
        <w:rPr>
          <w:rFonts w:hint="eastAsia" w:ascii="黑体" w:hAnsi="黑体" w:eastAsia="黑体"/>
        </w:rPr>
        <w:t>入支出决算总体情况说明</w:t>
      </w:r>
      <w:bookmarkEnd w:id="42"/>
      <w:bookmarkEnd w:id="43"/>
      <w:bookmarkEnd w:id="44"/>
      <w:bookmarkEnd w:id="45"/>
    </w:p>
    <w:p>
      <w:pPr>
        <w:ind w:firstLine="640" w:firstLineChars="200"/>
        <w:rPr>
          <w:rFonts w:ascii="仿宋" w:hAnsi="仿宋" w:eastAsia="仿宋"/>
          <w:sz w:val="32"/>
          <w:szCs w:val="32"/>
        </w:rPr>
      </w:pPr>
      <w:r>
        <w:rPr>
          <w:rFonts w:ascii="仿宋" w:hAnsi="仿宋" w:eastAsia="仿宋"/>
          <w:sz w:val="32"/>
          <w:szCs w:val="32"/>
        </w:rPr>
        <w:t>2019</w:t>
      </w:r>
      <w:r>
        <w:rPr>
          <w:rFonts w:hint="eastAsia" w:ascii="仿宋" w:hAnsi="仿宋" w:eastAsia="仿宋"/>
          <w:sz w:val="32"/>
          <w:szCs w:val="32"/>
        </w:rPr>
        <w:t>年度收入</w:t>
      </w:r>
      <w:r>
        <w:rPr>
          <w:rFonts w:ascii="仿宋" w:hAnsi="仿宋" w:eastAsia="仿宋"/>
          <w:sz w:val="32"/>
          <w:szCs w:val="32"/>
        </w:rPr>
        <w:t>2694.5</w:t>
      </w:r>
      <w:r>
        <w:rPr>
          <w:rFonts w:hint="eastAsia" w:ascii="仿宋" w:hAnsi="仿宋" w:eastAsia="仿宋"/>
          <w:sz w:val="32"/>
          <w:szCs w:val="32"/>
        </w:rPr>
        <w:t>万元，支出</w:t>
      </w:r>
      <w:r>
        <w:rPr>
          <w:rFonts w:ascii="仿宋" w:hAnsi="仿宋" w:eastAsia="仿宋"/>
          <w:sz w:val="32"/>
          <w:szCs w:val="32"/>
        </w:rPr>
        <w:t>1905.5</w:t>
      </w:r>
      <w:r>
        <w:rPr>
          <w:rFonts w:hint="eastAsia" w:ascii="仿宋" w:hAnsi="仿宋" w:eastAsia="仿宋"/>
          <w:sz w:val="32"/>
          <w:szCs w:val="32"/>
        </w:rPr>
        <w:t>万元，年末结转</w:t>
      </w:r>
      <w:r>
        <w:rPr>
          <w:rFonts w:ascii="仿宋" w:hAnsi="仿宋" w:eastAsia="仿宋"/>
          <w:sz w:val="32"/>
          <w:szCs w:val="32"/>
        </w:rPr>
        <w:t>789</w:t>
      </w:r>
      <w:r>
        <w:rPr>
          <w:rFonts w:hint="eastAsia" w:ascii="仿宋" w:hAnsi="仿宋" w:eastAsia="仿宋"/>
          <w:sz w:val="32"/>
          <w:szCs w:val="32"/>
        </w:rPr>
        <w:t>万元。与</w:t>
      </w:r>
      <w:r>
        <w:rPr>
          <w:rFonts w:ascii="仿宋" w:hAnsi="仿宋" w:eastAsia="仿宋"/>
          <w:sz w:val="32"/>
          <w:szCs w:val="32"/>
        </w:rPr>
        <w:t>2018</w:t>
      </w:r>
      <w:r>
        <w:rPr>
          <w:rFonts w:hint="eastAsia" w:ascii="仿宋" w:hAnsi="仿宋" w:eastAsia="仿宋"/>
          <w:sz w:val="32"/>
          <w:szCs w:val="32"/>
        </w:rPr>
        <w:t>年相比，收入增加</w:t>
      </w:r>
      <w:r>
        <w:rPr>
          <w:rFonts w:ascii="仿宋" w:hAnsi="仿宋" w:eastAsia="仿宋"/>
          <w:sz w:val="32"/>
          <w:szCs w:val="32"/>
        </w:rPr>
        <w:t>526.77</w:t>
      </w:r>
      <w:r>
        <w:rPr>
          <w:rFonts w:hint="eastAsia" w:ascii="仿宋" w:hAnsi="仿宋" w:eastAsia="仿宋"/>
          <w:sz w:val="32"/>
          <w:szCs w:val="32"/>
        </w:rPr>
        <w:t>万元，同比增长</w:t>
      </w:r>
      <w:r>
        <w:rPr>
          <w:rFonts w:ascii="仿宋" w:hAnsi="仿宋" w:eastAsia="仿宋"/>
          <w:sz w:val="32"/>
          <w:szCs w:val="32"/>
        </w:rPr>
        <w:t>24.3%</w:t>
      </w:r>
      <w:r>
        <w:rPr>
          <w:rFonts w:hint="eastAsia" w:ascii="仿宋" w:hAnsi="仿宋" w:eastAsia="仿宋"/>
          <w:sz w:val="32"/>
          <w:szCs w:val="32"/>
        </w:rPr>
        <w:t>；支出减少</w:t>
      </w:r>
      <w:r>
        <w:rPr>
          <w:rFonts w:ascii="仿宋" w:hAnsi="仿宋" w:eastAsia="仿宋"/>
          <w:sz w:val="32"/>
          <w:szCs w:val="32"/>
        </w:rPr>
        <w:t>262.23</w:t>
      </w:r>
      <w:r>
        <w:rPr>
          <w:rFonts w:hint="eastAsia" w:ascii="仿宋" w:hAnsi="仿宋" w:eastAsia="仿宋"/>
          <w:sz w:val="32"/>
          <w:szCs w:val="32"/>
        </w:rPr>
        <w:t>万元，同比减少</w:t>
      </w:r>
      <w:r>
        <w:rPr>
          <w:rFonts w:ascii="仿宋" w:hAnsi="仿宋" w:eastAsia="仿宋"/>
          <w:sz w:val="32"/>
          <w:szCs w:val="32"/>
        </w:rPr>
        <w:t>12.1%</w:t>
      </w:r>
      <w:r>
        <w:rPr>
          <w:rFonts w:hint="eastAsia" w:ascii="仿宋" w:hAnsi="仿宋" w:eastAsia="仿宋"/>
          <w:sz w:val="32"/>
          <w:szCs w:val="32"/>
        </w:rPr>
        <w:t>。主要变动原因是检察办案业务增多，预算增加；</w:t>
      </w:r>
      <w:r>
        <w:rPr>
          <w:rFonts w:ascii="仿宋" w:hAnsi="仿宋" w:eastAsia="仿宋"/>
          <w:sz w:val="32"/>
          <w:szCs w:val="32"/>
        </w:rPr>
        <w:t>2019</w:t>
      </w:r>
      <w:r>
        <w:rPr>
          <w:rFonts w:hint="eastAsia" w:ascii="仿宋" w:hAnsi="仿宋" w:eastAsia="仿宋"/>
          <w:sz w:val="32"/>
          <w:szCs w:val="32"/>
        </w:rPr>
        <w:t>年厉行节约，压缩支出，部分项目未完成，结转下年。</w:t>
      </w:r>
    </w:p>
    <w:p>
      <w:pPr>
        <w:widowControl/>
        <w:jc w:val="left"/>
        <w:rPr>
          <w:rFonts w:eastAsia="Times New Roman"/>
        </w:rPr>
      </w:pPr>
      <w:r>
        <w:pict>
          <v:rect id="_x0000_s1026" o:spid="_x0000_s1026" o:spt="1" style="position:absolute;left:0pt;margin-left:0pt;margin-top:4.15pt;height:303.05pt;width:317.3pt;z-index:251658240;mso-width-relative:page;mso-height-relative:page;" filled="f" coordsize="21600,21600">
            <v:path/>
            <v:fill on="f" focussize="0,0"/>
            <v:stroke weight="0pt"/>
            <v:imagedata o:title=""/>
            <o:lock v:ext="edit"/>
            <v:textbox>
              <w:txbxContent>
                <w:p/>
              </w:txbxContent>
            </v:textbox>
          </v:rect>
        </w:pict>
      </w:r>
      <w:r>
        <w:pict>
          <v:group id="_x0000_s1027" o:spid="_x0000_s1027" o:spt="203" style="height:303.15pt;width:317.4pt;" coordorigin="74,74" coordsize="6348,6063" editas="canvas">
            <o:lock v:ext="edit"/>
            <v:shape id="_x0000_s1028" o:spid="_x0000_s1028" o:spt="75" type="#_x0000_t75" style="position:absolute;left:74;top:74;height:6063;width:6348;" filled="f" o:preferrelative="f" stroked="f" coordsize="21600,21600">
              <v:fill on="f" focussize="0,0"/>
              <v:stroke on="f" joinstyle="miter"/>
              <v:imagedata o:title=""/>
              <o:lock v:ext="edit" text="t" aspectratio="t"/>
            </v:shape>
            <v:rect id="_x0000_s1029" o:spid="_x0000_s1029" o:spt="1" style="position:absolute;left:75;top:75;height:6061;width:6346;" coordsize="21600,21600">
              <v:path/>
              <v:fill focussize="0,0"/>
              <v:stroke weight="0pt"/>
              <v:imagedata o:title=""/>
              <o:lock v:ext="edit"/>
            </v:rect>
            <v:rect id="_x0000_s1030" o:spid="_x0000_s1030" o:spt="1" style="position:absolute;left:645;top:930;height:4066;width:5551;" stroked="f" coordsize="21600,21600">
              <v:path/>
              <v:fill focussize="0,0"/>
              <v:stroke on="f"/>
              <v:imagedata o:title=""/>
              <o:lock v:ext="edit"/>
            </v:rect>
            <v:line id="_x0000_s1031" o:spid="_x0000_s1031" o:spt="20" style="position:absolute;left:645;top:4321;height:0;width:5551;" coordsize="21600,21600">
              <v:path arrowok="t"/>
              <v:fill focussize="0,0"/>
              <v:stroke weight="0pt"/>
              <v:imagedata o:title=""/>
              <o:lock v:ext="edit"/>
            </v:line>
            <v:line id="_x0000_s1032" o:spid="_x0000_s1032" o:spt="20" style="position:absolute;left:645;top:3645;height:0;width:5551;" coordsize="21600,21600">
              <v:path arrowok="t"/>
              <v:fill focussize="0,0"/>
              <v:stroke weight="0pt"/>
              <v:imagedata o:title=""/>
              <o:lock v:ext="edit"/>
            </v:line>
            <v:line id="_x0000_s1033" o:spid="_x0000_s1033" o:spt="20" style="position:absolute;left:645;top:2970;height:0;width:5551;" coordsize="21600,21600">
              <v:path arrowok="t"/>
              <v:fill focussize="0,0"/>
              <v:stroke weight="0pt"/>
              <v:imagedata o:title=""/>
              <o:lock v:ext="edit"/>
            </v:line>
            <v:line id="_x0000_s1034" o:spid="_x0000_s1034" o:spt="20" style="position:absolute;left:645;top:2280;height:0;width:5551;" coordsize="21600,21600">
              <v:path arrowok="t"/>
              <v:fill focussize="0,0"/>
              <v:stroke weight="0pt"/>
              <v:imagedata o:title=""/>
              <o:lock v:ext="edit"/>
            </v:line>
            <v:line id="_x0000_s1035" o:spid="_x0000_s1035" o:spt="20" style="position:absolute;left:645;top:1605;height:0;width:5551;" coordsize="21600,21600">
              <v:path arrowok="t"/>
              <v:fill focussize="0,0"/>
              <v:stroke weight="0pt"/>
              <v:imagedata o:title=""/>
              <o:lock v:ext="edit"/>
            </v:line>
            <v:line id="_x0000_s1036" o:spid="_x0000_s1036" o:spt="20" style="position:absolute;left:645;top:930;height:0;width:5551;" coordsize="21600,21600">
              <v:path arrowok="t"/>
              <v:fill focussize="0,0"/>
              <v:stroke weight="0pt"/>
              <v:imagedata o:title=""/>
              <o:lock v:ext="edit"/>
            </v:line>
            <v:rect id="_x0000_s1037" o:spid="_x0000_s1037" o:spt="1" style="position:absolute;left:645;top:930;height:4066;width:5551;" filled="f" stroked="t" coordsize="21600,21600">
              <v:path/>
              <v:fill on="f" focussize="0,0"/>
              <v:stroke color="#808080"/>
              <v:imagedata o:title=""/>
              <o:lock v:ext="edit"/>
            </v:rect>
            <v:rect id="_x0000_s1038" o:spid="_x0000_s1038" o:spt="1" style="position:absolute;left:870;top:1350;height:3646;width:930;" fillcolor="#33CCCC" filled="t" coordsize="21600,21600">
              <v:path/>
              <v:fill on="t" focussize="0,0"/>
              <v:stroke/>
              <v:imagedata o:title=""/>
              <o:lock v:ext="edit"/>
            </v:rect>
            <v:rect id="_x0000_s1039" o:spid="_x0000_s1039" o:spt="1" style="position:absolute;left:2265;top:2055;height:2941;width:915;" fillcolor="#FF6600" filled="t" coordsize="21600,21600">
              <v:path/>
              <v:fill on="t" focussize="0,0"/>
              <v:stroke/>
              <v:imagedata o:title=""/>
              <o:lock v:ext="edit"/>
            </v:rect>
            <v:rect id="_x0000_s1040" o:spid="_x0000_s1040" o:spt="1" style="position:absolute;left:3646;top:2415;height:2581;width:930;" fillcolor="#003366" filled="t" coordsize="21600,21600">
              <v:path/>
              <v:fill on="t" focussize="0,0"/>
              <v:stroke/>
              <v:imagedata o:title=""/>
              <o:lock v:ext="edit"/>
            </v:rect>
            <v:rect id="_x0000_s1041" o:spid="_x0000_s1041" o:spt="1" style="position:absolute;left:5041;top:2055;height:2941;width:915;" fillcolor="#993366" filled="t" coordsize="21600,21600">
              <v:path/>
              <v:fill on="t" focussize="0,0"/>
              <v:stroke/>
              <v:imagedata o:title=""/>
              <o:lock v:ext="edit"/>
            </v:rect>
            <v:line id="_x0000_s1042" o:spid="_x0000_s1042" o:spt="20" style="position:absolute;left:645;top:930;height:4066;width:0;" coordsize="21600,21600">
              <v:path arrowok="t"/>
              <v:fill focussize="0,0"/>
              <v:stroke weight="0pt"/>
              <v:imagedata o:title=""/>
              <o:lock v:ext="edit"/>
            </v:line>
            <v:line id="_x0000_s1043" o:spid="_x0000_s1043" o:spt="20" style="position:absolute;left:645;top:4996;height:0;width:45;" coordsize="21600,21600">
              <v:path arrowok="t"/>
              <v:fill focussize="0,0"/>
              <v:stroke weight="0pt"/>
              <v:imagedata o:title=""/>
              <o:lock v:ext="edit"/>
            </v:line>
            <v:line id="_x0000_s1044" o:spid="_x0000_s1044" o:spt="20" style="position:absolute;left:645;top:4321;height:0;width:45;" coordsize="21600,21600">
              <v:path arrowok="t"/>
              <v:fill focussize="0,0"/>
              <v:stroke weight="0pt"/>
              <v:imagedata o:title=""/>
              <o:lock v:ext="edit"/>
            </v:line>
            <v:line id="_x0000_s1045" o:spid="_x0000_s1045" o:spt="20" style="position:absolute;left:645;top:3645;height:0;width:45;" coordsize="21600,21600">
              <v:path arrowok="t"/>
              <v:fill focussize="0,0"/>
              <v:stroke weight="0pt"/>
              <v:imagedata o:title=""/>
              <o:lock v:ext="edit"/>
            </v:line>
            <v:line id="_x0000_s1046" o:spid="_x0000_s1046" o:spt="20" style="position:absolute;left:645;top:2970;height:0;width:45;" coordsize="21600,21600">
              <v:path arrowok="t"/>
              <v:fill focussize="0,0"/>
              <v:stroke weight="0pt"/>
              <v:imagedata o:title=""/>
              <o:lock v:ext="edit"/>
            </v:line>
            <v:line id="_x0000_s1047" o:spid="_x0000_s1047" o:spt="20" style="position:absolute;left:645;top:2280;height:0;width:45;" coordsize="21600,21600">
              <v:path arrowok="t"/>
              <v:fill focussize="0,0"/>
              <v:stroke weight="0pt"/>
              <v:imagedata o:title=""/>
              <o:lock v:ext="edit"/>
            </v:line>
            <v:line id="_x0000_s1048" o:spid="_x0000_s1048" o:spt="20" style="position:absolute;left:645;top:1605;height:0;width:45;" coordsize="21600,21600">
              <v:path arrowok="t"/>
              <v:fill focussize="0,0"/>
              <v:stroke weight="0pt"/>
              <v:imagedata o:title=""/>
              <o:lock v:ext="edit"/>
            </v:line>
            <v:line id="_x0000_s1049" o:spid="_x0000_s1049" o:spt="20" style="position:absolute;left:645;top:930;height:0;width:45;" coordsize="21600,21600">
              <v:path arrowok="t"/>
              <v:fill focussize="0,0"/>
              <v:stroke weight="0pt"/>
              <v:imagedata o:title=""/>
              <o:lock v:ext="edit"/>
            </v:line>
            <v:line id="_x0000_s1050" o:spid="_x0000_s1050" o:spt="20" style="position:absolute;left:645;top:4996;height:0;width:5551;" coordsize="21600,21600">
              <v:path arrowok="t"/>
              <v:fill focussize="0,0"/>
              <v:stroke weight="0pt"/>
              <v:imagedata o:title=""/>
              <o:lock v:ext="edit"/>
            </v:line>
            <v:line id="_x0000_s1051" o:spid="_x0000_s1051" o:spt="20" style="position:absolute;left:645;top:4936;flip:y;height:60;width:0;" coordsize="21600,21600">
              <v:path arrowok="t"/>
              <v:fill focussize="0,0"/>
              <v:stroke weight="0pt"/>
              <v:imagedata o:title=""/>
              <o:lock v:ext="edit"/>
            </v:line>
            <v:line id="_x0000_s1052" o:spid="_x0000_s1052" o:spt="20" style="position:absolute;left:2040;top:4936;flip:y;height:60;width:0;" coordsize="21600,21600">
              <v:path arrowok="t"/>
              <v:fill focussize="0,0"/>
              <v:stroke weight="0pt"/>
              <v:imagedata o:title=""/>
              <o:lock v:ext="edit"/>
            </v:line>
            <v:line id="_x0000_s1053" o:spid="_x0000_s1053" o:spt="20" style="position:absolute;left:3421;top:4936;flip:y;height:60;width:0;" coordsize="21600,21600">
              <v:path arrowok="t"/>
              <v:fill focussize="0,0"/>
              <v:stroke weight="0pt"/>
              <v:imagedata o:title=""/>
              <o:lock v:ext="edit"/>
            </v:line>
            <v:line id="_x0000_s1054" o:spid="_x0000_s1054" o:spt="20" style="position:absolute;left:4816;top:4936;flip:y;height:60;width:0;" coordsize="21600,21600">
              <v:path arrowok="t"/>
              <v:fill focussize="0,0"/>
              <v:stroke weight="0pt"/>
              <v:imagedata o:title=""/>
              <o:lock v:ext="edit"/>
            </v:line>
            <v:line id="_x0000_s1055" o:spid="_x0000_s1055" o:spt="20" style="position:absolute;left:6196;top:4936;flip:y;height:60;width:0;" coordsize="21600,21600">
              <v:path arrowok="t"/>
              <v:fill focussize="0,0"/>
              <v:stroke weight="0pt"/>
              <v:imagedata o:title=""/>
              <o:lock v:ext="edit"/>
            </v:line>
            <v:rect id="_x0000_s1056" o:spid="_x0000_s1056" o:spt="1" style="position:absolute;left:1544;top:230;height:624;width:3301;mso-wrap-style:none;" filled="f" stroked="f" coordsize="21600,21600">
              <v:path/>
              <v:fill on="f" focussize="0,0"/>
              <v:stroke on="f"/>
              <v:imagedata o:title=""/>
              <o:lock v:ext="edit"/>
              <v:textbox inset="0mm,0mm,0mm,0mm" style="mso-fit-shape-to-text:t;">
                <w:txbxContent>
                  <w:p>
                    <w:r>
                      <w:rPr>
                        <w:rFonts w:hint="eastAsia" w:ascii="宋体" w:cs="宋体"/>
                        <w:color w:val="000000"/>
                        <w:sz w:val="30"/>
                        <w:szCs w:val="30"/>
                      </w:rPr>
                      <w:t>收支决算总计变动情况图</w:t>
                    </w:r>
                  </w:p>
                </w:txbxContent>
              </v:textbox>
            </v:rect>
            <v:rect id="_x0000_s1057" o:spid="_x0000_s1057" o:spt="1" style="position:absolute;left:435;top:4921;height:312;width:8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0</w:t>
                    </w:r>
                  </w:p>
                </w:txbxContent>
              </v:textbox>
            </v:rect>
            <v:rect id="_x0000_s1058" o:spid="_x0000_s1058" o:spt="1" style="position:absolute;left:255;top:4246;height:312;width:24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500</w:t>
                    </w:r>
                  </w:p>
                </w:txbxContent>
              </v:textbox>
            </v:rect>
            <v:rect id="_x0000_s1059" o:spid="_x0000_s1059" o:spt="1" style="position:absolute;left:165;top:3570;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1000</w:t>
                    </w:r>
                  </w:p>
                </w:txbxContent>
              </v:textbox>
            </v:rect>
            <v:rect id="_x0000_s1060" o:spid="_x0000_s1060" o:spt="1" style="position:absolute;left:165;top:2895;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1500</w:t>
                    </w:r>
                  </w:p>
                </w:txbxContent>
              </v:textbox>
            </v:rect>
            <v:rect id="_x0000_s1061" o:spid="_x0000_s1061" o:spt="1" style="position:absolute;left:165;top:2205;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2000</w:t>
                    </w:r>
                  </w:p>
                </w:txbxContent>
              </v:textbox>
            </v:rect>
            <v:rect id="_x0000_s1062" o:spid="_x0000_s1062" o:spt="1" style="position:absolute;left:165;top:1530;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2500</w:t>
                    </w:r>
                  </w:p>
                </w:txbxContent>
              </v:textbox>
            </v:rect>
            <v:rect id="_x0000_s1063" o:spid="_x0000_s1063" o:spt="1" style="position:absolute;left:165;top:855;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3000</w:t>
                    </w:r>
                  </w:p>
                </w:txbxContent>
              </v:textbox>
            </v:rect>
            <v:rect id="_x0000_s1064" o:spid="_x0000_s1064" o:spt="1" style="position:absolute;left:885;top:5176;height:312;width:946;mso-wrap-style:none;" filled="f" stroked="f" coordsize="21600,21600">
              <v:path/>
              <v:fill on="f" focussize="0,0"/>
              <v:stroke on="f"/>
              <v:imagedata o:title=""/>
              <o:lock v:ext="edit"/>
              <v:textbox inset="0mm,0mm,0mm,0mm" style="mso-fit-shape-to-text:t;">
                <w:txbxContent>
                  <w:p>
                    <w:r>
                      <w:rPr>
                        <w:rFonts w:ascii="宋体" w:cs="宋体"/>
                        <w:color w:val="000000"/>
                        <w:sz w:val="18"/>
                        <w:szCs w:val="18"/>
                      </w:rPr>
                      <w:t>2019</w:t>
                    </w:r>
                    <w:r>
                      <w:rPr>
                        <w:rFonts w:hint="eastAsia" w:ascii="宋体" w:cs="宋体"/>
                        <w:color w:val="000000"/>
                        <w:sz w:val="18"/>
                        <w:szCs w:val="18"/>
                      </w:rPr>
                      <w:t>年收入</w:t>
                    </w:r>
                  </w:p>
                </w:txbxContent>
              </v:textbox>
            </v:rect>
            <v:rect id="_x0000_s1065" o:spid="_x0000_s1065" o:spt="1" style="position:absolute;left:2370;top:5176;height:312;width:766;mso-wrap-style:none;" filled="f" stroked="f" coordsize="21600,21600">
              <v:path/>
              <v:fill on="f" focussize="0,0"/>
              <v:stroke on="f"/>
              <v:imagedata o:title=""/>
              <o:lock v:ext="edit"/>
              <v:textbox inset="0mm,0mm,0mm,0mm" style="mso-fit-shape-to-text:t;">
                <w:txbxContent>
                  <w:p>
                    <w:r>
                      <w:rPr>
                        <w:rFonts w:ascii="宋体" w:cs="宋体"/>
                        <w:color w:val="000000"/>
                        <w:sz w:val="18"/>
                        <w:szCs w:val="18"/>
                      </w:rPr>
                      <w:t>2018</w:t>
                    </w:r>
                    <w:r>
                      <w:rPr>
                        <w:rFonts w:hint="eastAsia" w:ascii="宋体" w:cs="宋体"/>
                        <w:color w:val="000000"/>
                        <w:sz w:val="18"/>
                        <w:szCs w:val="18"/>
                      </w:rPr>
                      <w:t>收入</w:t>
                    </w:r>
                  </w:p>
                </w:txbxContent>
              </v:textbox>
            </v:rect>
            <v:rect id="_x0000_s1066" o:spid="_x0000_s1066" o:spt="1" style="position:absolute;left:3661;top:5176;height:312;width:946;mso-wrap-style:none;" filled="f" stroked="f" coordsize="21600,21600">
              <v:path/>
              <v:fill on="f" focussize="0,0"/>
              <v:stroke on="f"/>
              <v:imagedata o:title=""/>
              <o:lock v:ext="edit"/>
              <v:textbox inset="0mm,0mm,0mm,0mm" style="mso-fit-shape-to-text:t;">
                <w:txbxContent>
                  <w:p>
                    <w:r>
                      <w:rPr>
                        <w:rFonts w:ascii="宋体" w:cs="宋体"/>
                        <w:color w:val="000000"/>
                        <w:sz w:val="18"/>
                        <w:szCs w:val="18"/>
                      </w:rPr>
                      <w:t>2019</w:t>
                    </w:r>
                    <w:r>
                      <w:rPr>
                        <w:rFonts w:hint="eastAsia" w:ascii="宋体" w:cs="宋体"/>
                        <w:color w:val="000000"/>
                        <w:sz w:val="18"/>
                        <w:szCs w:val="18"/>
                      </w:rPr>
                      <w:t>年支出</w:t>
                    </w:r>
                  </w:p>
                </w:txbxContent>
              </v:textbox>
            </v:rect>
            <v:rect id="_x0000_s1067" o:spid="_x0000_s1067" o:spt="1" style="position:absolute;left:5056;top:5176;height:312;width:946;mso-wrap-style:none;" filled="f" stroked="f" coordsize="21600,21600">
              <v:path/>
              <v:fill on="f" focussize="0,0"/>
              <v:stroke on="f"/>
              <v:imagedata o:title=""/>
              <o:lock v:ext="edit"/>
              <v:textbox inset="0mm,0mm,0mm,0mm" style="mso-fit-shape-to-text:t;">
                <w:txbxContent>
                  <w:p>
                    <w:r>
                      <w:rPr>
                        <w:rFonts w:ascii="宋体" w:cs="宋体"/>
                        <w:color w:val="000000"/>
                        <w:sz w:val="18"/>
                        <w:szCs w:val="18"/>
                      </w:rPr>
                      <w:t>2018</w:t>
                    </w:r>
                    <w:r>
                      <w:rPr>
                        <w:rFonts w:hint="eastAsia" w:ascii="宋体" w:cs="宋体"/>
                        <w:color w:val="000000"/>
                        <w:sz w:val="18"/>
                        <w:szCs w:val="18"/>
                      </w:rPr>
                      <w:t>年支出</w:t>
                    </w:r>
                  </w:p>
                </w:txbxContent>
              </v:textbox>
            </v:rect>
            <w10:wrap type="none"/>
            <w10:anchorlock/>
          </v:group>
        </w:pict>
      </w:r>
      <w:bookmarkStart w:id="46" w:name="_Toc15396604"/>
      <w:bookmarkStart w:id="47" w:name="_Toc15377206"/>
      <w:bookmarkStart w:id="48" w:name="_Toc50621923"/>
    </w:p>
    <w:p>
      <w:pPr>
        <w:pStyle w:val="3"/>
        <w:spacing w:line="415" w:lineRule="auto"/>
        <w:ind w:firstLine="643" w:firstLineChars="200"/>
        <w:rPr>
          <w:rFonts w:ascii="黑体" w:hAnsi="黑体" w:eastAsia="黑体"/>
          <w:color w:val="000000"/>
          <w:kern w:val="0"/>
        </w:rPr>
      </w:pPr>
      <w:bookmarkStart w:id="49" w:name="_Toc50622812"/>
      <w:r>
        <w:rPr>
          <w:rFonts w:hint="eastAsia" w:ascii="黑体" w:hAnsi="黑体" w:eastAsia="黑体"/>
        </w:rPr>
        <w:t>二、收入决算情况说明</w:t>
      </w:r>
      <w:bookmarkEnd w:id="46"/>
      <w:bookmarkEnd w:id="47"/>
      <w:bookmarkEnd w:id="48"/>
      <w:bookmarkEnd w:id="49"/>
    </w:p>
    <w:p>
      <w:pPr>
        <w:spacing w:line="600" w:lineRule="exact"/>
        <w:ind w:firstLine="640" w:firstLineChars="200"/>
        <w:outlineLvl w:val="1"/>
        <w:rPr>
          <w:rFonts w:ascii="仿宋" w:hAnsi="仿宋" w:eastAsia="仿宋"/>
          <w:color w:val="000000"/>
          <w:sz w:val="32"/>
          <w:szCs w:val="32"/>
        </w:rPr>
      </w:pPr>
      <w:bookmarkStart w:id="50" w:name="_Toc50621924"/>
      <w:bookmarkStart w:id="51" w:name="_Toc50622813"/>
      <w:r>
        <w:rPr>
          <w:rFonts w:ascii="仿宋" w:hAnsi="仿宋" w:eastAsia="仿宋"/>
          <w:color w:val="000000"/>
          <w:sz w:val="32"/>
          <w:szCs w:val="32"/>
        </w:rPr>
        <w:t>2019</w:t>
      </w:r>
      <w:r>
        <w:rPr>
          <w:rFonts w:hint="eastAsia" w:ascii="仿宋" w:hAnsi="仿宋" w:eastAsia="仿宋"/>
          <w:color w:val="000000"/>
          <w:sz w:val="32"/>
          <w:szCs w:val="32"/>
        </w:rPr>
        <w:t>年本年收入合计</w:t>
      </w:r>
      <w:r>
        <w:rPr>
          <w:rFonts w:ascii="仿宋" w:hAnsi="仿宋" w:eastAsia="仿宋"/>
          <w:color w:val="000000"/>
          <w:sz w:val="32"/>
          <w:szCs w:val="32"/>
        </w:rPr>
        <w:t>2694.5</w:t>
      </w:r>
      <w:r>
        <w:rPr>
          <w:rFonts w:hint="eastAsia" w:ascii="仿宋" w:hAnsi="仿宋" w:eastAsia="仿宋"/>
          <w:color w:val="000000"/>
          <w:sz w:val="32"/>
          <w:szCs w:val="32"/>
        </w:rPr>
        <w:t>万元，其中：一般公共预算财政拨款收入</w:t>
      </w:r>
      <w:r>
        <w:rPr>
          <w:rFonts w:ascii="仿宋" w:hAnsi="仿宋" w:eastAsia="仿宋"/>
          <w:color w:val="000000"/>
          <w:sz w:val="32"/>
          <w:szCs w:val="32"/>
        </w:rPr>
        <w:t>2694.5</w:t>
      </w:r>
      <w:r>
        <w:rPr>
          <w:rFonts w:hint="eastAsia" w:ascii="仿宋" w:hAnsi="仿宋" w:eastAsia="仿宋"/>
          <w:color w:val="000000"/>
          <w:sz w:val="32"/>
          <w:szCs w:val="32"/>
        </w:rPr>
        <w:t>万元，占</w:t>
      </w:r>
      <w:r>
        <w:rPr>
          <w:rFonts w:ascii="仿宋" w:hAnsi="仿宋" w:eastAsia="仿宋"/>
          <w:color w:val="000000"/>
          <w:sz w:val="32"/>
          <w:szCs w:val="32"/>
        </w:rPr>
        <w:t>100%</w:t>
      </w:r>
      <w:r>
        <w:rPr>
          <w:rFonts w:hint="eastAsia" w:ascii="仿宋" w:hAnsi="仿宋" w:eastAsia="仿宋"/>
          <w:color w:val="000000"/>
          <w:sz w:val="32"/>
          <w:szCs w:val="32"/>
        </w:rPr>
        <w:t>；政府性基金预算财政拨款收入</w:t>
      </w:r>
      <w:r>
        <w:rPr>
          <w:rFonts w:ascii="仿宋" w:hAnsi="仿宋" w:eastAsia="仿宋"/>
          <w:color w:val="000000"/>
          <w:sz w:val="32"/>
          <w:szCs w:val="32"/>
        </w:rPr>
        <w:t>0</w:t>
      </w:r>
      <w:r>
        <w:rPr>
          <w:rFonts w:hint="eastAsia" w:ascii="仿宋" w:hAnsi="仿宋" w:eastAsia="仿宋"/>
          <w:color w:val="000000"/>
          <w:sz w:val="32"/>
          <w:szCs w:val="32"/>
        </w:rPr>
        <w:t>万元，占</w:t>
      </w:r>
      <w:r>
        <w:rPr>
          <w:rFonts w:ascii="仿宋" w:hAnsi="仿宋" w:eastAsia="仿宋"/>
          <w:color w:val="000000"/>
          <w:sz w:val="32"/>
          <w:szCs w:val="32"/>
        </w:rPr>
        <w:t>0%</w:t>
      </w:r>
      <w:r>
        <w:rPr>
          <w:rFonts w:hint="eastAsia" w:ascii="仿宋" w:hAnsi="仿宋" w:eastAsia="仿宋"/>
          <w:color w:val="000000"/>
          <w:sz w:val="32"/>
          <w:szCs w:val="32"/>
        </w:rPr>
        <w:t>；上级补助收入</w:t>
      </w:r>
      <w:r>
        <w:rPr>
          <w:rFonts w:ascii="仿宋" w:hAnsi="仿宋" w:eastAsia="仿宋"/>
          <w:color w:val="000000"/>
          <w:sz w:val="32"/>
          <w:szCs w:val="32"/>
        </w:rPr>
        <w:t>0</w:t>
      </w:r>
      <w:r>
        <w:rPr>
          <w:rFonts w:hint="eastAsia" w:ascii="仿宋" w:hAnsi="仿宋" w:eastAsia="仿宋"/>
          <w:color w:val="000000"/>
          <w:sz w:val="32"/>
          <w:szCs w:val="32"/>
        </w:rPr>
        <w:t>万元，占</w:t>
      </w:r>
      <w:r>
        <w:rPr>
          <w:rFonts w:ascii="仿宋" w:hAnsi="仿宋" w:eastAsia="仿宋"/>
          <w:color w:val="000000"/>
          <w:sz w:val="32"/>
          <w:szCs w:val="32"/>
        </w:rPr>
        <w:t>0%</w:t>
      </w:r>
      <w:r>
        <w:rPr>
          <w:rFonts w:hint="eastAsia" w:ascii="仿宋" w:hAnsi="仿宋" w:eastAsia="仿宋"/>
          <w:color w:val="000000"/>
          <w:sz w:val="32"/>
          <w:szCs w:val="32"/>
        </w:rPr>
        <w:t>；事业收入</w:t>
      </w:r>
      <w:r>
        <w:rPr>
          <w:rFonts w:ascii="仿宋" w:hAnsi="仿宋" w:eastAsia="仿宋"/>
          <w:color w:val="000000"/>
          <w:sz w:val="32"/>
          <w:szCs w:val="32"/>
        </w:rPr>
        <w:t>0</w:t>
      </w:r>
      <w:r>
        <w:rPr>
          <w:rFonts w:hint="eastAsia" w:ascii="仿宋" w:hAnsi="仿宋" w:eastAsia="仿宋"/>
          <w:color w:val="000000"/>
          <w:sz w:val="32"/>
          <w:szCs w:val="32"/>
        </w:rPr>
        <w:t>万元，占</w:t>
      </w:r>
      <w:r>
        <w:rPr>
          <w:rFonts w:ascii="仿宋" w:hAnsi="仿宋" w:eastAsia="仿宋"/>
          <w:color w:val="000000"/>
          <w:sz w:val="32"/>
          <w:szCs w:val="32"/>
        </w:rPr>
        <w:t>0%</w:t>
      </w:r>
      <w:r>
        <w:rPr>
          <w:rFonts w:hint="eastAsia" w:ascii="仿宋" w:hAnsi="仿宋" w:eastAsia="仿宋"/>
          <w:color w:val="000000"/>
          <w:sz w:val="32"/>
          <w:szCs w:val="32"/>
        </w:rPr>
        <w:t>；经营收入</w:t>
      </w:r>
      <w:r>
        <w:rPr>
          <w:rFonts w:ascii="仿宋" w:hAnsi="仿宋" w:eastAsia="仿宋"/>
          <w:color w:val="000000"/>
          <w:sz w:val="32"/>
          <w:szCs w:val="32"/>
        </w:rPr>
        <w:t>0</w:t>
      </w:r>
      <w:r>
        <w:rPr>
          <w:rFonts w:hint="eastAsia" w:ascii="仿宋" w:hAnsi="仿宋" w:eastAsia="仿宋"/>
          <w:color w:val="000000"/>
          <w:sz w:val="32"/>
          <w:szCs w:val="32"/>
        </w:rPr>
        <w:t>万元，占</w:t>
      </w:r>
      <w:r>
        <w:rPr>
          <w:rFonts w:ascii="仿宋" w:hAnsi="仿宋" w:eastAsia="仿宋"/>
          <w:color w:val="000000"/>
          <w:sz w:val="32"/>
          <w:szCs w:val="32"/>
        </w:rPr>
        <w:t>0%</w:t>
      </w:r>
      <w:r>
        <w:rPr>
          <w:rFonts w:hint="eastAsia" w:ascii="仿宋" w:hAnsi="仿宋" w:eastAsia="仿宋"/>
          <w:color w:val="000000"/>
          <w:sz w:val="32"/>
          <w:szCs w:val="32"/>
        </w:rPr>
        <w:t>；附属单位上缴收入</w:t>
      </w:r>
      <w:r>
        <w:rPr>
          <w:rFonts w:ascii="仿宋" w:hAnsi="仿宋" w:eastAsia="仿宋"/>
          <w:color w:val="000000"/>
          <w:sz w:val="32"/>
          <w:szCs w:val="32"/>
        </w:rPr>
        <w:t>0</w:t>
      </w:r>
      <w:r>
        <w:rPr>
          <w:rFonts w:hint="eastAsia" w:ascii="仿宋" w:hAnsi="仿宋" w:eastAsia="仿宋"/>
          <w:color w:val="000000"/>
          <w:sz w:val="32"/>
          <w:szCs w:val="32"/>
        </w:rPr>
        <w:t>万元，占</w:t>
      </w:r>
      <w:r>
        <w:rPr>
          <w:rFonts w:ascii="仿宋" w:hAnsi="仿宋" w:eastAsia="仿宋"/>
          <w:color w:val="000000"/>
          <w:sz w:val="32"/>
          <w:szCs w:val="32"/>
        </w:rPr>
        <w:t>0%</w:t>
      </w:r>
      <w:r>
        <w:rPr>
          <w:rFonts w:hint="eastAsia" w:ascii="仿宋" w:hAnsi="仿宋" w:eastAsia="仿宋"/>
          <w:color w:val="000000"/>
          <w:sz w:val="32"/>
          <w:szCs w:val="32"/>
        </w:rPr>
        <w:t>；其他收入</w:t>
      </w:r>
      <w:r>
        <w:rPr>
          <w:rFonts w:ascii="仿宋" w:hAnsi="仿宋" w:eastAsia="仿宋"/>
          <w:color w:val="000000"/>
          <w:sz w:val="32"/>
          <w:szCs w:val="32"/>
        </w:rPr>
        <w:t>0</w:t>
      </w:r>
      <w:r>
        <w:rPr>
          <w:rFonts w:hint="eastAsia" w:ascii="仿宋" w:hAnsi="仿宋" w:eastAsia="仿宋"/>
          <w:color w:val="000000"/>
          <w:sz w:val="32"/>
          <w:szCs w:val="32"/>
        </w:rPr>
        <w:t>万元，占</w:t>
      </w:r>
      <w:r>
        <w:rPr>
          <w:rFonts w:ascii="仿宋" w:hAnsi="仿宋" w:eastAsia="仿宋"/>
          <w:color w:val="000000"/>
          <w:sz w:val="32"/>
          <w:szCs w:val="32"/>
        </w:rPr>
        <w:t>0%</w:t>
      </w:r>
      <w:r>
        <w:rPr>
          <w:rFonts w:hint="eastAsia" w:ascii="仿宋" w:hAnsi="仿宋" w:eastAsia="仿宋"/>
          <w:color w:val="000000"/>
          <w:sz w:val="32"/>
          <w:szCs w:val="32"/>
        </w:rPr>
        <w:t>。</w:t>
      </w:r>
      <w:bookmarkEnd w:id="50"/>
      <w:bookmarkEnd w:id="51"/>
    </w:p>
    <w:p>
      <w:pPr>
        <w:spacing w:line="600" w:lineRule="exact"/>
        <w:ind w:firstLine="420" w:firstLineChars="200"/>
        <w:outlineLvl w:val="1"/>
        <w:rPr>
          <w:rFonts w:ascii="仿宋" w:hAnsi="仿宋" w:eastAsia="仿宋"/>
          <w:color w:val="000000"/>
          <w:sz w:val="32"/>
          <w:szCs w:val="32"/>
        </w:rPr>
      </w:pPr>
      <w:bookmarkStart w:id="52" w:name="_Toc50622814"/>
      <w:bookmarkStart w:id="53" w:name="_Toc50621925"/>
      <w:r>
        <w:pict>
          <v:shape id="图表 8" o:spid="_x0000_s1068" o:spt="75" type="#_x0000_t75" style="position:absolute;left:0pt;margin-left:11.95pt;margin-top:10.8pt;height:233.4pt;width:303.05pt;z-index:251659264;mso-width-relative:page;mso-height-relative:page;" filled="f" o:preferrelative="t" stroked="f" coordsize="21600,21600">
            <v:path/>
            <v:fill on="f" focussize="0,0"/>
            <v:stroke on="f" joinstyle="miter"/>
            <v:imagedata r:id="rId6" o:title=""/>
            <o:lock v:ext="edit" aspectratio="f"/>
          </v:shape>
        </w:pict>
      </w:r>
      <w:bookmarkEnd w:id="52"/>
      <w:bookmarkEnd w:id="53"/>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_GB2312" w:eastAsia="仿宋_GB2312"/>
          <w:color w:val="FF0000"/>
          <w:sz w:val="32"/>
          <w:szCs w:val="32"/>
        </w:rPr>
      </w:pPr>
    </w:p>
    <w:p>
      <w:pPr>
        <w:spacing w:line="600" w:lineRule="exact"/>
        <w:ind w:firstLine="640" w:firstLineChars="200"/>
        <w:rPr>
          <w:rFonts w:ascii="仿宋_GB2312" w:eastAsia="仿宋_GB2312"/>
          <w:color w:val="FF0000"/>
          <w:sz w:val="32"/>
          <w:szCs w:val="32"/>
        </w:rPr>
      </w:pPr>
    </w:p>
    <w:p>
      <w:pPr>
        <w:spacing w:line="600" w:lineRule="exact"/>
        <w:ind w:firstLine="640" w:firstLineChars="200"/>
        <w:rPr>
          <w:rFonts w:ascii="仿宋_GB2312" w:eastAsia="仿宋_GB2312"/>
          <w:color w:val="FF0000"/>
          <w:sz w:val="32"/>
          <w:szCs w:val="32"/>
        </w:rPr>
      </w:pPr>
    </w:p>
    <w:p>
      <w:pPr>
        <w:spacing w:line="600" w:lineRule="exact"/>
        <w:rPr>
          <w:rFonts w:ascii="仿宋_GB2312" w:eastAsia="仿宋_GB2312"/>
          <w:color w:val="FF0000"/>
          <w:sz w:val="32"/>
          <w:szCs w:val="32"/>
        </w:rPr>
      </w:pPr>
    </w:p>
    <w:p>
      <w:pPr>
        <w:pStyle w:val="3"/>
        <w:spacing w:line="415" w:lineRule="auto"/>
        <w:ind w:firstLine="643" w:firstLineChars="200"/>
        <w:rPr>
          <w:rFonts w:ascii="黑体" w:hAnsi="黑体" w:eastAsia="黑体"/>
        </w:rPr>
      </w:pPr>
      <w:bookmarkStart w:id="54" w:name="_Toc15377207"/>
      <w:bookmarkStart w:id="55" w:name="_Toc15396605"/>
      <w:bookmarkStart w:id="56" w:name="_Toc50622815"/>
      <w:r>
        <w:rPr>
          <w:rFonts w:hint="eastAsia" w:ascii="黑体" w:hAnsi="黑体" w:eastAsia="黑体"/>
        </w:rPr>
        <w:t>三、支出决算情况说明</w:t>
      </w:r>
      <w:bookmarkEnd w:id="54"/>
      <w:bookmarkEnd w:id="55"/>
      <w:bookmarkEnd w:id="56"/>
    </w:p>
    <w:p>
      <w:pPr>
        <w:ind w:firstLine="640" w:firstLineChars="200"/>
        <w:rPr>
          <w:rFonts w:ascii="仿宋" w:hAnsi="仿宋" w:eastAsia="仿宋"/>
          <w:sz w:val="32"/>
          <w:szCs w:val="32"/>
        </w:rPr>
      </w:pPr>
      <w:r>
        <w:rPr>
          <w:rFonts w:ascii="仿宋" w:hAnsi="仿宋" w:eastAsia="仿宋"/>
          <w:sz w:val="32"/>
          <w:szCs w:val="32"/>
        </w:rPr>
        <w:t>2019</w:t>
      </w:r>
      <w:r>
        <w:rPr>
          <w:rFonts w:hint="eastAsia" w:ascii="仿宋" w:hAnsi="仿宋" w:eastAsia="仿宋"/>
          <w:sz w:val="32"/>
          <w:szCs w:val="32"/>
        </w:rPr>
        <w:t>年本年支出合计</w:t>
      </w:r>
      <w:r>
        <w:rPr>
          <w:rFonts w:ascii="仿宋" w:hAnsi="仿宋" w:eastAsia="仿宋"/>
          <w:sz w:val="32"/>
          <w:szCs w:val="32"/>
        </w:rPr>
        <w:t>1905.5</w:t>
      </w:r>
      <w:r>
        <w:rPr>
          <w:rFonts w:hint="eastAsia" w:ascii="仿宋" w:hAnsi="仿宋" w:eastAsia="仿宋"/>
          <w:sz w:val="32"/>
          <w:szCs w:val="32"/>
        </w:rPr>
        <w:t>万元，其中：基本支出</w:t>
      </w:r>
      <w:r>
        <w:rPr>
          <w:rFonts w:ascii="仿宋" w:hAnsi="仿宋" w:eastAsia="仿宋"/>
          <w:sz w:val="32"/>
          <w:szCs w:val="32"/>
        </w:rPr>
        <w:t>1240.5</w:t>
      </w:r>
      <w:r>
        <w:rPr>
          <w:rFonts w:hint="eastAsia" w:ascii="仿宋" w:hAnsi="仿宋" w:eastAsia="仿宋"/>
          <w:sz w:val="32"/>
          <w:szCs w:val="32"/>
        </w:rPr>
        <w:t>万元，占</w:t>
      </w:r>
      <w:r>
        <w:rPr>
          <w:rFonts w:ascii="仿宋" w:hAnsi="仿宋" w:eastAsia="仿宋"/>
          <w:sz w:val="32"/>
          <w:szCs w:val="32"/>
        </w:rPr>
        <w:t>65.1%</w:t>
      </w:r>
      <w:r>
        <w:rPr>
          <w:rFonts w:hint="eastAsia" w:ascii="仿宋" w:hAnsi="仿宋" w:eastAsia="仿宋"/>
          <w:sz w:val="32"/>
          <w:szCs w:val="32"/>
        </w:rPr>
        <w:t>；项目支出</w:t>
      </w:r>
      <w:r>
        <w:rPr>
          <w:rFonts w:ascii="仿宋" w:hAnsi="仿宋" w:eastAsia="仿宋"/>
          <w:sz w:val="32"/>
          <w:szCs w:val="32"/>
        </w:rPr>
        <w:t>665</w:t>
      </w:r>
      <w:r>
        <w:rPr>
          <w:rFonts w:hint="eastAsia" w:ascii="仿宋" w:hAnsi="仿宋" w:eastAsia="仿宋"/>
          <w:sz w:val="32"/>
          <w:szCs w:val="32"/>
        </w:rPr>
        <w:t>万元，占</w:t>
      </w:r>
      <w:r>
        <w:rPr>
          <w:rFonts w:ascii="仿宋" w:hAnsi="仿宋" w:eastAsia="仿宋"/>
          <w:sz w:val="32"/>
          <w:szCs w:val="32"/>
        </w:rPr>
        <w:t>34.9%</w:t>
      </w:r>
      <w:r>
        <w:rPr>
          <w:rFonts w:hint="eastAsia" w:ascii="仿宋" w:hAnsi="仿宋" w:eastAsia="仿宋"/>
          <w:sz w:val="32"/>
          <w:szCs w:val="32"/>
        </w:rPr>
        <w:t>；上缴上级支出</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；经营支出</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；对附属单位补助支出</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pPr>
        <w:rPr>
          <w:rFonts w:eastAsia="Times New Roman"/>
        </w:rPr>
      </w:pPr>
      <w:r>
        <w:pict>
          <v:group id="_x0000_s1069" o:spid="_x0000_s1069" o:spt="203" style="height:234pt;width:330.75pt;" coordorigin="67,67" coordsize="6615,4680" editas="canvas">
            <o:lock v:ext="edit"/>
            <v:shape id="_x0000_s1070" o:spid="_x0000_s1070" o:spt="75" type="#_x0000_t75" style="position:absolute;left:67;top:67;height:4680;width:6615;" filled="f" o:preferrelative="f" stroked="f" coordsize="21600,21600">
              <v:fill on="f" focussize="0,0"/>
              <v:stroke on="f" joinstyle="miter"/>
              <v:imagedata o:title=""/>
              <o:lock v:ext="edit" text="t" aspectratio="t"/>
            </v:shape>
            <v:rect id="_x0000_s1071" o:spid="_x0000_s1071" o:spt="1" style="position:absolute;left:75;top:75;height:4633;width:6534;" coordsize="21600,21600">
              <v:path/>
              <v:fill focussize="0,0"/>
              <v:stroke/>
              <v:imagedata o:title=""/>
              <o:lock v:ext="edit"/>
            </v:rect>
            <v:shape id="_x0000_s1072" o:spid="_x0000_s1072" style="position:absolute;left:1222;top:1159;height:3058;width:2772;" fillcolor="#9999FF" filled="t" coordsize="185,204" path="m0,161hdc19,188,50,203,83,203c139,204,185,158,185,102c185,46,139,1,83,1c83,0,83,1,83,1hal83,102,0,161hdxe">
              <v:path arrowok="t"/>
              <v:fill on="t" focussize="0,0"/>
              <v:stroke/>
              <v:imagedata o:title=""/>
              <o:lock v:ext="edit"/>
            </v:shape>
            <v:shape id="_x0000_s1073" o:spid="_x0000_s1073" style="position:absolute;left:824;top:1170;height:2399;width:1529;" fillcolor="#993366" filled="t" coordsize="102,160" path="m102,0hdc46,0,1,45,1,101c0,122,7,143,19,160hal102,101,102,0hdxe">
              <v:path arrowok="t"/>
              <v:fill on="t" focussize="0,0"/>
              <v:stroke/>
              <v:imagedata o:title=""/>
              <o:lock v:ext="edit"/>
            </v:shape>
            <v:line id="_x0000_s1074" o:spid="_x0000_s1074" o:spt="20" style="position:absolute;left:2413;top:1125;flip:y;height:1514;width:0;" coordsize="21600,21600">
              <v:path arrowok="t"/>
              <v:fill focussize="0,0"/>
              <v:stroke/>
              <v:imagedata o:title=""/>
              <o:lock v:ext="edit"/>
            </v:line>
            <v:line id="_x0000_s1075" o:spid="_x0000_s1075" o:spt="20" style="position:absolute;left:2413;top:1125;flip:y;height:1514;width:0;" coordsize="21600,21600">
              <v:path arrowok="t"/>
              <v:fill focussize="0,0"/>
              <v:stroke/>
              <v:imagedata o:title=""/>
              <o:lock v:ext="edit"/>
            </v:line>
            <v:line id="_x0000_s1076" o:spid="_x0000_s1076" o:spt="20" style="position:absolute;left:2413;top:1125;flip:y;height:1514;width:0;" coordsize="21600,21600">
              <v:path arrowok="t"/>
              <v:fill focussize="0,0"/>
              <v:stroke/>
              <v:imagedata o:title=""/>
              <o:lock v:ext="edit"/>
            </v:line>
            <v:rect id="_x0000_s1077" o:spid="_x0000_s1077" o:spt="1" style="position:absolute;left:2398;top:435;height:624;width:1961;mso-wrap-style:none;" filled="f" stroked="f" coordsize="21600,21600">
              <v:path/>
              <v:fill on="f" focussize="0,0"/>
              <v:stroke on="f"/>
              <v:imagedata o:title=""/>
              <o:lock v:ext="edit"/>
              <v:textbox inset="0mm,0mm,0mm,0mm" style="mso-fit-shape-to-text:t;">
                <w:txbxContent>
                  <w:p>
                    <w:r>
                      <w:rPr>
                        <w:rFonts w:hint="eastAsia" w:ascii="宋体" w:cs="宋体"/>
                        <w:color w:val="000000"/>
                        <w:sz w:val="28"/>
                        <w:szCs w:val="28"/>
                      </w:rPr>
                      <w:t>支出决算结构图</w:t>
                    </w:r>
                  </w:p>
                </w:txbxContent>
              </v:textbox>
            </v:rect>
            <v:rect id="_x0000_s1078" o:spid="_x0000_s1078" o:spt="1" style="position:absolute;left:4811;top:2099;height:1934;width:1708;" coordsize="21600,21600">
              <v:path/>
              <v:fill focussize="0,0"/>
              <v:stroke weight="0pt"/>
              <v:imagedata o:title=""/>
              <o:lock v:ext="edit"/>
            </v:rect>
            <v:rect id="_x0000_s1079" o:spid="_x0000_s1079" o:spt="1" style="position:absolute;left:4871;top:2249;height:90;width:89;" fillcolor="#9999FF" filled="t" coordsize="21600,21600">
              <v:path/>
              <v:fill on="t" focussize="0,0"/>
              <v:stroke/>
              <v:imagedata o:title=""/>
              <o:lock v:ext="edit"/>
            </v:rect>
            <v:rect id="_x0000_s1080" o:spid="_x0000_s1080" o:spt="1" style="position:absolute;left:5020;top:2219;height:312;width:641;mso-wrap-style:none;" filled="f" stroked="f" coordsize="21600,21600">
              <v:path/>
              <v:fill on="f" focussize="0,0"/>
              <v:stroke on="f"/>
              <v:imagedata o:title=""/>
              <o:lock v:ext="edit"/>
              <v:textbox inset="0mm,0mm,0mm,0mm" style="mso-fit-shape-to-text:t;">
                <w:txbxContent>
                  <w:p>
                    <w:r>
                      <w:rPr>
                        <w:rFonts w:hint="eastAsia" w:ascii="宋体" w:cs="宋体"/>
                        <w:color w:val="000000"/>
                        <w:sz w:val="16"/>
                        <w:szCs w:val="16"/>
                      </w:rPr>
                      <w:t>基本支出</w:t>
                    </w:r>
                  </w:p>
                </w:txbxContent>
              </v:textbox>
            </v:rect>
            <v:rect id="_x0000_s1081" o:spid="_x0000_s1081" o:spt="1" style="position:absolute;left:4871;top:2624;height:90;width:89;" fillcolor="#993366" filled="t" coordsize="21600,21600">
              <v:path/>
              <v:fill on="t" focussize="0,0"/>
              <v:stroke/>
              <v:imagedata o:title=""/>
              <o:lock v:ext="edit"/>
            </v:rect>
            <v:rect id="_x0000_s1082" o:spid="_x0000_s1082" o:spt="1" style="position:absolute;left:5020;top:2594;height:312;width:641;mso-wrap-style:none;" filled="f" stroked="f" coordsize="21600,21600">
              <v:path/>
              <v:fill on="f" focussize="0,0"/>
              <v:stroke on="f"/>
              <v:imagedata o:title=""/>
              <o:lock v:ext="edit"/>
              <v:textbox inset="0mm,0mm,0mm,0mm" style="mso-fit-shape-to-text:t;">
                <w:txbxContent>
                  <w:p>
                    <w:r>
                      <w:rPr>
                        <w:rFonts w:hint="eastAsia" w:ascii="宋体" w:cs="宋体"/>
                        <w:color w:val="000000"/>
                        <w:sz w:val="16"/>
                        <w:szCs w:val="16"/>
                      </w:rPr>
                      <w:t>项目支出</w:t>
                    </w:r>
                  </w:p>
                </w:txbxContent>
              </v:textbox>
            </v:rect>
            <v:rect id="_x0000_s1083" o:spid="_x0000_s1083" o:spt="1" style="position:absolute;left:4871;top:3014;height:90;width:89;" fillcolor="#FFFFCC" filled="t" coordsize="21600,21600">
              <v:path/>
              <v:fill on="t" focussize="0,0"/>
              <v:stroke/>
              <v:imagedata o:title=""/>
              <o:lock v:ext="edit"/>
            </v:rect>
            <v:rect id="_x0000_s1084" o:spid="_x0000_s1084" o:spt="1" style="position:absolute;left:5020;top:2984;height:312;width:961;mso-wrap-style:none;" filled="f" stroked="f" coordsize="21600,21600">
              <v:path/>
              <v:fill on="f" focussize="0,0"/>
              <v:stroke on="f"/>
              <v:imagedata o:title=""/>
              <o:lock v:ext="edit"/>
              <v:textbox inset="0mm,0mm,0mm,0mm" style="mso-fit-shape-to-text:t;">
                <w:txbxContent>
                  <w:p>
                    <w:r>
                      <w:rPr>
                        <w:rFonts w:hint="eastAsia" w:ascii="宋体" w:cs="宋体"/>
                        <w:color w:val="000000"/>
                        <w:sz w:val="16"/>
                        <w:szCs w:val="16"/>
                      </w:rPr>
                      <w:t>上缴上级支出</w:t>
                    </w:r>
                  </w:p>
                </w:txbxContent>
              </v:textbox>
            </v:rect>
            <v:rect id="_x0000_s1085" o:spid="_x0000_s1085" o:spt="1" style="position:absolute;left:4871;top:3389;height:90;width:89;" fillcolor="#CCFFFF" filled="t" coordsize="21600,21600">
              <v:path/>
              <v:fill on="t" focussize="0,0"/>
              <v:stroke/>
              <v:imagedata o:title=""/>
              <o:lock v:ext="edit"/>
            </v:rect>
            <v:rect id="_x0000_s1086" o:spid="_x0000_s1086" o:spt="1" style="position:absolute;left:5020;top:3359;height:312;width:641;mso-wrap-style:none;" filled="f" stroked="f" coordsize="21600,21600">
              <v:path/>
              <v:fill on="f" focussize="0,0"/>
              <v:stroke on="f"/>
              <v:imagedata o:title=""/>
              <o:lock v:ext="edit"/>
              <v:textbox inset="0mm,0mm,0mm,0mm" style="mso-fit-shape-to-text:t;">
                <w:txbxContent>
                  <w:p>
                    <w:r>
                      <w:rPr>
                        <w:rFonts w:hint="eastAsia" w:ascii="宋体" w:cs="宋体"/>
                        <w:color w:val="000000"/>
                        <w:sz w:val="16"/>
                        <w:szCs w:val="16"/>
                      </w:rPr>
                      <w:t>经营支出</w:t>
                    </w:r>
                  </w:p>
                </w:txbxContent>
              </v:textbox>
            </v:rect>
            <v:rect id="_x0000_s1087" o:spid="_x0000_s1087" o:spt="1" style="position:absolute;left:4871;top:3779;height:90;width:89;" fillcolor="#660066" filled="t" coordsize="21600,21600">
              <v:path/>
              <v:fill on="t" focussize="0,0"/>
              <v:stroke/>
              <v:imagedata o:title=""/>
              <o:lock v:ext="edit"/>
            </v:rect>
            <v:rect id="_x0000_s1088" o:spid="_x0000_s1088" o:spt="1" style="position:absolute;left:5020;top:3749;height:312;width:1441;mso-wrap-style:none;" filled="f" stroked="f" coordsize="21600,21600">
              <v:path/>
              <v:fill on="f" focussize="0,0"/>
              <v:stroke on="f"/>
              <v:imagedata o:title=""/>
              <o:lock v:ext="edit"/>
              <v:textbox inset="0mm,0mm,0mm,0mm" style="mso-fit-shape-to-text:t;">
                <w:txbxContent>
                  <w:p>
                    <w:r>
                      <w:rPr>
                        <w:rFonts w:hint="eastAsia" w:ascii="宋体" w:cs="宋体"/>
                        <w:color w:val="000000"/>
                        <w:sz w:val="16"/>
                        <w:szCs w:val="16"/>
                      </w:rPr>
                      <w:t>对附属单位补助支出</w:t>
                    </w:r>
                  </w:p>
                </w:txbxContent>
              </v:textbox>
            </v:rect>
            <w10:wrap type="none"/>
            <w10:anchorlock/>
          </v:group>
        </w:pict>
      </w:r>
    </w:p>
    <w:p>
      <w:pPr>
        <w:pStyle w:val="3"/>
        <w:spacing w:line="415" w:lineRule="auto"/>
        <w:ind w:firstLine="643" w:firstLineChars="200"/>
        <w:rPr>
          <w:rFonts w:ascii="黑体" w:hAnsi="黑体" w:eastAsia="黑体"/>
        </w:rPr>
      </w:pPr>
      <w:bookmarkStart w:id="57" w:name="_Toc50622816"/>
      <w:bookmarkStart w:id="58" w:name="_Toc15377208"/>
      <w:bookmarkStart w:id="59" w:name="_Toc15396606"/>
      <w:r>
        <w:rPr>
          <w:rFonts w:hint="eastAsia" w:ascii="黑体" w:hAnsi="黑体" w:eastAsia="黑体"/>
        </w:rPr>
        <w:t>四、财政拨款收入支出决算总体情况说明</w:t>
      </w:r>
      <w:bookmarkEnd w:id="57"/>
      <w:bookmarkEnd w:id="58"/>
      <w:bookmarkEnd w:id="59"/>
    </w:p>
    <w:p>
      <w:pPr>
        <w:ind w:firstLine="640" w:firstLineChars="200"/>
        <w:rPr>
          <w:rFonts w:ascii="仿宋" w:hAnsi="仿宋" w:eastAsia="仿宋"/>
          <w:sz w:val="32"/>
          <w:szCs w:val="32"/>
        </w:rPr>
      </w:pPr>
      <w:r>
        <w:rPr>
          <w:rFonts w:ascii="仿宋" w:hAnsi="仿宋" w:eastAsia="仿宋"/>
          <w:sz w:val="32"/>
          <w:szCs w:val="32"/>
        </w:rPr>
        <w:t>2019</w:t>
      </w:r>
      <w:r>
        <w:rPr>
          <w:rFonts w:hint="eastAsia" w:ascii="仿宋" w:hAnsi="仿宋" w:eastAsia="仿宋"/>
          <w:sz w:val="32"/>
          <w:szCs w:val="32"/>
        </w:rPr>
        <w:t>年财政拨款收入</w:t>
      </w:r>
      <w:r>
        <w:rPr>
          <w:rFonts w:ascii="仿宋" w:hAnsi="仿宋" w:eastAsia="仿宋"/>
          <w:sz w:val="32"/>
          <w:szCs w:val="32"/>
        </w:rPr>
        <w:t>2694.5</w:t>
      </w:r>
      <w:r>
        <w:rPr>
          <w:rFonts w:hint="eastAsia" w:ascii="仿宋" w:hAnsi="仿宋" w:eastAsia="仿宋"/>
          <w:sz w:val="32"/>
          <w:szCs w:val="32"/>
        </w:rPr>
        <w:t>万元，支出</w:t>
      </w:r>
      <w:r>
        <w:rPr>
          <w:rFonts w:ascii="仿宋" w:hAnsi="仿宋" w:eastAsia="仿宋"/>
          <w:sz w:val="32"/>
          <w:szCs w:val="32"/>
        </w:rPr>
        <w:t>1905.5</w:t>
      </w:r>
      <w:r>
        <w:rPr>
          <w:rFonts w:hint="eastAsia" w:ascii="仿宋" w:hAnsi="仿宋" w:eastAsia="仿宋"/>
          <w:sz w:val="32"/>
          <w:szCs w:val="32"/>
        </w:rPr>
        <w:t>万元，年末结转</w:t>
      </w:r>
      <w:r>
        <w:rPr>
          <w:rFonts w:ascii="仿宋" w:hAnsi="仿宋" w:eastAsia="仿宋"/>
          <w:sz w:val="32"/>
          <w:szCs w:val="32"/>
        </w:rPr>
        <w:t>789</w:t>
      </w:r>
      <w:r>
        <w:rPr>
          <w:rFonts w:hint="eastAsia" w:ascii="仿宋" w:hAnsi="仿宋" w:eastAsia="仿宋"/>
          <w:sz w:val="32"/>
          <w:szCs w:val="32"/>
        </w:rPr>
        <w:t>万元。与</w:t>
      </w:r>
      <w:r>
        <w:rPr>
          <w:rFonts w:ascii="仿宋" w:hAnsi="仿宋" w:eastAsia="仿宋"/>
          <w:sz w:val="32"/>
          <w:szCs w:val="32"/>
        </w:rPr>
        <w:t>2018</w:t>
      </w:r>
      <w:r>
        <w:rPr>
          <w:rFonts w:hint="eastAsia" w:ascii="仿宋" w:hAnsi="仿宋" w:eastAsia="仿宋"/>
          <w:sz w:val="32"/>
          <w:szCs w:val="32"/>
        </w:rPr>
        <w:t>年相比，财政拨款收入增加</w:t>
      </w:r>
      <w:r>
        <w:rPr>
          <w:rFonts w:ascii="仿宋" w:hAnsi="仿宋" w:eastAsia="仿宋"/>
          <w:sz w:val="32"/>
          <w:szCs w:val="32"/>
        </w:rPr>
        <w:t>526.77</w:t>
      </w:r>
      <w:r>
        <w:rPr>
          <w:rFonts w:hint="eastAsia" w:ascii="仿宋" w:hAnsi="仿宋" w:eastAsia="仿宋"/>
          <w:sz w:val="32"/>
          <w:szCs w:val="32"/>
        </w:rPr>
        <w:t>万元，同比增长</w:t>
      </w:r>
      <w:r>
        <w:rPr>
          <w:rFonts w:ascii="仿宋" w:hAnsi="仿宋" w:eastAsia="仿宋"/>
          <w:sz w:val="32"/>
          <w:szCs w:val="32"/>
        </w:rPr>
        <w:t>24.3%</w:t>
      </w:r>
      <w:r>
        <w:rPr>
          <w:rFonts w:hint="eastAsia" w:ascii="仿宋" w:hAnsi="仿宋" w:eastAsia="仿宋"/>
          <w:sz w:val="32"/>
          <w:szCs w:val="32"/>
        </w:rPr>
        <w:t>；支出减少</w:t>
      </w:r>
      <w:r>
        <w:rPr>
          <w:rFonts w:ascii="仿宋" w:hAnsi="仿宋" w:eastAsia="仿宋"/>
          <w:sz w:val="32"/>
          <w:szCs w:val="32"/>
        </w:rPr>
        <w:t>262.23</w:t>
      </w:r>
      <w:r>
        <w:rPr>
          <w:rFonts w:hint="eastAsia" w:ascii="仿宋" w:hAnsi="仿宋" w:eastAsia="仿宋"/>
          <w:sz w:val="32"/>
          <w:szCs w:val="32"/>
        </w:rPr>
        <w:t>万元，同比减少</w:t>
      </w:r>
      <w:r>
        <w:rPr>
          <w:rFonts w:ascii="仿宋" w:hAnsi="仿宋" w:eastAsia="仿宋"/>
          <w:sz w:val="32"/>
          <w:szCs w:val="32"/>
        </w:rPr>
        <w:t>12.1%</w:t>
      </w:r>
      <w:r>
        <w:rPr>
          <w:rFonts w:hint="eastAsia" w:ascii="仿宋" w:hAnsi="仿宋" w:eastAsia="仿宋"/>
          <w:sz w:val="32"/>
          <w:szCs w:val="32"/>
        </w:rPr>
        <w:t>。主要变动原因是是检察办案业务增多，预算增加；</w:t>
      </w:r>
      <w:r>
        <w:rPr>
          <w:rFonts w:ascii="仿宋" w:hAnsi="仿宋" w:eastAsia="仿宋"/>
          <w:sz w:val="32"/>
          <w:szCs w:val="32"/>
        </w:rPr>
        <w:t>2019</w:t>
      </w:r>
      <w:r>
        <w:rPr>
          <w:rFonts w:hint="eastAsia" w:ascii="仿宋" w:hAnsi="仿宋" w:eastAsia="仿宋"/>
          <w:sz w:val="32"/>
          <w:szCs w:val="32"/>
        </w:rPr>
        <w:t>年厉行节约，压缩支出，部分项目未完成，结转下年。</w:t>
      </w:r>
    </w:p>
    <w:p>
      <w:pPr>
        <w:rPr>
          <w:szCs w:val="32"/>
        </w:rPr>
      </w:pPr>
      <w:r>
        <w:pict>
          <v:shape id="_x0000_i1025" o:spt="75" type="#_x0000_t75" style="height:342pt;width:331.5pt;" filled="f" o:preferrelative="t" stroked="f" coordsize="21600,21600">
            <v:path/>
            <v:fill on="f" focussize="0,0"/>
            <v:stroke on="f" joinstyle="miter"/>
            <v:imagedata r:id="rId7" o:title=""/>
            <o:lock v:ext="edit" aspectratio="t"/>
            <w10:wrap type="none"/>
            <w10:anchorlock/>
          </v:shape>
        </w:pict>
      </w:r>
    </w:p>
    <w:p>
      <w:pPr>
        <w:pStyle w:val="3"/>
        <w:spacing w:line="415" w:lineRule="auto"/>
        <w:ind w:firstLine="643" w:firstLineChars="200"/>
        <w:rPr>
          <w:rFonts w:ascii="黑体" w:hAnsi="黑体" w:eastAsia="黑体"/>
        </w:rPr>
      </w:pPr>
      <w:bookmarkStart w:id="60" w:name="_Toc15396607"/>
      <w:bookmarkStart w:id="61" w:name="_Toc15377209"/>
      <w:bookmarkStart w:id="62" w:name="_Toc50622817"/>
      <w:r>
        <w:rPr>
          <w:rFonts w:hint="eastAsia" w:ascii="黑体" w:hAnsi="黑体" w:eastAsia="黑体"/>
        </w:rPr>
        <w:t>五、一般公共预算财政拨款支出决算情况说明</w:t>
      </w:r>
      <w:bookmarkEnd w:id="60"/>
      <w:bookmarkEnd w:id="61"/>
      <w:bookmarkEnd w:id="62"/>
    </w:p>
    <w:p>
      <w:pPr>
        <w:ind w:firstLine="643" w:firstLineChars="200"/>
        <w:rPr>
          <w:rFonts w:ascii="仿宋" w:hAnsi="仿宋" w:eastAsia="仿宋"/>
          <w:b/>
          <w:sz w:val="32"/>
          <w:szCs w:val="32"/>
        </w:rPr>
      </w:pPr>
      <w:bookmarkStart w:id="63" w:name="_Toc15377210"/>
      <w:r>
        <w:rPr>
          <w:rFonts w:hint="eastAsia" w:ascii="仿宋" w:hAnsi="仿宋" w:eastAsia="仿宋"/>
          <w:b/>
          <w:sz w:val="32"/>
          <w:szCs w:val="32"/>
        </w:rPr>
        <w:t>（一）一般公共预算财政拨款支出决算总体情况</w:t>
      </w:r>
      <w:bookmarkEnd w:id="63"/>
    </w:p>
    <w:p>
      <w:pPr>
        <w:ind w:firstLine="640" w:firstLineChars="200"/>
        <w:rPr>
          <w:rFonts w:ascii="仿宋" w:hAnsi="仿宋" w:eastAsia="仿宋"/>
          <w:sz w:val="32"/>
          <w:szCs w:val="32"/>
        </w:rPr>
      </w:pPr>
      <w:r>
        <w:rPr>
          <w:rFonts w:ascii="仿宋" w:hAnsi="仿宋" w:eastAsia="仿宋"/>
          <w:sz w:val="32"/>
          <w:szCs w:val="32"/>
        </w:rPr>
        <w:t>2019</w:t>
      </w:r>
      <w:r>
        <w:rPr>
          <w:rFonts w:hint="eastAsia" w:ascii="仿宋" w:hAnsi="仿宋" w:eastAsia="仿宋"/>
          <w:sz w:val="32"/>
          <w:szCs w:val="32"/>
        </w:rPr>
        <w:t>年一般公共预算财政拨款支出</w:t>
      </w:r>
      <w:r>
        <w:rPr>
          <w:rFonts w:ascii="仿宋" w:hAnsi="仿宋" w:eastAsia="仿宋"/>
          <w:sz w:val="32"/>
          <w:szCs w:val="32"/>
        </w:rPr>
        <w:t>1905.5</w:t>
      </w:r>
      <w:r>
        <w:rPr>
          <w:rFonts w:hint="eastAsia" w:ascii="仿宋" w:hAnsi="仿宋" w:eastAsia="仿宋"/>
          <w:sz w:val="32"/>
          <w:szCs w:val="32"/>
        </w:rPr>
        <w:t>万元，占本年支出合计的</w:t>
      </w:r>
      <w:r>
        <w:rPr>
          <w:rFonts w:ascii="仿宋" w:hAnsi="仿宋" w:eastAsia="仿宋"/>
          <w:sz w:val="32"/>
          <w:szCs w:val="32"/>
        </w:rPr>
        <w:t>100%</w:t>
      </w:r>
      <w:r>
        <w:rPr>
          <w:rFonts w:hint="eastAsia" w:ascii="仿宋" w:hAnsi="仿宋" w:eastAsia="仿宋"/>
          <w:sz w:val="32"/>
          <w:szCs w:val="32"/>
        </w:rPr>
        <w:t>。与</w:t>
      </w:r>
      <w:r>
        <w:rPr>
          <w:rFonts w:ascii="仿宋" w:hAnsi="仿宋" w:eastAsia="仿宋"/>
          <w:sz w:val="32"/>
          <w:szCs w:val="32"/>
        </w:rPr>
        <w:t>2018</w:t>
      </w:r>
      <w:r>
        <w:rPr>
          <w:rFonts w:hint="eastAsia" w:ascii="仿宋" w:hAnsi="仿宋" w:eastAsia="仿宋"/>
          <w:sz w:val="32"/>
          <w:szCs w:val="32"/>
        </w:rPr>
        <w:t>年相比，一般公共预算财政拨款支出减少</w:t>
      </w:r>
      <w:r>
        <w:rPr>
          <w:rFonts w:ascii="仿宋" w:hAnsi="仿宋" w:eastAsia="仿宋"/>
          <w:sz w:val="32"/>
          <w:szCs w:val="32"/>
        </w:rPr>
        <w:t>262.23</w:t>
      </w:r>
      <w:r>
        <w:rPr>
          <w:rFonts w:hint="eastAsia" w:ascii="仿宋" w:hAnsi="仿宋" w:eastAsia="仿宋"/>
          <w:sz w:val="32"/>
          <w:szCs w:val="32"/>
        </w:rPr>
        <w:t>万元，同比下降</w:t>
      </w:r>
      <w:r>
        <w:rPr>
          <w:rFonts w:ascii="仿宋" w:hAnsi="仿宋" w:eastAsia="仿宋"/>
          <w:sz w:val="32"/>
          <w:szCs w:val="32"/>
        </w:rPr>
        <w:t>12.1%</w:t>
      </w:r>
      <w:r>
        <w:rPr>
          <w:rFonts w:hint="eastAsia" w:ascii="仿宋" w:hAnsi="仿宋" w:eastAsia="仿宋"/>
          <w:sz w:val="32"/>
          <w:szCs w:val="32"/>
        </w:rPr>
        <w:t>。主要变动原因是</w:t>
      </w:r>
      <w:r>
        <w:rPr>
          <w:rFonts w:ascii="仿宋" w:hAnsi="仿宋" w:eastAsia="仿宋"/>
          <w:sz w:val="32"/>
          <w:szCs w:val="32"/>
        </w:rPr>
        <w:t>2019</w:t>
      </w:r>
      <w:r>
        <w:rPr>
          <w:rFonts w:hint="eastAsia" w:ascii="仿宋" w:hAnsi="仿宋" w:eastAsia="仿宋"/>
          <w:sz w:val="32"/>
          <w:szCs w:val="32"/>
        </w:rPr>
        <w:t>年厉行节约，压缩支出，部分项目未完成，结转下年。</w:t>
      </w:r>
    </w:p>
    <w:p>
      <w:pPr>
        <w:rPr>
          <w:rFonts w:eastAsia="Times New Roman"/>
        </w:rPr>
      </w:pPr>
      <w:r>
        <w:rPr>
          <w:szCs w:val="32"/>
        </w:rPr>
        <w:pict>
          <v:group id="_x0000_s1089" o:spid="_x0000_s1089" o:spt="203" style="height:304.2pt;width:267.75pt;" coordsize="5355,6084" editas="canvas">
            <o:lock v:ext="edit"/>
            <v:shape id="_x0000_s1090" o:spid="_x0000_s1090" o:spt="75" type="#_x0000_t75" style="position:absolute;left:0;top:0;height:6084;width:5355;" filled="f" o:preferrelative="f" stroked="f" coordsize="21600,21600">
              <v:fill on="f" focussize="0,0"/>
              <v:stroke on="f" joinstyle="miter"/>
              <v:imagedata o:title=""/>
              <o:lock v:ext="edit" text="t" aspectratio="t"/>
            </v:shape>
            <v:rect id="_x0000_s1091" o:spid="_x0000_s1091" o:spt="1" style="position:absolute;left:75;top:75;height:5748;width:4919;" coordsize="21600,21600">
              <v:path/>
              <v:fill focussize="0,0"/>
              <v:stroke/>
              <v:imagedata o:title=""/>
              <o:lock v:ext="edit"/>
            </v:rect>
            <v:rect id="_x0000_s1092" o:spid="_x0000_s1092" o:spt="1" style="position:absolute;left:735;top:1951;height:3362;width:4124;" filled="f" stroked="f" coordsize="21600,21600">
              <v:path/>
              <v:fill on="f" focussize="0,0"/>
              <v:stroke on="f"/>
              <v:imagedata o:title=""/>
              <o:lock v:ext="edit"/>
            </v:rect>
            <v:line id="_x0000_s1093" o:spid="_x0000_s1093" o:spt="20" style="position:absolute;left:735;top:4937;height:0;width:4124;" coordsize="21600,21600">
              <v:path arrowok="t"/>
              <v:fill focussize="0,0"/>
              <v:stroke weight="0pt"/>
              <v:imagedata o:title=""/>
              <o:lock v:ext="edit"/>
            </v:line>
            <v:line id="_x0000_s1094" o:spid="_x0000_s1094" o:spt="20" style="position:absolute;left:735;top:4562;height:0;width:4124;" coordsize="21600,21600">
              <v:path arrowok="t"/>
              <v:fill focussize="0,0"/>
              <v:stroke weight="0pt"/>
              <v:imagedata o:title=""/>
              <o:lock v:ext="edit"/>
            </v:line>
            <v:line id="_x0000_s1095" o:spid="_x0000_s1095" o:spt="20" style="position:absolute;left:735;top:4187;height:0;width:4124;" coordsize="21600,21600">
              <v:path arrowok="t"/>
              <v:fill focussize="0,0"/>
              <v:stroke weight="0pt"/>
              <v:imagedata o:title=""/>
              <o:lock v:ext="edit"/>
            </v:line>
            <v:line id="_x0000_s1096" o:spid="_x0000_s1096" o:spt="20" style="position:absolute;left:735;top:3812;height:0;width:4124;" coordsize="21600,21600">
              <v:path arrowok="t"/>
              <v:fill focussize="0,0"/>
              <v:stroke weight="0pt"/>
              <v:imagedata o:title=""/>
              <o:lock v:ext="edit"/>
            </v:line>
            <v:line id="_x0000_s1097" o:spid="_x0000_s1097" o:spt="20" style="position:absolute;left:735;top:3452;height:0;width:4124;" coordsize="21600,21600">
              <v:path arrowok="t"/>
              <v:fill focussize="0,0"/>
              <v:stroke weight="0pt"/>
              <v:imagedata o:title=""/>
              <o:lock v:ext="edit"/>
            </v:line>
            <v:line id="_x0000_s1098" o:spid="_x0000_s1098" o:spt="20" style="position:absolute;left:735;top:3076;height:0;width:4124;" coordsize="21600,21600">
              <v:path arrowok="t"/>
              <v:fill focussize="0,0"/>
              <v:stroke weight="0pt"/>
              <v:imagedata o:title=""/>
              <o:lock v:ext="edit"/>
            </v:line>
            <v:line id="_x0000_s1099" o:spid="_x0000_s1099" o:spt="20" style="position:absolute;left:735;top:2701;height:0;width:4124;" coordsize="21600,21600">
              <v:path arrowok="t"/>
              <v:fill focussize="0,0"/>
              <v:stroke weight="0pt"/>
              <v:imagedata o:title=""/>
              <o:lock v:ext="edit"/>
            </v:line>
            <v:line id="_x0000_s1100" o:spid="_x0000_s1100" o:spt="20" style="position:absolute;left:735;top:2326;height:0;width:4124;" coordsize="21600,21600">
              <v:path arrowok="t"/>
              <v:fill focussize="0,0"/>
              <v:stroke weight="0pt"/>
              <v:imagedata o:title=""/>
              <o:lock v:ext="edit"/>
            </v:line>
            <v:line id="_x0000_s1101" o:spid="_x0000_s1101" o:spt="20" style="position:absolute;left:735;top:1951;height:0;width:4124;" coordsize="21600,21600">
              <v:path arrowok="t"/>
              <v:fill focussize="0,0"/>
              <v:stroke weight="0pt"/>
              <v:imagedata o:title=""/>
              <o:lock v:ext="edit"/>
            </v:line>
            <v:rect id="_x0000_s1102" o:spid="_x0000_s1102" o:spt="1" style="position:absolute;left:735;top:1951;height:3362;width:4124;" filled="f" stroked="t" coordsize="21600,21600">
              <v:path/>
              <v:fill on="f" focussize="0,0"/>
              <v:stroke color="#808080"/>
              <v:imagedata o:title=""/>
              <o:lock v:ext="edit"/>
            </v:rect>
            <v:rect id="_x0000_s1103" o:spid="_x0000_s1103" o:spt="1" style="position:absolute;left:1350;top:4157;height:1156;width:840;" fillcolor="#FF0000" filled="t" coordsize="21600,21600">
              <v:path/>
              <v:fill on="t" focussize="0,0"/>
              <v:stroke/>
              <v:imagedata o:title=""/>
              <o:lock v:ext="edit"/>
            </v:rect>
            <v:rect id="_x0000_s1104" o:spid="_x0000_s1104" o:spt="1" style="position:absolute;left:3419;top:2191;height:3122;width:825;" fillcolor="#9999FF" filled="t" coordsize="21600,21600">
              <v:path/>
              <v:fill on="t" focussize="0,0"/>
              <v:stroke/>
              <v:imagedata o:title=""/>
              <o:lock v:ext="edit"/>
            </v:rect>
            <v:line id="_x0000_s1105" o:spid="_x0000_s1105" o:spt="20" style="position:absolute;left:735;top:1951;height:3362;width:0;" coordsize="21600,21600">
              <v:path arrowok="t"/>
              <v:fill focussize="0,0"/>
              <v:stroke weight="0pt"/>
              <v:imagedata o:title=""/>
              <o:lock v:ext="edit"/>
            </v:line>
            <v:line id="_x0000_s1106" o:spid="_x0000_s1106" o:spt="20" style="position:absolute;left:735;top:5313;height:0;width:45;" coordsize="21600,21600">
              <v:path arrowok="t"/>
              <v:fill focussize="0,0"/>
              <v:stroke weight="0pt"/>
              <v:imagedata o:title=""/>
              <o:lock v:ext="edit"/>
            </v:line>
            <v:line id="_x0000_s1107" o:spid="_x0000_s1107" o:spt="20" style="position:absolute;left:735;top:4937;height:0;width:45;" coordsize="21600,21600">
              <v:path arrowok="t"/>
              <v:fill focussize="0,0"/>
              <v:stroke weight="0pt"/>
              <v:imagedata o:title=""/>
              <o:lock v:ext="edit"/>
            </v:line>
            <v:line id="_x0000_s1108" o:spid="_x0000_s1108" o:spt="20" style="position:absolute;left:735;top:4562;height:0;width:45;" coordsize="21600,21600">
              <v:path arrowok="t"/>
              <v:fill focussize="0,0"/>
              <v:stroke weight="0pt"/>
              <v:imagedata o:title=""/>
              <o:lock v:ext="edit"/>
            </v:line>
            <v:line id="_x0000_s1109" o:spid="_x0000_s1109" o:spt="20" style="position:absolute;left:735;top:4187;height:0;width:45;" coordsize="21600,21600">
              <v:path arrowok="t"/>
              <v:fill focussize="0,0"/>
              <v:stroke weight="0pt"/>
              <v:imagedata o:title=""/>
              <o:lock v:ext="edit"/>
            </v:line>
            <v:line id="_x0000_s1110" o:spid="_x0000_s1110" o:spt="20" style="position:absolute;left:735;top:3812;height:0;width:45;" coordsize="21600,21600">
              <v:path arrowok="t"/>
              <v:fill focussize="0,0"/>
              <v:stroke weight="0pt"/>
              <v:imagedata o:title=""/>
              <o:lock v:ext="edit"/>
            </v:line>
            <v:line id="_x0000_s1111" o:spid="_x0000_s1111" o:spt="20" style="position:absolute;left:735;top:3452;height:0;width:45;" coordsize="21600,21600">
              <v:path arrowok="t"/>
              <v:fill focussize="0,0"/>
              <v:stroke weight="0pt"/>
              <v:imagedata o:title=""/>
              <o:lock v:ext="edit"/>
            </v:line>
            <v:line id="_x0000_s1112" o:spid="_x0000_s1112" o:spt="20" style="position:absolute;left:735;top:3076;height:0;width:45;" coordsize="21600,21600">
              <v:path arrowok="t"/>
              <v:fill focussize="0,0"/>
              <v:stroke weight="0pt"/>
              <v:imagedata o:title=""/>
              <o:lock v:ext="edit"/>
            </v:line>
            <v:line id="_x0000_s1113" o:spid="_x0000_s1113" o:spt="20" style="position:absolute;left:735;top:2701;height:0;width:45;" coordsize="21600,21600">
              <v:path arrowok="t"/>
              <v:fill focussize="0,0"/>
              <v:stroke weight="0pt"/>
              <v:imagedata o:title=""/>
              <o:lock v:ext="edit"/>
            </v:line>
            <v:line id="_x0000_s1114" o:spid="_x0000_s1114" o:spt="20" style="position:absolute;left:735;top:2326;height:0;width:45;" coordsize="21600,21600">
              <v:path arrowok="t"/>
              <v:fill focussize="0,0"/>
              <v:stroke weight="0pt"/>
              <v:imagedata o:title=""/>
              <o:lock v:ext="edit"/>
            </v:line>
            <v:line id="_x0000_s1115" o:spid="_x0000_s1115" o:spt="20" style="position:absolute;left:735;top:1951;height:0;width:45;" coordsize="21600,21600">
              <v:path arrowok="t"/>
              <v:fill focussize="0,0"/>
              <v:stroke weight="0pt"/>
              <v:imagedata o:title=""/>
              <o:lock v:ext="edit"/>
            </v:line>
            <v:line id="_x0000_s1116" o:spid="_x0000_s1116" o:spt="20" style="position:absolute;left:735;top:5313;height:0;width:4124;" coordsize="21600,21600">
              <v:path arrowok="t"/>
              <v:fill focussize="0,0"/>
              <v:stroke weight="0pt"/>
              <v:imagedata o:title=""/>
              <o:lock v:ext="edit"/>
            </v:line>
            <v:line id="_x0000_s1117" o:spid="_x0000_s1117" o:spt="20" style="position:absolute;left:735;top:5268;flip:y;height:45;width:0;" coordsize="21600,21600">
              <v:path arrowok="t"/>
              <v:fill focussize="0,0"/>
              <v:stroke weight="0pt"/>
              <v:imagedata o:title=""/>
              <o:lock v:ext="edit"/>
            </v:line>
            <v:line id="_x0000_s1118" o:spid="_x0000_s1118" o:spt="20" style="position:absolute;left:2804;top:5268;flip:y;height:45;width:0;" coordsize="21600,21600">
              <v:path arrowok="t"/>
              <v:fill focussize="0,0"/>
              <v:stroke weight="0pt"/>
              <v:imagedata o:title=""/>
              <o:lock v:ext="edit"/>
            </v:line>
            <v:line id="_x0000_s1119" o:spid="_x0000_s1119" o:spt="20" style="position:absolute;left:4859;top:5268;flip:y;height:45;width:0;" coordsize="21600,21600">
              <v:path arrowok="t"/>
              <v:fill focussize="0,0"/>
              <v:stroke weight="0pt"/>
              <v:imagedata o:title=""/>
              <o:lock v:ext="edit"/>
            </v:line>
            <v:rect id="_x0000_s1120" o:spid="_x0000_s1120" o:spt="1" style="position:absolute;left:915;top:555;height:624;width:3641;mso-wrap-style:none;" filled="f" stroked="f" coordsize="21600,21600">
              <v:path/>
              <v:fill on="f" focussize="0,0"/>
              <v:stroke on="f"/>
              <v:imagedata o:title=""/>
              <o:lock v:ext="edit"/>
              <v:textbox inset="0mm,0mm,0mm,0mm" style="mso-fit-shape-to-text:t;">
                <w:txbxContent>
                  <w:p>
                    <w:r>
                      <w:rPr>
                        <w:rFonts w:hint="eastAsia" w:ascii="宋体" w:cs="宋体"/>
                        <w:color w:val="000000"/>
                        <w:sz w:val="28"/>
                        <w:szCs w:val="28"/>
                      </w:rPr>
                      <w:t>一般公共预算财政拨款支出决</w:t>
                    </w:r>
                  </w:p>
                </w:txbxContent>
              </v:textbox>
            </v:rect>
            <v:rect id="_x0000_s1121" o:spid="_x0000_s1121" o:spt="1" style="position:absolute;left:2055;top:930;height:624;width:1401;mso-wrap-style:none;" filled="f" stroked="f" coordsize="21600,21600">
              <v:path/>
              <v:fill on="f" focussize="0,0"/>
              <v:stroke on="f"/>
              <v:imagedata o:title=""/>
              <o:lock v:ext="edit"/>
              <v:textbox inset="0mm,0mm,0mm,0mm" style="mso-fit-shape-to-text:t;">
                <w:txbxContent>
                  <w:p>
                    <w:r>
                      <w:rPr>
                        <w:rFonts w:hint="eastAsia" w:ascii="宋体" w:cs="宋体"/>
                        <w:color w:val="000000"/>
                        <w:sz w:val="28"/>
                        <w:szCs w:val="28"/>
                      </w:rPr>
                      <w:t>算变动情况</w:t>
                    </w:r>
                  </w:p>
                </w:txbxContent>
              </v:textbox>
            </v:rect>
            <v:rect id="_x0000_s1122" o:spid="_x0000_s1122" o:spt="1" style="position:absolute;left:255;top:5238;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1750</w:t>
                    </w:r>
                  </w:p>
                </w:txbxContent>
              </v:textbox>
            </v:rect>
            <v:rect id="_x0000_s1123" o:spid="_x0000_s1123" o:spt="1" style="position:absolute;left:255;top:4862;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1800</w:t>
                    </w:r>
                  </w:p>
                </w:txbxContent>
              </v:textbox>
            </v:rect>
            <v:rect id="_x0000_s1124" o:spid="_x0000_s1124" o:spt="1" style="position:absolute;left:255;top:4487;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1850</w:t>
                    </w:r>
                  </w:p>
                </w:txbxContent>
              </v:textbox>
            </v:rect>
            <v:rect id="_x0000_s1125" o:spid="_x0000_s1125" o:spt="1" style="position:absolute;left:255;top:4112;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1900</w:t>
                    </w:r>
                  </w:p>
                </w:txbxContent>
              </v:textbox>
            </v:rect>
            <v:rect id="_x0000_s1126" o:spid="_x0000_s1126" o:spt="1" style="position:absolute;left:255;top:3737;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1950</w:t>
                    </w:r>
                  </w:p>
                </w:txbxContent>
              </v:textbox>
            </v:rect>
            <v:rect id="_x0000_s1127" o:spid="_x0000_s1127" o:spt="1" style="position:absolute;left:255;top:3377;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2000</w:t>
                    </w:r>
                  </w:p>
                </w:txbxContent>
              </v:textbox>
            </v:rect>
            <v:rect id="_x0000_s1128" o:spid="_x0000_s1128" o:spt="1" style="position:absolute;left:255;top:3001;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2050</w:t>
                    </w:r>
                  </w:p>
                </w:txbxContent>
              </v:textbox>
            </v:rect>
            <v:rect id="_x0000_s1129" o:spid="_x0000_s1129" o:spt="1" style="position:absolute;left:255;top:2626;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2100</w:t>
                    </w:r>
                  </w:p>
                </w:txbxContent>
              </v:textbox>
            </v:rect>
            <v:rect id="_x0000_s1130" o:spid="_x0000_s1130" o:spt="1" style="position:absolute;left:255;top:2251;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2150</w:t>
                    </w:r>
                  </w:p>
                </w:txbxContent>
              </v:textbox>
            </v:rect>
            <v:rect id="_x0000_s1131" o:spid="_x0000_s1131" o:spt="1" style="position:absolute;left:255;top:1876;height:312;width:3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2200</w:t>
                    </w:r>
                  </w:p>
                </w:txbxContent>
              </v:textbox>
            </v:rect>
            <v:rect id="_x0000_s1132" o:spid="_x0000_s1132" o:spt="1" style="position:absolute;left:1515;top:5463;height:312;width:5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2019</w:t>
                    </w:r>
                    <w:r>
                      <w:rPr>
                        <w:rFonts w:hint="eastAsia" w:ascii="宋体" w:cs="宋体"/>
                        <w:color w:val="000000"/>
                        <w:sz w:val="16"/>
                        <w:szCs w:val="16"/>
                      </w:rPr>
                      <w:t>年</w:t>
                    </w:r>
                  </w:p>
                </w:txbxContent>
              </v:textbox>
            </v:rect>
            <v:rect id="_x0000_s1133" o:spid="_x0000_s1133" o:spt="1" style="position:absolute;left:3569;top:5463;height:312;width:521;mso-wrap-style:none;" filled="f" stroked="f" coordsize="21600,21600">
              <v:path/>
              <v:fill on="f" focussize="0,0"/>
              <v:stroke on="f"/>
              <v:imagedata o:title=""/>
              <o:lock v:ext="edit"/>
              <v:textbox inset="0mm,0mm,0mm,0mm" style="mso-fit-shape-to-text:t;">
                <w:txbxContent>
                  <w:p>
                    <w:r>
                      <w:rPr>
                        <w:rFonts w:ascii="宋体" w:cs="宋体"/>
                        <w:color w:val="000000"/>
                        <w:sz w:val="16"/>
                        <w:szCs w:val="16"/>
                      </w:rPr>
                      <w:t>2018</w:t>
                    </w:r>
                    <w:r>
                      <w:rPr>
                        <w:rFonts w:hint="eastAsia" w:ascii="宋体" w:cs="宋体"/>
                        <w:color w:val="000000"/>
                        <w:sz w:val="16"/>
                        <w:szCs w:val="16"/>
                      </w:rPr>
                      <w:t>年</w:t>
                    </w:r>
                  </w:p>
                </w:txbxContent>
              </v:textbox>
            </v:rect>
            <v:rect id="_x0000_s1134" o:spid="_x0000_s1134" o:spt="1" style="position:absolute;left:75;top:75;height:5748;width:4919;" filled="f" coordsize="21600,21600">
              <v:path/>
              <v:fill on="f" focussize="0,0"/>
              <v:stroke/>
              <v:imagedata o:title=""/>
              <o:lock v:ext="edit"/>
            </v:rect>
            <w10:wrap type="none"/>
            <w10:anchorlock/>
          </v:group>
        </w:pict>
      </w:r>
    </w:p>
    <w:p>
      <w:pPr>
        <w:ind w:firstLine="643" w:firstLineChars="200"/>
        <w:rPr>
          <w:rFonts w:ascii="仿宋" w:hAnsi="仿宋" w:eastAsia="仿宋"/>
          <w:b/>
          <w:sz w:val="32"/>
          <w:szCs w:val="32"/>
        </w:rPr>
      </w:pPr>
      <w:bookmarkStart w:id="64" w:name="_Toc15377211"/>
      <w:r>
        <w:rPr>
          <w:rFonts w:hint="eastAsia" w:ascii="仿宋" w:hAnsi="仿宋" w:eastAsia="仿宋"/>
          <w:b/>
          <w:sz w:val="32"/>
          <w:szCs w:val="32"/>
        </w:rPr>
        <w:t>（二）一般公共预算财政拨款支出决算结构情况</w:t>
      </w:r>
      <w:bookmarkEnd w:id="64"/>
    </w:p>
    <w:p>
      <w:pPr>
        <w:ind w:firstLine="640" w:firstLineChars="200"/>
        <w:rPr>
          <w:rFonts w:ascii="仿宋" w:hAnsi="仿宋" w:eastAsia="仿宋"/>
          <w:sz w:val="32"/>
          <w:szCs w:val="32"/>
        </w:rPr>
      </w:pPr>
      <w:r>
        <w:rPr>
          <w:rFonts w:ascii="仿宋" w:hAnsi="仿宋" w:eastAsia="仿宋"/>
          <w:sz w:val="32"/>
          <w:szCs w:val="32"/>
        </w:rPr>
        <w:t>2019</w:t>
      </w:r>
      <w:r>
        <w:rPr>
          <w:rFonts w:hint="eastAsia" w:ascii="仿宋" w:hAnsi="仿宋" w:eastAsia="仿宋"/>
          <w:sz w:val="32"/>
          <w:szCs w:val="32"/>
        </w:rPr>
        <w:t>年一般公共预算财政拨款支出</w:t>
      </w:r>
      <w:r>
        <w:rPr>
          <w:rFonts w:ascii="仿宋" w:hAnsi="仿宋" w:eastAsia="仿宋"/>
          <w:sz w:val="32"/>
          <w:szCs w:val="32"/>
        </w:rPr>
        <w:t>1905.5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sz w:val="32"/>
          <w:szCs w:val="32"/>
        </w:rPr>
        <w:t>公共安全支出</w:t>
      </w:r>
      <w:r>
        <w:rPr>
          <w:rFonts w:ascii="仿宋" w:hAnsi="仿宋" w:eastAsia="仿宋"/>
          <w:sz w:val="32"/>
          <w:szCs w:val="32"/>
        </w:rPr>
        <w:t>1713.55</w:t>
      </w:r>
      <w:r>
        <w:rPr>
          <w:rFonts w:hint="eastAsia" w:ascii="仿宋" w:hAnsi="仿宋" w:eastAsia="仿宋"/>
          <w:sz w:val="32"/>
          <w:szCs w:val="32"/>
        </w:rPr>
        <w:t>万元，占</w:t>
      </w:r>
      <w:r>
        <w:rPr>
          <w:rFonts w:ascii="仿宋" w:hAnsi="仿宋" w:eastAsia="仿宋"/>
          <w:sz w:val="32"/>
          <w:szCs w:val="32"/>
        </w:rPr>
        <w:t>89.93%</w:t>
      </w:r>
      <w:r>
        <w:rPr>
          <w:rFonts w:hint="eastAsia" w:ascii="仿宋" w:hAnsi="仿宋" w:eastAsia="仿宋"/>
          <w:sz w:val="32"/>
          <w:szCs w:val="32"/>
        </w:rPr>
        <w:t>；社会保障和就业支出</w:t>
      </w:r>
      <w:r>
        <w:rPr>
          <w:rFonts w:ascii="仿宋" w:hAnsi="仿宋" w:eastAsia="仿宋"/>
          <w:sz w:val="32"/>
          <w:szCs w:val="32"/>
        </w:rPr>
        <w:t>134.79</w:t>
      </w:r>
      <w:r>
        <w:rPr>
          <w:rFonts w:hint="eastAsia" w:ascii="仿宋" w:hAnsi="仿宋" w:eastAsia="仿宋"/>
          <w:sz w:val="32"/>
          <w:szCs w:val="32"/>
        </w:rPr>
        <w:t>万元，占</w:t>
      </w:r>
      <w:r>
        <w:rPr>
          <w:rFonts w:ascii="仿宋" w:hAnsi="仿宋" w:eastAsia="仿宋"/>
          <w:sz w:val="32"/>
          <w:szCs w:val="32"/>
        </w:rPr>
        <w:t>7.07%</w:t>
      </w:r>
      <w:r>
        <w:rPr>
          <w:rFonts w:hint="eastAsia" w:ascii="仿宋" w:hAnsi="仿宋" w:eastAsia="仿宋"/>
          <w:sz w:val="32"/>
          <w:szCs w:val="32"/>
        </w:rPr>
        <w:t>；健康卫生支出</w:t>
      </w:r>
      <w:r>
        <w:rPr>
          <w:rFonts w:ascii="仿宋" w:hAnsi="仿宋" w:eastAsia="仿宋"/>
          <w:sz w:val="32"/>
          <w:szCs w:val="32"/>
        </w:rPr>
        <w:t>43.29</w:t>
      </w:r>
      <w:r>
        <w:rPr>
          <w:rFonts w:hint="eastAsia" w:ascii="仿宋" w:hAnsi="仿宋" w:eastAsia="仿宋"/>
          <w:sz w:val="32"/>
          <w:szCs w:val="32"/>
        </w:rPr>
        <w:t>万元，占</w:t>
      </w:r>
      <w:r>
        <w:rPr>
          <w:rFonts w:ascii="仿宋" w:hAnsi="仿宋" w:eastAsia="仿宋"/>
          <w:sz w:val="32"/>
          <w:szCs w:val="32"/>
        </w:rPr>
        <w:t>2.27%</w:t>
      </w:r>
      <w:r>
        <w:rPr>
          <w:rFonts w:hint="eastAsia" w:ascii="仿宋" w:hAnsi="仿宋" w:eastAsia="仿宋"/>
          <w:sz w:val="32"/>
          <w:szCs w:val="32"/>
        </w:rPr>
        <w:t>；住房保障支出</w:t>
      </w:r>
      <w:r>
        <w:rPr>
          <w:rFonts w:ascii="仿宋" w:hAnsi="仿宋" w:eastAsia="仿宋"/>
          <w:sz w:val="32"/>
          <w:szCs w:val="32"/>
        </w:rPr>
        <w:t>13.87</w:t>
      </w:r>
      <w:r>
        <w:rPr>
          <w:rFonts w:hint="eastAsia" w:ascii="仿宋" w:hAnsi="仿宋" w:eastAsia="仿宋"/>
          <w:sz w:val="32"/>
          <w:szCs w:val="32"/>
        </w:rPr>
        <w:t>万元，占</w:t>
      </w:r>
      <w:r>
        <w:rPr>
          <w:rFonts w:ascii="仿宋" w:hAnsi="仿宋" w:eastAsia="仿宋"/>
          <w:sz w:val="32"/>
          <w:szCs w:val="32"/>
        </w:rPr>
        <w:t>0.72%</w:t>
      </w:r>
      <w:r>
        <w:rPr>
          <w:rFonts w:hint="eastAsia" w:ascii="仿宋" w:hAnsi="仿宋" w:eastAsia="仿宋"/>
          <w:sz w:val="32"/>
          <w:szCs w:val="32"/>
        </w:rPr>
        <w:t>。</w:t>
      </w:r>
    </w:p>
    <w:p>
      <w:pPr>
        <w:rPr>
          <w:szCs w:val="32"/>
        </w:rPr>
      </w:pPr>
      <w:r>
        <w:pict>
          <v:shape id="_x0000_i1026" o:spt="75" type="#_x0000_t75" style="height:219.75pt;width:361.5pt;" filled="f" o:preferrelative="t" stroked="f" coordsize="21600,21600">
            <v:path/>
            <v:fill on="f" focussize="0,0"/>
            <v:stroke on="f" joinstyle="miter"/>
            <v:imagedata r:id="rId8" o:title=""/>
            <o:lock v:ext="edit" aspectratio="t"/>
            <w10:wrap type="none"/>
            <w10:anchorlock/>
          </v:shape>
        </w:pict>
      </w:r>
    </w:p>
    <w:p>
      <w:pPr>
        <w:spacing w:line="600" w:lineRule="exact"/>
        <w:ind w:firstLine="643" w:firstLineChars="200"/>
        <w:outlineLvl w:val="2"/>
        <w:rPr>
          <w:rFonts w:ascii="仿宋" w:hAnsi="仿宋" w:eastAsia="仿宋"/>
          <w:b/>
          <w:color w:val="000000"/>
          <w:sz w:val="32"/>
          <w:szCs w:val="32"/>
        </w:rPr>
      </w:pPr>
      <w:bookmarkStart w:id="65" w:name="_Toc15377212"/>
      <w:bookmarkStart w:id="66" w:name="_Toc50621926"/>
      <w:bookmarkStart w:id="67" w:name="_Toc50622818"/>
      <w:r>
        <w:rPr>
          <w:rFonts w:hint="eastAsia" w:ascii="仿宋" w:hAnsi="仿宋" w:eastAsia="仿宋"/>
          <w:b/>
          <w:color w:val="000000"/>
          <w:sz w:val="32"/>
          <w:szCs w:val="32"/>
        </w:rPr>
        <w:t>（三）一般公共预算财政拨款支出决算具体情况</w:t>
      </w:r>
      <w:bookmarkEnd w:id="65"/>
      <w:bookmarkEnd w:id="66"/>
      <w:bookmarkEnd w:id="67"/>
    </w:p>
    <w:p>
      <w:pPr>
        <w:spacing w:line="600" w:lineRule="exact"/>
        <w:ind w:firstLine="643" w:firstLineChars="200"/>
        <w:outlineLvl w:val="2"/>
        <w:rPr>
          <w:rFonts w:ascii="仿宋" w:hAnsi="仿宋" w:eastAsia="仿宋"/>
          <w:color w:val="FF0000"/>
          <w:sz w:val="32"/>
          <w:szCs w:val="32"/>
        </w:rPr>
      </w:pPr>
      <w:bookmarkStart w:id="68" w:name="_Toc50621927"/>
      <w:bookmarkStart w:id="69" w:name="_Toc15377444"/>
      <w:bookmarkStart w:id="70" w:name="_Toc15378460"/>
      <w:bookmarkStart w:id="71" w:name="_Toc15377213"/>
      <w:bookmarkStart w:id="72" w:name="_Toc50622819"/>
      <w:r>
        <w:rPr>
          <w:rFonts w:ascii="仿宋" w:hAnsi="仿宋" w:eastAsia="仿宋"/>
          <w:b/>
          <w:color w:val="000000"/>
          <w:sz w:val="32"/>
          <w:szCs w:val="32"/>
        </w:rPr>
        <w:t>2019</w:t>
      </w:r>
      <w:r>
        <w:rPr>
          <w:rFonts w:hint="eastAsia" w:ascii="仿宋" w:hAnsi="仿宋" w:eastAsia="仿宋"/>
          <w:b/>
          <w:color w:val="000000"/>
          <w:sz w:val="32"/>
          <w:szCs w:val="32"/>
        </w:rPr>
        <w:t>年一般公共预算支出决算数为</w:t>
      </w:r>
      <w:r>
        <w:rPr>
          <w:rFonts w:ascii="仿宋" w:hAnsi="仿宋" w:eastAsia="仿宋"/>
          <w:b/>
          <w:color w:val="000000"/>
          <w:sz w:val="32"/>
          <w:szCs w:val="32"/>
        </w:rPr>
        <w:t>1905.5</w:t>
      </w:r>
      <w:r>
        <w:rPr>
          <w:rFonts w:hint="eastAsia" w:ascii="仿宋" w:hAnsi="仿宋" w:eastAsia="仿宋"/>
          <w:b/>
          <w:color w:val="000000"/>
          <w:sz w:val="32"/>
          <w:szCs w:val="32"/>
        </w:rPr>
        <w:t>万元</w:t>
      </w:r>
      <w:r>
        <w:rPr>
          <w:rFonts w:hint="eastAsia" w:ascii="仿宋" w:hAnsi="仿宋" w:eastAsia="仿宋"/>
          <w:color w:val="000000"/>
          <w:sz w:val="32"/>
          <w:szCs w:val="32"/>
        </w:rPr>
        <w:t>，</w:t>
      </w:r>
      <w:r>
        <w:rPr>
          <w:rStyle w:val="21"/>
          <w:rFonts w:hint="eastAsia" w:ascii="仿宋" w:hAnsi="仿宋" w:eastAsia="仿宋"/>
          <w:bCs/>
          <w:color w:val="000000"/>
          <w:sz w:val="32"/>
          <w:szCs w:val="32"/>
        </w:rPr>
        <w:t>完成预算</w:t>
      </w:r>
      <w:r>
        <w:rPr>
          <w:rStyle w:val="21"/>
          <w:rFonts w:ascii="仿宋" w:hAnsi="仿宋" w:eastAsia="仿宋"/>
          <w:bCs/>
          <w:color w:val="000000"/>
          <w:sz w:val="32"/>
          <w:szCs w:val="32"/>
        </w:rPr>
        <w:t>100%</w:t>
      </w:r>
      <w:r>
        <w:rPr>
          <w:rStyle w:val="21"/>
          <w:rFonts w:hint="eastAsia" w:ascii="仿宋" w:hAnsi="仿宋" w:eastAsia="仿宋"/>
          <w:bCs/>
          <w:color w:val="000000"/>
          <w:sz w:val="32"/>
          <w:szCs w:val="32"/>
        </w:rPr>
        <w:t>。其中：</w:t>
      </w:r>
      <w:bookmarkEnd w:id="68"/>
      <w:bookmarkEnd w:id="69"/>
      <w:bookmarkEnd w:id="70"/>
      <w:bookmarkEnd w:id="71"/>
      <w:bookmarkEnd w:id="72"/>
    </w:p>
    <w:p>
      <w:pPr>
        <w:spacing w:line="600" w:lineRule="exact"/>
        <w:ind w:firstLine="643" w:firstLineChars="200"/>
        <w:rPr>
          <w:rFonts w:ascii="仿宋" w:hAnsi="仿宋" w:eastAsia="仿宋"/>
          <w:b/>
          <w:color w:val="000000"/>
          <w:sz w:val="32"/>
          <w:szCs w:val="32"/>
        </w:rPr>
      </w:pPr>
      <w:r>
        <w:rPr>
          <w:rStyle w:val="21"/>
          <w:rFonts w:ascii="仿宋" w:hAnsi="仿宋" w:eastAsia="仿宋"/>
          <w:bCs/>
          <w:color w:val="000000"/>
          <w:sz w:val="32"/>
          <w:szCs w:val="32"/>
        </w:rPr>
        <w:t>1.</w:t>
      </w:r>
      <w:r>
        <w:rPr>
          <w:rStyle w:val="21"/>
          <w:rFonts w:hint="eastAsia" w:ascii="仿宋" w:hAnsi="仿宋" w:eastAsia="仿宋"/>
          <w:bCs/>
          <w:color w:val="000000"/>
          <w:sz w:val="32"/>
          <w:szCs w:val="32"/>
        </w:rPr>
        <w:t>公共安全（类）检察（款）行政运行（项）</w:t>
      </w:r>
      <w:r>
        <w:rPr>
          <w:rStyle w:val="21"/>
          <w:rFonts w:ascii="仿宋" w:hAnsi="仿宋" w:eastAsia="仿宋"/>
          <w:bCs/>
          <w:color w:val="000000"/>
          <w:sz w:val="32"/>
          <w:szCs w:val="32"/>
        </w:rPr>
        <w:t>:</w:t>
      </w:r>
      <w:r>
        <w:rPr>
          <w:rStyle w:val="21"/>
          <w:rFonts w:ascii="仿宋" w:hAnsi="仿宋" w:eastAsia="仿宋"/>
          <w:b w:val="0"/>
          <w:bCs/>
          <w:color w:val="000000"/>
          <w:sz w:val="32"/>
          <w:szCs w:val="32"/>
        </w:rPr>
        <w:t xml:space="preserve"> </w:t>
      </w:r>
      <w:r>
        <w:rPr>
          <w:rStyle w:val="21"/>
          <w:rFonts w:hint="eastAsia" w:ascii="仿宋" w:hAnsi="仿宋" w:eastAsia="仿宋"/>
          <w:b w:val="0"/>
          <w:bCs/>
          <w:color w:val="000000"/>
          <w:sz w:val="32"/>
          <w:szCs w:val="32"/>
        </w:rPr>
        <w:t>支出决算为</w:t>
      </w:r>
      <w:r>
        <w:rPr>
          <w:rStyle w:val="21"/>
          <w:rFonts w:ascii="仿宋" w:hAnsi="仿宋" w:eastAsia="仿宋"/>
          <w:b w:val="0"/>
          <w:bCs/>
          <w:color w:val="000000"/>
          <w:sz w:val="32"/>
          <w:szCs w:val="32"/>
        </w:rPr>
        <w:t>1048.55</w:t>
      </w:r>
      <w:r>
        <w:rPr>
          <w:rStyle w:val="21"/>
          <w:rFonts w:hint="eastAsia" w:ascii="仿宋" w:hAnsi="仿宋" w:eastAsia="仿宋"/>
          <w:b w:val="0"/>
          <w:bCs/>
          <w:color w:val="000000"/>
          <w:sz w:val="32"/>
          <w:szCs w:val="32"/>
        </w:rPr>
        <w:t>万元，完成预算</w:t>
      </w:r>
      <w:r>
        <w:rPr>
          <w:rStyle w:val="21"/>
          <w:rFonts w:ascii="仿宋" w:hAnsi="仿宋" w:eastAsia="仿宋"/>
          <w:b w:val="0"/>
          <w:bCs/>
          <w:color w:val="000000"/>
          <w:sz w:val="32"/>
          <w:szCs w:val="32"/>
        </w:rPr>
        <w:t>100</w:t>
      </w:r>
      <w:bookmarkStart w:id="163" w:name="_GoBack"/>
      <w:bookmarkEnd w:id="163"/>
      <w:r>
        <w:rPr>
          <w:rStyle w:val="21"/>
          <w:rFonts w:ascii="仿宋" w:hAnsi="仿宋" w:eastAsia="仿宋"/>
          <w:b w:val="0"/>
          <w:bCs/>
          <w:color w:val="000000"/>
          <w:sz w:val="32"/>
          <w:szCs w:val="32"/>
        </w:rPr>
        <w:t>%</w:t>
      </w:r>
      <w:r>
        <w:rPr>
          <w:rStyle w:val="21"/>
          <w:rFonts w:hint="eastAsia" w:ascii="仿宋" w:hAnsi="仿宋" w:eastAsia="仿宋"/>
          <w:b w:val="0"/>
          <w:bCs/>
          <w:color w:val="000000"/>
          <w:sz w:val="32"/>
          <w:szCs w:val="32"/>
        </w:rPr>
        <w:t>，决算数等于预算数。</w:t>
      </w:r>
    </w:p>
    <w:p>
      <w:pPr>
        <w:spacing w:line="600" w:lineRule="exact"/>
        <w:ind w:firstLine="643" w:firstLineChars="200"/>
        <w:rPr>
          <w:rFonts w:ascii="仿宋" w:hAnsi="仿宋" w:eastAsia="仿宋"/>
          <w:b/>
          <w:color w:val="000000"/>
          <w:sz w:val="32"/>
          <w:szCs w:val="32"/>
        </w:rPr>
      </w:pPr>
      <w:r>
        <w:rPr>
          <w:rStyle w:val="21"/>
          <w:rFonts w:ascii="仿宋" w:hAnsi="仿宋" w:eastAsia="仿宋"/>
          <w:bCs/>
          <w:color w:val="000000"/>
          <w:sz w:val="32"/>
          <w:szCs w:val="32"/>
        </w:rPr>
        <w:t xml:space="preserve">2. </w:t>
      </w:r>
      <w:r>
        <w:rPr>
          <w:rStyle w:val="21"/>
          <w:rFonts w:hint="eastAsia" w:ascii="仿宋" w:hAnsi="仿宋" w:eastAsia="仿宋"/>
          <w:bCs/>
          <w:color w:val="000000"/>
          <w:sz w:val="32"/>
          <w:szCs w:val="32"/>
        </w:rPr>
        <w:t>公共安全（类）检察（款）一般行政管理事务（项）</w:t>
      </w:r>
      <w:r>
        <w:rPr>
          <w:rStyle w:val="21"/>
          <w:rFonts w:ascii="仿宋" w:hAnsi="仿宋" w:eastAsia="仿宋"/>
          <w:bCs/>
          <w:color w:val="000000"/>
          <w:sz w:val="32"/>
          <w:szCs w:val="32"/>
        </w:rPr>
        <w:t>:</w:t>
      </w:r>
      <w:r>
        <w:rPr>
          <w:rStyle w:val="21"/>
          <w:rFonts w:ascii="仿宋" w:hAnsi="仿宋" w:eastAsia="仿宋"/>
          <w:b w:val="0"/>
          <w:bCs/>
          <w:color w:val="000000"/>
          <w:sz w:val="32"/>
          <w:szCs w:val="32"/>
        </w:rPr>
        <w:t xml:space="preserve"> </w:t>
      </w:r>
      <w:r>
        <w:rPr>
          <w:rStyle w:val="21"/>
          <w:rFonts w:hint="eastAsia" w:ascii="仿宋" w:hAnsi="仿宋" w:eastAsia="仿宋"/>
          <w:b w:val="0"/>
          <w:bCs/>
          <w:color w:val="000000"/>
          <w:sz w:val="32"/>
          <w:szCs w:val="32"/>
        </w:rPr>
        <w:t>支出决算为</w:t>
      </w:r>
      <w:r>
        <w:rPr>
          <w:rStyle w:val="21"/>
          <w:rFonts w:ascii="仿宋" w:hAnsi="仿宋" w:eastAsia="仿宋"/>
          <w:b w:val="0"/>
          <w:bCs/>
          <w:color w:val="000000"/>
          <w:sz w:val="32"/>
          <w:szCs w:val="32"/>
        </w:rPr>
        <w:t>34</w:t>
      </w:r>
      <w:r>
        <w:rPr>
          <w:rStyle w:val="21"/>
          <w:rFonts w:hint="eastAsia" w:ascii="仿宋" w:hAnsi="仿宋" w:eastAsia="仿宋"/>
          <w:b w:val="0"/>
          <w:bCs/>
          <w:color w:val="000000"/>
          <w:sz w:val="32"/>
          <w:szCs w:val="32"/>
        </w:rPr>
        <w:t>万元，完成预算</w:t>
      </w:r>
      <w:r>
        <w:rPr>
          <w:rStyle w:val="21"/>
          <w:rFonts w:ascii="仿宋" w:hAnsi="仿宋" w:eastAsia="仿宋"/>
          <w:b w:val="0"/>
          <w:bCs/>
          <w:color w:val="000000"/>
          <w:sz w:val="32"/>
          <w:szCs w:val="32"/>
        </w:rPr>
        <w:t>100%</w:t>
      </w:r>
      <w:r>
        <w:rPr>
          <w:rStyle w:val="21"/>
          <w:rFonts w:hint="eastAsia" w:ascii="仿宋" w:hAnsi="仿宋" w:eastAsia="仿宋"/>
          <w:b w:val="0"/>
          <w:bCs/>
          <w:color w:val="000000"/>
          <w:sz w:val="32"/>
          <w:szCs w:val="32"/>
        </w:rPr>
        <w:t>，决算数等于预算数。</w:t>
      </w:r>
    </w:p>
    <w:p>
      <w:pPr>
        <w:spacing w:line="600" w:lineRule="exact"/>
        <w:ind w:firstLine="643" w:firstLineChars="200"/>
        <w:rPr>
          <w:rFonts w:ascii="仿宋" w:hAnsi="仿宋" w:eastAsia="仿宋"/>
          <w:b/>
          <w:color w:val="000000"/>
          <w:sz w:val="32"/>
          <w:szCs w:val="32"/>
        </w:rPr>
      </w:pPr>
      <w:r>
        <w:rPr>
          <w:rStyle w:val="21"/>
          <w:rFonts w:ascii="仿宋" w:hAnsi="仿宋" w:eastAsia="仿宋"/>
          <w:bCs/>
          <w:color w:val="000000"/>
          <w:sz w:val="32"/>
          <w:szCs w:val="32"/>
        </w:rPr>
        <w:t xml:space="preserve">3. </w:t>
      </w:r>
      <w:r>
        <w:rPr>
          <w:rStyle w:val="21"/>
          <w:rFonts w:hint="eastAsia" w:ascii="仿宋" w:hAnsi="仿宋" w:eastAsia="仿宋"/>
          <w:bCs/>
          <w:color w:val="000000"/>
          <w:sz w:val="32"/>
          <w:szCs w:val="32"/>
        </w:rPr>
        <w:t>公共安全（类）检察（款）其他检察支出（项）</w:t>
      </w:r>
      <w:r>
        <w:rPr>
          <w:rStyle w:val="21"/>
          <w:rFonts w:ascii="仿宋" w:hAnsi="仿宋" w:eastAsia="仿宋"/>
          <w:bCs/>
          <w:color w:val="000000"/>
          <w:sz w:val="32"/>
          <w:szCs w:val="32"/>
        </w:rPr>
        <w:t>:</w:t>
      </w:r>
      <w:r>
        <w:rPr>
          <w:rStyle w:val="21"/>
          <w:rFonts w:ascii="仿宋" w:hAnsi="仿宋" w:eastAsia="仿宋"/>
          <w:b w:val="0"/>
          <w:bCs/>
          <w:color w:val="000000"/>
          <w:sz w:val="32"/>
          <w:szCs w:val="32"/>
        </w:rPr>
        <w:t xml:space="preserve"> </w:t>
      </w:r>
      <w:r>
        <w:rPr>
          <w:rStyle w:val="21"/>
          <w:rFonts w:hint="eastAsia" w:ascii="仿宋" w:hAnsi="仿宋" w:eastAsia="仿宋"/>
          <w:b w:val="0"/>
          <w:bCs/>
          <w:color w:val="000000"/>
          <w:sz w:val="32"/>
          <w:szCs w:val="32"/>
        </w:rPr>
        <w:t>支出决算为</w:t>
      </w:r>
      <w:r>
        <w:rPr>
          <w:rStyle w:val="21"/>
          <w:rFonts w:ascii="仿宋" w:hAnsi="仿宋" w:eastAsia="仿宋"/>
          <w:b w:val="0"/>
          <w:bCs/>
          <w:color w:val="000000"/>
          <w:sz w:val="32"/>
          <w:szCs w:val="32"/>
        </w:rPr>
        <w:t>631</w:t>
      </w:r>
      <w:r>
        <w:rPr>
          <w:rStyle w:val="21"/>
          <w:rFonts w:hint="eastAsia" w:ascii="仿宋" w:hAnsi="仿宋" w:eastAsia="仿宋"/>
          <w:b w:val="0"/>
          <w:bCs/>
          <w:color w:val="000000"/>
          <w:sz w:val="32"/>
          <w:szCs w:val="32"/>
        </w:rPr>
        <w:t>万元，完成预算</w:t>
      </w:r>
      <w:r>
        <w:rPr>
          <w:rStyle w:val="21"/>
          <w:rFonts w:ascii="仿宋" w:hAnsi="仿宋" w:eastAsia="仿宋"/>
          <w:b w:val="0"/>
          <w:bCs/>
          <w:color w:val="000000"/>
          <w:sz w:val="32"/>
          <w:szCs w:val="32"/>
        </w:rPr>
        <w:t>100%</w:t>
      </w:r>
      <w:r>
        <w:rPr>
          <w:rStyle w:val="21"/>
          <w:rFonts w:hint="eastAsia" w:ascii="仿宋" w:hAnsi="仿宋" w:eastAsia="仿宋"/>
          <w:b w:val="0"/>
          <w:bCs/>
          <w:color w:val="000000"/>
          <w:sz w:val="32"/>
          <w:szCs w:val="32"/>
        </w:rPr>
        <w:t>，决算数等于预算数。</w:t>
      </w:r>
    </w:p>
    <w:p>
      <w:pPr>
        <w:spacing w:line="600" w:lineRule="exact"/>
        <w:ind w:firstLine="643" w:firstLineChars="200"/>
        <w:rPr>
          <w:rFonts w:ascii="仿宋" w:hAnsi="仿宋" w:eastAsia="仿宋"/>
          <w:b/>
          <w:color w:val="000000"/>
          <w:sz w:val="32"/>
          <w:szCs w:val="32"/>
        </w:rPr>
      </w:pPr>
      <w:r>
        <w:rPr>
          <w:rStyle w:val="21"/>
          <w:rFonts w:ascii="仿宋" w:hAnsi="仿宋" w:eastAsia="仿宋"/>
          <w:bCs/>
          <w:color w:val="000000"/>
          <w:sz w:val="32"/>
          <w:szCs w:val="32"/>
        </w:rPr>
        <w:t>4.</w:t>
      </w:r>
      <w:r>
        <w:rPr>
          <w:rStyle w:val="21"/>
          <w:rFonts w:hint="eastAsia" w:ascii="仿宋" w:hAnsi="仿宋" w:eastAsia="仿宋"/>
          <w:bCs/>
          <w:color w:val="000000"/>
          <w:sz w:val="32"/>
          <w:szCs w:val="32"/>
        </w:rPr>
        <w:t>社会保障和就业（类）行政事业单位离退休（款）机关事业单位基本养老保险缴费支出（项）</w:t>
      </w:r>
      <w:r>
        <w:rPr>
          <w:rStyle w:val="21"/>
          <w:rFonts w:ascii="仿宋" w:hAnsi="仿宋" w:eastAsia="仿宋"/>
          <w:bCs/>
          <w:color w:val="000000"/>
          <w:sz w:val="32"/>
          <w:szCs w:val="32"/>
        </w:rPr>
        <w:t>:</w:t>
      </w:r>
      <w:r>
        <w:rPr>
          <w:rStyle w:val="21"/>
          <w:rFonts w:ascii="仿宋" w:hAnsi="仿宋" w:eastAsia="仿宋"/>
          <w:b w:val="0"/>
          <w:bCs/>
          <w:color w:val="000000"/>
          <w:sz w:val="32"/>
          <w:szCs w:val="32"/>
        </w:rPr>
        <w:t xml:space="preserve"> </w:t>
      </w:r>
      <w:r>
        <w:rPr>
          <w:rStyle w:val="21"/>
          <w:rFonts w:hint="eastAsia" w:ascii="仿宋" w:hAnsi="仿宋" w:eastAsia="仿宋"/>
          <w:b w:val="0"/>
          <w:bCs/>
          <w:color w:val="000000"/>
          <w:sz w:val="32"/>
          <w:szCs w:val="32"/>
        </w:rPr>
        <w:t>支出决算为</w:t>
      </w:r>
      <w:r>
        <w:rPr>
          <w:rStyle w:val="21"/>
          <w:rFonts w:ascii="仿宋" w:hAnsi="仿宋" w:eastAsia="仿宋"/>
          <w:b w:val="0"/>
          <w:bCs/>
          <w:color w:val="000000"/>
          <w:sz w:val="32"/>
          <w:szCs w:val="32"/>
        </w:rPr>
        <w:t>133.21</w:t>
      </w:r>
      <w:r>
        <w:rPr>
          <w:rStyle w:val="21"/>
          <w:rFonts w:hint="eastAsia" w:ascii="仿宋" w:hAnsi="仿宋" w:eastAsia="仿宋"/>
          <w:b w:val="0"/>
          <w:bCs/>
          <w:color w:val="000000"/>
          <w:sz w:val="32"/>
          <w:szCs w:val="32"/>
        </w:rPr>
        <w:t>万元，完成预算</w:t>
      </w:r>
      <w:r>
        <w:rPr>
          <w:rStyle w:val="21"/>
          <w:rFonts w:ascii="仿宋" w:hAnsi="仿宋" w:eastAsia="仿宋"/>
          <w:b w:val="0"/>
          <w:bCs/>
          <w:color w:val="000000"/>
          <w:sz w:val="32"/>
          <w:szCs w:val="32"/>
        </w:rPr>
        <w:t>100%</w:t>
      </w:r>
      <w:r>
        <w:rPr>
          <w:rStyle w:val="21"/>
          <w:rFonts w:hint="eastAsia" w:ascii="仿宋" w:hAnsi="仿宋" w:eastAsia="仿宋"/>
          <w:b w:val="0"/>
          <w:bCs/>
          <w:color w:val="000000"/>
          <w:sz w:val="32"/>
          <w:szCs w:val="32"/>
        </w:rPr>
        <w:t>，决算数等于预算数。</w:t>
      </w:r>
    </w:p>
    <w:p>
      <w:pPr>
        <w:spacing w:line="600" w:lineRule="exact"/>
        <w:ind w:firstLine="643" w:firstLineChars="200"/>
        <w:rPr>
          <w:rFonts w:ascii="仿宋" w:hAnsi="仿宋" w:eastAsia="仿宋"/>
          <w:b/>
          <w:color w:val="000000"/>
          <w:sz w:val="32"/>
          <w:szCs w:val="32"/>
        </w:rPr>
      </w:pPr>
      <w:r>
        <w:rPr>
          <w:rStyle w:val="21"/>
          <w:rFonts w:ascii="仿宋" w:hAnsi="仿宋" w:eastAsia="仿宋"/>
          <w:bCs/>
          <w:color w:val="000000"/>
          <w:sz w:val="32"/>
          <w:szCs w:val="32"/>
        </w:rPr>
        <w:t xml:space="preserve">5. </w:t>
      </w:r>
      <w:r>
        <w:rPr>
          <w:rStyle w:val="21"/>
          <w:rFonts w:hint="eastAsia" w:ascii="仿宋" w:hAnsi="仿宋" w:eastAsia="仿宋"/>
          <w:bCs/>
          <w:color w:val="000000"/>
          <w:sz w:val="32"/>
          <w:szCs w:val="32"/>
        </w:rPr>
        <w:t>社会保障和就业（类）行政事业单位离退休（款）机关事业单位职业年金缴费支出（项）</w:t>
      </w:r>
      <w:r>
        <w:rPr>
          <w:rStyle w:val="21"/>
          <w:rFonts w:ascii="仿宋" w:hAnsi="仿宋" w:eastAsia="仿宋"/>
          <w:bCs/>
          <w:color w:val="000000"/>
          <w:sz w:val="32"/>
          <w:szCs w:val="32"/>
        </w:rPr>
        <w:t>:</w:t>
      </w:r>
      <w:r>
        <w:rPr>
          <w:rStyle w:val="21"/>
          <w:rFonts w:hint="eastAsia" w:ascii="仿宋" w:hAnsi="仿宋" w:eastAsia="仿宋"/>
          <w:b w:val="0"/>
          <w:bCs/>
          <w:color w:val="000000"/>
          <w:sz w:val="32"/>
          <w:szCs w:val="32"/>
        </w:rPr>
        <w:t>支出决算为</w:t>
      </w:r>
      <w:r>
        <w:rPr>
          <w:rStyle w:val="21"/>
          <w:rFonts w:ascii="仿宋" w:hAnsi="仿宋" w:eastAsia="仿宋"/>
          <w:b w:val="0"/>
          <w:bCs/>
          <w:color w:val="000000"/>
          <w:sz w:val="32"/>
          <w:szCs w:val="32"/>
        </w:rPr>
        <w:t>1.57</w:t>
      </w:r>
      <w:r>
        <w:rPr>
          <w:rStyle w:val="21"/>
          <w:rFonts w:hint="eastAsia" w:ascii="仿宋" w:hAnsi="仿宋" w:eastAsia="仿宋"/>
          <w:b w:val="0"/>
          <w:bCs/>
          <w:color w:val="000000"/>
          <w:sz w:val="32"/>
          <w:szCs w:val="32"/>
        </w:rPr>
        <w:t>万元，完成预算</w:t>
      </w:r>
      <w:r>
        <w:rPr>
          <w:rStyle w:val="21"/>
          <w:rFonts w:ascii="仿宋" w:hAnsi="仿宋" w:eastAsia="仿宋"/>
          <w:b w:val="0"/>
          <w:bCs/>
          <w:color w:val="000000"/>
          <w:sz w:val="32"/>
          <w:szCs w:val="32"/>
        </w:rPr>
        <w:t>100%</w:t>
      </w:r>
      <w:r>
        <w:rPr>
          <w:rStyle w:val="21"/>
          <w:rFonts w:hint="eastAsia" w:ascii="仿宋" w:hAnsi="仿宋" w:eastAsia="仿宋"/>
          <w:b w:val="0"/>
          <w:bCs/>
          <w:color w:val="000000"/>
          <w:sz w:val="32"/>
          <w:szCs w:val="32"/>
        </w:rPr>
        <w:t>，决算数等于预算数。</w:t>
      </w:r>
    </w:p>
    <w:p>
      <w:pPr>
        <w:spacing w:line="600" w:lineRule="exact"/>
        <w:ind w:firstLine="643" w:firstLineChars="200"/>
        <w:rPr>
          <w:rFonts w:ascii="仿宋" w:hAnsi="仿宋" w:eastAsia="仿宋"/>
          <w:b/>
          <w:color w:val="000000"/>
          <w:sz w:val="32"/>
          <w:szCs w:val="32"/>
        </w:rPr>
      </w:pPr>
      <w:r>
        <w:rPr>
          <w:rStyle w:val="21"/>
          <w:rFonts w:ascii="仿宋" w:hAnsi="仿宋" w:eastAsia="仿宋"/>
          <w:bCs/>
          <w:color w:val="000000"/>
          <w:sz w:val="32"/>
          <w:szCs w:val="32"/>
        </w:rPr>
        <w:t>6.</w:t>
      </w:r>
      <w:r>
        <w:rPr>
          <w:rStyle w:val="21"/>
          <w:rFonts w:hint="eastAsia" w:ascii="仿宋" w:hAnsi="仿宋" w:eastAsia="仿宋"/>
          <w:bCs/>
          <w:color w:val="000000"/>
          <w:sz w:val="32"/>
          <w:szCs w:val="32"/>
        </w:rPr>
        <w:t>医疗卫生健康支出（类）行政事业单位医疗（款）行政单位医疗（项）</w:t>
      </w:r>
      <w:r>
        <w:rPr>
          <w:rStyle w:val="21"/>
          <w:rFonts w:ascii="仿宋" w:hAnsi="仿宋" w:eastAsia="仿宋"/>
          <w:bCs/>
          <w:color w:val="000000"/>
          <w:sz w:val="32"/>
          <w:szCs w:val="32"/>
        </w:rPr>
        <w:t>:</w:t>
      </w:r>
      <w:r>
        <w:rPr>
          <w:rStyle w:val="21"/>
          <w:rFonts w:hint="eastAsia" w:ascii="仿宋" w:hAnsi="仿宋" w:eastAsia="仿宋"/>
          <w:b w:val="0"/>
          <w:bCs/>
          <w:color w:val="000000"/>
          <w:sz w:val="32"/>
          <w:szCs w:val="32"/>
        </w:rPr>
        <w:t>支出决算为</w:t>
      </w:r>
      <w:r>
        <w:rPr>
          <w:rStyle w:val="21"/>
          <w:rFonts w:ascii="仿宋" w:hAnsi="仿宋" w:eastAsia="仿宋"/>
          <w:b w:val="0"/>
          <w:bCs/>
          <w:color w:val="000000"/>
          <w:sz w:val="32"/>
          <w:szCs w:val="32"/>
        </w:rPr>
        <w:t>43.29</w:t>
      </w:r>
      <w:r>
        <w:rPr>
          <w:rStyle w:val="21"/>
          <w:rFonts w:hint="eastAsia" w:ascii="仿宋" w:hAnsi="仿宋" w:eastAsia="仿宋"/>
          <w:b w:val="0"/>
          <w:bCs/>
          <w:color w:val="000000"/>
          <w:sz w:val="32"/>
          <w:szCs w:val="32"/>
        </w:rPr>
        <w:t>万元，完成预算</w:t>
      </w:r>
      <w:r>
        <w:rPr>
          <w:rStyle w:val="21"/>
          <w:rFonts w:ascii="仿宋" w:hAnsi="仿宋" w:eastAsia="仿宋"/>
          <w:b w:val="0"/>
          <w:bCs/>
          <w:color w:val="000000"/>
          <w:sz w:val="32"/>
          <w:szCs w:val="32"/>
        </w:rPr>
        <w:t>100%</w:t>
      </w:r>
      <w:r>
        <w:rPr>
          <w:rStyle w:val="21"/>
          <w:rFonts w:hint="eastAsia" w:ascii="仿宋" w:hAnsi="仿宋" w:eastAsia="仿宋"/>
          <w:b w:val="0"/>
          <w:bCs/>
          <w:color w:val="000000"/>
          <w:sz w:val="32"/>
          <w:szCs w:val="32"/>
        </w:rPr>
        <w:t>，决算数等于预算数。</w:t>
      </w:r>
    </w:p>
    <w:p>
      <w:pPr>
        <w:spacing w:line="600" w:lineRule="exact"/>
        <w:ind w:firstLine="643" w:firstLineChars="200"/>
        <w:rPr>
          <w:rFonts w:ascii="仿宋" w:hAnsi="仿宋" w:eastAsia="仿宋"/>
          <w:b/>
          <w:color w:val="000000"/>
          <w:sz w:val="32"/>
          <w:szCs w:val="32"/>
        </w:rPr>
      </w:pPr>
      <w:r>
        <w:rPr>
          <w:rStyle w:val="21"/>
          <w:rFonts w:ascii="仿宋" w:hAnsi="仿宋" w:eastAsia="仿宋"/>
          <w:bCs/>
          <w:color w:val="000000"/>
          <w:sz w:val="32"/>
          <w:szCs w:val="32"/>
        </w:rPr>
        <w:t>7.</w:t>
      </w:r>
      <w:r>
        <w:rPr>
          <w:rStyle w:val="21"/>
          <w:rFonts w:hint="eastAsia" w:ascii="仿宋" w:hAnsi="仿宋" w:eastAsia="仿宋"/>
          <w:bCs/>
          <w:color w:val="000000"/>
          <w:sz w:val="32"/>
          <w:szCs w:val="32"/>
        </w:rPr>
        <w:t>住房保障（类）住房改革（款）住房公积金（项）</w:t>
      </w:r>
      <w:r>
        <w:rPr>
          <w:rStyle w:val="21"/>
          <w:rFonts w:ascii="仿宋" w:hAnsi="仿宋" w:eastAsia="仿宋"/>
          <w:bCs/>
          <w:color w:val="000000"/>
          <w:sz w:val="32"/>
          <w:szCs w:val="32"/>
        </w:rPr>
        <w:t>:</w:t>
      </w:r>
      <w:r>
        <w:rPr>
          <w:rStyle w:val="21"/>
          <w:rFonts w:hint="eastAsia" w:ascii="仿宋" w:hAnsi="仿宋" w:eastAsia="仿宋"/>
          <w:b w:val="0"/>
          <w:bCs/>
          <w:color w:val="000000"/>
          <w:sz w:val="32"/>
          <w:szCs w:val="32"/>
        </w:rPr>
        <w:t>支出决算为</w:t>
      </w:r>
      <w:r>
        <w:rPr>
          <w:rStyle w:val="21"/>
          <w:rFonts w:ascii="仿宋" w:hAnsi="仿宋" w:eastAsia="仿宋"/>
          <w:b w:val="0"/>
          <w:bCs/>
          <w:color w:val="000000"/>
          <w:sz w:val="32"/>
          <w:szCs w:val="32"/>
        </w:rPr>
        <w:t>13.87</w:t>
      </w:r>
      <w:r>
        <w:rPr>
          <w:rStyle w:val="21"/>
          <w:rFonts w:hint="eastAsia" w:ascii="仿宋" w:hAnsi="仿宋" w:eastAsia="仿宋"/>
          <w:b w:val="0"/>
          <w:bCs/>
          <w:color w:val="000000"/>
          <w:sz w:val="32"/>
          <w:szCs w:val="32"/>
        </w:rPr>
        <w:t>万元，完成预算</w:t>
      </w:r>
      <w:r>
        <w:rPr>
          <w:rStyle w:val="21"/>
          <w:rFonts w:ascii="仿宋" w:hAnsi="仿宋" w:eastAsia="仿宋"/>
          <w:b w:val="0"/>
          <w:bCs/>
          <w:color w:val="000000"/>
          <w:sz w:val="32"/>
          <w:szCs w:val="32"/>
        </w:rPr>
        <w:t>100%</w:t>
      </w:r>
      <w:r>
        <w:rPr>
          <w:rStyle w:val="21"/>
          <w:rFonts w:hint="eastAsia" w:ascii="仿宋" w:hAnsi="仿宋" w:eastAsia="仿宋"/>
          <w:b w:val="0"/>
          <w:bCs/>
          <w:color w:val="000000"/>
          <w:sz w:val="32"/>
          <w:szCs w:val="32"/>
        </w:rPr>
        <w:t>，决算数等于预算数。</w:t>
      </w:r>
    </w:p>
    <w:p>
      <w:pPr>
        <w:spacing w:line="600" w:lineRule="exact"/>
        <w:ind w:firstLine="640"/>
        <w:rPr>
          <w:rFonts w:ascii="仿宋" w:hAnsi="仿宋" w:eastAsia="仿宋"/>
          <w:b/>
          <w:color w:val="000000"/>
          <w:sz w:val="32"/>
          <w:szCs w:val="32"/>
        </w:rPr>
      </w:pPr>
    </w:p>
    <w:p>
      <w:pPr>
        <w:pStyle w:val="3"/>
        <w:spacing w:line="415" w:lineRule="auto"/>
        <w:ind w:firstLine="643" w:firstLineChars="200"/>
        <w:rPr>
          <w:rFonts w:ascii="黑体" w:hAnsi="黑体" w:eastAsia="黑体"/>
        </w:rPr>
      </w:pPr>
      <w:bookmarkStart w:id="73" w:name="_Toc15377214"/>
      <w:bookmarkStart w:id="74" w:name="_Toc15396608"/>
      <w:bookmarkStart w:id="75" w:name="_Toc50621928"/>
      <w:bookmarkStart w:id="76" w:name="_Toc50622820"/>
      <w:r>
        <w:rPr>
          <w:rFonts w:hint="eastAsia" w:ascii="黑体" w:hAnsi="黑体" w:eastAsia="黑体"/>
          <w:color w:val="000000"/>
        </w:rPr>
        <w:t>六、一</w:t>
      </w:r>
      <w:r>
        <w:rPr>
          <w:rFonts w:hint="eastAsia" w:ascii="黑体" w:hAnsi="黑体" w:eastAsia="黑体"/>
        </w:rPr>
        <w:t>般公共预算财政拨款基本支出决算情况说明</w:t>
      </w:r>
      <w:bookmarkEnd w:id="73"/>
      <w:bookmarkEnd w:id="74"/>
      <w:bookmarkEnd w:id="75"/>
      <w:bookmarkEnd w:id="76"/>
      <w:r>
        <w:rPr>
          <w:rFonts w:ascii="黑体" w:hAnsi="黑体" w:eastAsia="黑体"/>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2019</w:t>
      </w:r>
      <w:r>
        <w:rPr>
          <w:rFonts w:hint="eastAsia" w:ascii="仿宋" w:hAnsi="仿宋" w:eastAsia="仿宋"/>
          <w:color w:val="000000"/>
          <w:sz w:val="32"/>
          <w:szCs w:val="32"/>
        </w:rPr>
        <w:t>年一般公共预算财政拨款基本支出</w:t>
      </w:r>
      <w:r>
        <w:rPr>
          <w:rFonts w:ascii="仿宋" w:hAnsi="仿宋" w:eastAsia="仿宋"/>
          <w:color w:val="000000"/>
          <w:sz w:val="32"/>
          <w:szCs w:val="32"/>
        </w:rPr>
        <w:t>1240.51</w:t>
      </w:r>
      <w:r>
        <w:rPr>
          <w:rFonts w:hint="eastAsia" w:ascii="仿宋" w:hAnsi="仿宋" w:eastAsia="仿宋"/>
          <w:color w:val="000000"/>
          <w:sz w:val="32"/>
          <w:szCs w:val="32"/>
        </w:rPr>
        <w:t>万元，其中：</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人员经费</w:t>
      </w:r>
      <w:r>
        <w:rPr>
          <w:rFonts w:ascii="仿宋" w:hAnsi="仿宋" w:eastAsia="仿宋"/>
          <w:color w:val="000000"/>
          <w:sz w:val="32"/>
          <w:szCs w:val="32"/>
        </w:rPr>
        <w:t>1058.46</w:t>
      </w:r>
      <w:r>
        <w:rPr>
          <w:rFonts w:hint="eastAsia" w:ascii="仿宋" w:hAnsi="仿宋" w:eastAsia="仿宋"/>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rPr>
        <w:t>　　日常公用经费</w:t>
      </w:r>
      <w:r>
        <w:rPr>
          <w:rFonts w:ascii="仿宋" w:hAnsi="仿宋" w:eastAsia="仿宋"/>
          <w:color w:val="000000"/>
          <w:sz w:val="32"/>
          <w:szCs w:val="32"/>
        </w:rPr>
        <w:t>182.05</w:t>
      </w:r>
      <w:r>
        <w:rPr>
          <w:rFonts w:hint="eastAsia" w:ascii="仿宋" w:hAnsi="仿宋" w:eastAsia="仿宋"/>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pStyle w:val="3"/>
        <w:spacing w:line="415" w:lineRule="auto"/>
        <w:ind w:firstLine="643" w:firstLineChars="200"/>
        <w:rPr>
          <w:rFonts w:ascii="黑体" w:hAnsi="黑体" w:eastAsia="黑体"/>
        </w:rPr>
      </w:pPr>
      <w:bookmarkStart w:id="77" w:name="_Toc15396609"/>
      <w:bookmarkStart w:id="78" w:name="_Toc15377215"/>
      <w:bookmarkStart w:id="79" w:name="_Toc50621929"/>
      <w:bookmarkStart w:id="80" w:name="_Toc50622821"/>
      <w:r>
        <w:rPr>
          <w:rFonts w:hint="eastAsia" w:ascii="黑体" w:hAnsi="黑体" w:eastAsia="黑体"/>
          <w:color w:val="000000"/>
        </w:rPr>
        <w:t>七、</w:t>
      </w:r>
      <w:r>
        <w:rPr>
          <w:rFonts w:hint="eastAsia" w:ascii="黑体" w:hAnsi="黑体" w:eastAsia="黑体"/>
        </w:rPr>
        <w:t>“三公”经费财政拨款支出决算情况说明</w:t>
      </w:r>
      <w:bookmarkEnd w:id="77"/>
      <w:bookmarkEnd w:id="78"/>
      <w:bookmarkEnd w:id="79"/>
      <w:bookmarkEnd w:id="80"/>
    </w:p>
    <w:p>
      <w:pPr>
        <w:spacing w:line="600" w:lineRule="exact"/>
        <w:ind w:firstLine="640"/>
        <w:outlineLvl w:val="2"/>
        <w:rPr>
          <w:rFonts w:ascii="仿宋" w:hAnsi="仿宋" w:eastAsia="仿宋"/>
          <w:b/>
          <w:color w:val="000000"/>
          <w:sz w:val="32"/>
          <w:szCs w:val="32"/>
        </w:rPr>
      </w:pPr>
      <w:bookmarkStart w:id="81" w:name="_Toc15377216"/>
      <w:bookmarkStart w:id="82" w:name="_Toc50621930"/>
      <w:bookmarkStart w:id="83" w:name="_Toc50622822"/>
      <w:r>
        <w:rPr>
          <w:rFonts w:hint="eastAsia" w:ascii="仿宋" w:hAnsi="仿宋" w:eastAsia="仿宋"/>
          <w:b/>
          <w:color w:val="000000"/>
          <w:sz w:val="32"/>
          <w:szCs w:val="32"/>
        </w:rPr>
        <w:t>（一）“三公”经费财政拨款支出决算总体情况说明</w:t>
      </w:r>
      <w:bookmarkEnd w:id="81"/>
      <w:bookmarkEnd w:id="82"/>
      <w:bookmarkEnd w:id="83"/>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2019</w:t>
      </w:r>
      <w:r>
        <w:rPr>
          <w:rFonts w:hint="eastAsia" w:ascii="仿宋" w:hAnsi="仿宋" w:eastAsia="仿宋"/>
          <w:color w:val="000000"/>
          <w:sz w:val="32"/>
          <w:szCs w:val="32"/>
        </w:rPr>
        <w:t>年“三公”经费财政拨款支出决算为</w:t>
      </w:r>
      <w:r>
        <w:rPr>
          <w:rFonts w:ascii="仿宋" w:hAnsi="仿宋" w:eastAsia="仿宋"/>
          <w:color w:val="000000"/>
          <w:sz w:val="32"/>
          <w:szCs w:val="32"/>
        </w:rPr>
        <w:t>43</w:t>
      </w:r>
      <w:r>
        <w:rPr>
          <w:rFonts w:hint="eastAsia" w:ascii="仿宋" w:hAnsi="仿宋" w:eastAsia="仿宋"/>
          <w:color w:val="000000"/>
          <w:sz w:val="32"/>
          <w:szCs w:val="32"/>
        </w:rPr>
        <w:t>万元，完成预算</w:t>
      </w:r>
      <w:r>
        <w:rPr>
          <w:rFonts w:ascii="仿宋" w:hAnsi="仿宋" w:eastAsia="仿宋"/>
          <w:color w:val="000000"/>
          <w:sz w:val="32"/>
          <w:szCs w:val="32"/>
        </w:rPr>
        <w:t>100%</w:t>
      </w:r>
      <w:r>
        <w:rPr>
          <w:rFonts w:hint="eastAsia" w:ascii="仿宋" w:hAnsi="仿宋" w:eastAsia="仿宋"/>
          <w:color w:val="000000"/>
          <w:sz w:val="32"/>
          <w:szCs w:val="32"/>
        </w:rPr>
        <w:t>，决算数与预算数持平。</w:t>
      </w:r>
    </w:p>
    <w:p>
      <w:pPr>
        <w:ind w:firstLine="643" w:firstLineChars="200"/>
        <w:rPr>
          <w:rFonts w:ascii="仿宋" w:hAnsi="仿宋" w:eastAsia="仿宋"/>
          <w:b/>
          <w:sz w:val="32"/>
          <w:szCs w:val="32"/>
        </w:rPr>
      </w:pPr>
      <w:bookmarkStart w:id="84" w:name="_Toc15377217"/>
      <w:r>
        <w:rPr>
          <w:rFonts w:hint="eastAsia" w:ascii="仿宋" w:hAnsi="仿宋" w:eastAsia="仿宋"/>
          <w:b/>
          <w:sz w:val="32"/>
          <w:szCs w:val="32"/>
        </w:rPr>
        <w:t>（二）“三公”经费财政拨款支出决算具体情况说明</w:t>
      </w:r>
      <w:bookmarkEnd w:id="84"/>
    </w:p>
    <w:p>
      <w:pPr>
        <w:ind w:firstLine="640" w:firstLineChars="200"/>
        <w:rPr>
          <w:rFonts w:ascii="仿宋" w:hAnsi="仿宋" w:eastAsia="仿宋"/>
          <w:sz w:val="32"/>
          <w:szCs w:val="32"/>
        </w:rPr>
      </w:pPr>
      <w:r>
        <w:rPr>
          <w:rFonts w:ascii="仿宋" w:hAnsi="仿宋" w:eastAsia="仿宋"/>
          <w:sz w:val="32"/>
          <w:szCs w:val="32"/>
        </w:rPr>
        <w:t>2019</w:t>
      </w:r>
      <w:r>
        <w:rPr>
          <w:rFonts w:hint="eastAsia" w:ascii="仿宋" w:hAnsi="仿宋" w:eastAsia="仿宋"/>
          <w:sz w:val="32"/>
          <w:szCs w:val="32"/>
        </w:rPr>
        <w:t>年“三公”经费财政拨款支出决算中，因公出国（境）费支出决算</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；公务用车购置及运行维护费支出决算</w:t>
      </w:r>
      <w:r>
        <w:rPr>
          <w:rFonts w:ascii="仿宋" w:hAnsi="仿宋" w:eastAsia="仿宋"/>
          <w:sz w:val="32"/>
          <w:szCs w:val="32"/>
        </w:rPr>
        <w:t>40</w:t>
      </w:r>
      <w:r>
        <w:rPr>
          <w:rFonts w:hint="eastAsia" w:ascii="仿宋" w:hAnsi="仿宋" w:eastAsia="仿宋"/>
          <w:sz w:val="32"/>
          <w:szCs w:val="32"/>
        </w:rPr>
        <w:t>万元，占</w:t>
      </w:r>
      <w:r>
        <w:rPr>
          <w:rFonts w:ascii="仿宋" w:hAnsi="仿宋" w:eastAsia="仿宋"/>
          <w:sz w:val="32"/>
          <w:szCs w:val="32"/>
        </w:rPr>
        <w:t>93.02%</w:t>
      </w:r>
      <w:r>
        <w:rPr>
          <w:rFonts w:hint="eastAsia" w:ascii="仿宋" w:hAnsi="仿宋" w:eastAsia="仿宋"/>
          <w:sz w:val="32"/>
          <w:szCs w:val="32"/>
        </w:rPr>
        <w:t>；公务接待费支出决算</w:t>
      </w:r>
      <w:r>
        <w:rPr>
          <w:rFonts w:ascii="仿宋" w:hAnsi="仿宋" w:eastAsia="仿宋"/>
          <w:sz w:val="32"/>
          <w:szCs w:val="32"/>
        </w:rPr>
        <w:t>3</w:t>
      </w:r>
      <w:r>
        <w:rPr>
          <w:rFonts w:hint="eastAsia" w:ascii="仿宋" w:hAnsi="仿宋" w:eastAsia="仿宋"/>
          <w:sz w:val="32"/>
          <w:szCs w:val="32"/>
        </w:rPr>
        <w:t>万元，占</w:t>
      </w:r>
      <w:r>
        <w:rPr>
          <w:rFonts w:ascii="仿宋" w:hAnsi="仿宋" w:eastAsia="仿宋"/>
          <w:sz w:val="32"/>
          <w:szCs w:val="32"/>
        </w:rPr>
        <w:t>6.98%</w:t>
      </w:r>
      <w:r>
        <w:rPr>
          <w:rFonts w:hint="eastAsia" w:ascii="仿宋" w:hAnsi="仿宋" w:eastAsia="仿宋"/>
          <w:sz w:val="32"/>
          <w:szCs w:val="32"/>
        </w:rPr>
        <w:t>。具体情况如下：</w:t>
      </w:r>
    </w:p>
    <w:p/>
    <w:p>
      <w:pPr>
        <w:rPr>
          <w:szCs w:val="32"/>
        </w:rPr>
      </w:pPr>
      <w:r>
        <w:pict>
          <v:shape id="_x0000_i1027" o:spt="75" type="#_x0000_t75" style="height:244.5pt;width:377.25pt;" filled="f" o:preferrelative="t" stroked="f" coordsize="21600,21600">
            <v:path/>
            <v:fill on="f" focussize="0,0"/>
            <v:stroke on="f" joinstyle="miter"/>
            <v:imagedata r:id="rId9" o:title=""/>
            <o:lock v:ext="edit" aspectratio="t"/>
            <w10:wrap type="none"/>
            <w10:anchorlock/>
          </v:shape>
        </w:pict>
      </w:r>
    </w:p>
    <w:p>
      <w:pPr>
        <w:spacing w:line="600" w:lineRule="exact"/>
        <w:ind w:firstLine="640"/>
        <w:rPr>
          <w:rFonts w:ascii="仿宋" w:hAnsi="仿宋" w:eastAsia="仿宋"/>
          <w:color w:val="000000"/>
          <w:sz w:val="32"/>
          <w:szCs w:val="32"/>
        </w:rPr>
      </w:pPr>
      <w:r>
        <w:rPr>
          <w:rFonts w:ascii="仿宋" w:hAnsi="仿宋" w:eastAsia="仿宋"/>
          <w:b/>
          <w:color w:val="000000"/>
          <w:sz w:val="32"/>
          <w:szCs w:val="32"/>
        </w:rPr>
        <w:t>1.</w:t>
      </w:r>
      <w:r>
        <w:rPr>
          <w:rFonts w:hint="eastAsia" w:ascii="仿宋" w:hAnsi="仿宋" w:eastAsia="仿宋"/>
          <w:b/>
          <w:color w:val="000000"/>
          <w:sz w:val="32"/>
          <w:szCs w:val="32"/>
        </w:rPr>
        <w:t>因公出国（境）经费支出</w:t>
      </w:r>
      <w:r>
        <w:rPr>
          <w:rFonts w:ascii="仿宋" w:hAnsi="仿宋" w:eastAsia="仿宋"/>
          <w:color w:val="000000"/>
          <w:sz w:val="32"/>
          <w:szCs w:val="32"/>
        </w:rPr>
        <w:t>0</w:t>
      </w:r>
      <w:r>
        <w:rPr>
          <w:rFonts w:hint="eastAsia" w:ascii="仿宋" w:hAnsi="仿宋" w:eastAsia="仿宋"/>
          <w:color w:val="000000"/>
          <w:sz w:val="32"/>
          <w:szCs w:val="32"/>
        </w:rPr>
        <w:t>万元，</w:t>
      </w:r>
      <w:r>
        <w:rPr>
          <w:rStyle w:val="21"/>
          <w:rFonts w:hint="eastAsia" w:ascii="仿宋" w:hAnsi="仿宋" w:eastAsia="仿宋"/>
          <w:b w:val="0"/>
          <w:bCs/>
          <w:color w:val="000000"/>
          <w:sz w:val="32"/>
          <w:szCs w:val="32"/>
        </w:rPr>
        <w:t>完成预算</w:t>
      </w:r>
      <w:r>
        <w:rPr>
          <w:rStyle w:val="21"/>
          <w:rFonts w:ascii="仿宋" w:hAnsi="仿宋" w:eastAsia="仿宋"/>
          <w:b w:val="0"/>
          <w:bCs/>
          <w:color w:val="000000"/>
          <w:sz w:val="32"/>
          <w:szCs w:val="32"/>
        </w:rPr>
        <w:t>100%</w:t>
      </w:r>
      <w:r>
        <w:rPr>
          <w:rStyle w:val="21"/>
          <w:rFonts w:hint="eastAsia" w:ascii="仿宋" w:hAnsi="仿宋" w:eastAsia="仿宋"/>
          <w:b w:val="0"/>
          <w:bCs/>
          <w:color w:val="000000"/>
          <w:sz w:val="32"/>
          <w:szCs w:val="32"/>
        </w:rPr>
        <w:t>。</w:t>
      </w:r>
    </w:p>
    <w:p>
      <w:pPr>
        <w:spacing w:line="600" w:lineRule="exact"/>
        <w:ind w:firstLine="640"/>
        <w:rPr>
          <w:rFonts w:ascii="仿宋" w:hAnsi="仿宋" w:eastAsia="仿宋"/>
          <w:b/>
          <w:color w:val="000000"/>
          <w:sz w:val="32"/>
          <w:szCs w:val="32"/>
        </w:rPr>
      </w:pPr>
      <w:r>
        <w:rPr>
          <w:rFonts w:ascii="仿宋" w:hAnsi="仿宋" w:eastAsia="仿宋"/>
          <w:b/>
          <w:color w:val="000000"/>
          <w:sz w:val="32"/>
          <w:szCs w:val="32"/>
        </w:rPr>
        <w:t>2.</w:t>
      </w:r>
      <w:r>
        <w:rPr>
          <w:rFonts w:hint="eastAsia" w:ascii="仿宋" w:hAnsi="仿宋" w:eastAsia="仿宋"/>
          <w:b/>
          <w:color w:val="000000"/>
          <w:sz w:val="32"/>
          <w:szCs w:val="32"/>
        </w:rPr>
        <w:t>公务用车购置及运行维护费支出</w:t>
      </w:r>
      <w:r>
        <w:rPr>
          <w:rFonts w:ascii="仿宋" w:hAnsi="仿宋" w:eastAsia="仿宋"/>
          <w:color w:val="000000"/>
          <w:sz w:val="32"/>
          <w:szCs w:val="32"/>
        </w:rPr>
        <w:t>40</w:t>
      </w:r>
      <w:r>
        <w:rPr>
          <w:rFonts w:hint="eastAsia" w:ascii="仿宋" w:hAnsi="仿宋" w:eastAsia="仿宋"/>
          <w:color w:val="000000"/>
          <w:sz w:val="32"/>
          <w:szCs w:val="32"/>
        </w:rPr>
        <w:t>万元</w:t>
      </w:r>
      <w:r>
        <w:rPr>
          <w:rFonts w:ascii="仿宋" w:hAnsi="仿宋" w:eastAsia="仿宋"/>
          <w:color w:val="000000"/>
          <w:sz w:val="32"/>
          <w:szCs w:val="32"/>
        </w:rPr>
        <w:t>,</w:t>
      </w:r>
      <w:r>
        <w:rPr>
          <w:rStyle w:val="21"/>
          <w:rFonts w:hint="eastAsia" w:ascii="仿宋" w:hAnsi="仿宋" w:eastAsia="仿宋"/>
          <w:b w:val="0"/>
          <w:bCs/>
          <w:color w:val="000000"/>
          <w:sz w:val="32"/>
          <w:szCs w:val="32"/>
        </w:rPr>
        <w:t>完成预算</w:t>
      </w:r>
      <w:r>
        <w:rPr>
          <w:rStyle w:val="21"/>
          <w:rFonts w:ascii="仿宋" w:hAnsi="仿宋" w:eastAsia="仿宋"/>
          <w:b w:val="0"/>
          <w:bCs/>
          <w:color w:val="000000"/>
          <w:sz w:val="32"/>
          <w:szCs w:val="32"/>
        </w:rPr>
        <w:t>100%</w:t>
      </w:r>
      <w:r>
        <w:rPr>
          <w:rStyle w:val="21"/>
          <w:rFonts w:hint="eastAsia" w:ascii="仿宋" w:hAnsi="仿宋" w:eastAsia="仿宋"/>
          <w:b w:val="0"/>
          <w:bCs/>
          <w:color w:val="000000"/>
          <w:sz w:val="32"/>
          <w:szCs w:val="32"/>
        </w:rPr>
        <w:t>。</w:t>
      </w:r>
      <w:r>
        <w:rPr>
          <w:rFonts w:hint="eastAsia" w:ascii="仿宋" w:hAnsi="仿宋" w:eastAsia="仿宋"/>
          <w:color w:val="000000"/>
          <w:sz w:val="32"/>
          <w:szCs w:val="32"/>
        </w:rPr>
        <w:t>公务用车购置及运行维护费支出决算比</w:t>
      </w:r>
      <w:r>
        <w:rPr>
          <w:rFonts w:ascii="仿宋" w:hAnsi="仿宋" w:eastAsia="仿宋"/>
          <w:color w:val="000000"/>
          <w:sz w:val="32"/>
          <w:szCs w:val="32"/>
        </w:rPr>
        <w:t>2018</w:t>
      </w:r>
      <w:r>
        <w:rPr>
          <w:rFonts w:hint="eastAsia" w:ascii="仿宋" w:hAnsi="仿宋" w:eastAsia="仿宋"/>
          <w:color w:val="000000"/>
          <w:sz w:val="32"/>
          <w:szCs w:val="32"/>
        </w:rPr>
        <w:t>年减少</w:t>
      </w:r>
      <w:r>
        <w:rPr>
          <w:rFonts w:ascii="仿宋" w:hAnsi="仿宋" w:eastAsia="仿宋"/>
          <w:color w:val="000000"/>
          <w:sz w:val="32"/>
          <w:szCs w:val="32"/>
        </w:rPr>
        <w:t>2.6</w:t>
      </w:r>
      <w:r>
        <w:rPr>
          <w:rFonts w:hint="eastAsia" w:ascii="仿宋" w:hAnsi="仿宋" w:eastAsia="仿宋"/>
          <w:color w:val="000000"/>
          <w:sz w:val="32"/>
          <w:szCs w:val="32"/>
        </w:rPr>
        <w:t>万元，同比下降</w:t>
      </w:r>
      <w:r>
        <w:rPr>
          <w:rFonts w:ascii="仿宋" w:hAnsi="仿宋" w:eastAsia="仿宋"/>
          <w:color w:val="000000"/>
          <w:sz w:val="32"/>
          <w:szCs w:val="32"/>
        </w:rPr>
        <w:t>6.1%</w:t>
      </w:r>
      <w:r>
        <w:rPr>
          <w:rFonts w:hint="eastAsia" w:ascii="仿宋" w:hAnsi="仿宋" w:eastAsia="仿宋"/>
          <w:color w:val="000000"/>
          <w:sz w:val="32"/>
          <w:szCs w:val="32"/>
        </w:rPr>
        <w:t>。主要原因是加强公车管理，厉行节约。</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其中：</w:t>
      </w:r>
      <w:r>
        <w:rPr>
          <w:rFonts w:hint="eastAsia" w:ascii="仿宋" w:hAnsi="仿宋" w:eastAsia="仿宋"/>
          <w:b/>
          <w:color w:val="000000"/>
          <w:sz w:val="32"/>
          <w:szCs w:val="32"/>
        </w:rPr>
        <w:t>公务用车购置支出</w:t>
      </w:r>
      <w:r>
        <w:rPr>
          <w:rFonts w:ascii="仿宋" w:hAnsi="仿宋" w:eastAsia="仿宋"/>
          <w:color w:val="000000"/>
          <w:sz w:val="32"/>
          <w:szCs w:val="32"/>
        </w:rPr>
        <w:t>0</w:t>
      </w:r>
      <w:r>
        <w:rPr>
          <w:rFonts w:hint="eastAsia" w:ascii="仿宋" w:hAnsi="仿宋" w:eastAsia="仿宋"/>
          <w:color w:val="000000"/>
          <w:sz w:val="32"/>
          <w:szCs w:val="32"/>
        </w:rPr>
        <w:t>万元。</w:t>
      </w:r>
    </w:p>
    <w:p>
      <w:pPr>
        <w:spacing w:line="600" w:lineRule="exact"/>
        <w:ind w:firstLine="640"/>
        <w:rPr>
          <w:rFonts w:ascii="仿宋" w:hAnsi="仿宋" w:eastAsia="仿宋"/>
          <w:sz w:val="32"/>
          <w:szCs w:val="32"/>
        </w:rPr>
      </w:pPr>
      <w:r>
        <w:rPr>
          <w:rFonts w:hint="eastAsia" w:ascii="仿宋" w:hAnsi="仿宋" w:eastAsia="仿宋"/>
          <w:b/>
          <w:color w:val="000000"/>
          <w:sz w:val="32"/>
          <w:szCs w:val="32"/>
        </w:rPr>
        <w:t>公务用车运行维护费支出</w:t>
      </w:r>
      <w:r>
        <w:rPr>
          <w:rFonts w:ascii="仿宋" w:hAnsi="仿宋" w:eastAsia="仿宋"/>
          <w:color w:val="000000"/>
          <w:sz w:val="32"/>
          <w:szCs w:val="32"/>
        </w:rPr>
        <w:t>40</w:t>
      </w:r>
      <w:r>
        <w:rPr>
          <w:rFonts w:hint="eastAsia" w:ascii="仿宋" w:hAnsi="仿宋" w:eastAsia="仿宋"/>
          <w:color w:val="000000"/>
          <w:sz w:val="32"/>
          <w:szCs w:val="32"/>
        </w:rPr>
        <w:t>万元。主要用于</w:t>
      </w:r>
      <w:r>
        <w:rPr>
          <w:rFonts w:hint="eastAsia" w:ascii="仿宋" w:hAnsi="仿宋" w:eastAsia="仿宋" w:cs="宋体"/>
          <w:color w:val="000000"/>
          <w:kern w:val="0"/>
          <w:sz w:val="32"/>
          <w:szCs w:val="32"/>
        </w:rPr>
        <w:t>公诉和审判监督，侦查监督，执行监督，民事和行政检察监督、公益诉讼监督、控告申诉</w:t>
      </w:r>
      <w:r>
        <w:rPr>
          <w:rFonts w:hint="eastAsia" w:ascii="仿宋" w:hAnsi="仿宋" w:eastAsia="仿宋"/>
          <w:sz w:val="32"/>
          <w:szCs w:val="32"/>
        </w:rPr>
        <w:t>等所需的公务用车燃料费、维修费、过路过桥费、保险费等支出。</w:t>
      </w:r>
    </w:p>
    <w:p>
      <w:pPr>
        <w:spacing w:line="600" w:lineRule="exact"/>
        <w:ind w:firstLine="640"/>
        <w:rPr>
          <w:rFonts w:ascii="仿宋" w:hAnsi="仿宋" w:eastAsia="仿宋"/>
          <w:color w:val="000000"/>
          <w:sz w:val="32"/>
          <w:szCs w:val="32"/>
        </w:rPr>
      </w:pPr>
      <w:r>
        <w:rPr>
          <w:rFonts w:ascii="仿宋" w:hAnsi="仿宋" w:eastAsia="仿宋"/>
          <w:b/>
          <w:color w:val="000000"/>
          <w:sz w:val="32"/>
          <w:szCs w:val="32"/>
        </w:rPr>
        <w:t>3.</w:t>
      </w:r>
      <w:r>
        <w:rPr>
          <w:rFonts w:hint="eastAsia" w:ascii="仿宋" w:hAnsi="仿宋" w:eastAsia="仿宋"/>
          <w:b/>
          <w:color w:val="000000"/>
          <w:sz w:val="32"/>
          <w:szCs w:val="32"/>
        </w:rPr>
        <w:t>公务接待费支出</w:t>
      </w:r>
      <w:r>
        <w:rPr>
          <w:rFonts w:ascii="仿宋" w:hAnsi="仿宋" w:eastAsia="仿宋"/>
          <w:color w:val="000000"/>
          <w:sz w:val="32"/>
          <w:szCs w:val="32"/>
        </w:rPr>
        <w:t>3</w:t>
      </w:r>
      <w:r>
        <w:rPr>
          <w:rFonts w:hint="eastAsia" w:ascii="仿宋" w:hAnsi="仿宋" w:eastAsia="仿宋"/>
          <w:color w:val="000000"/>
          <w:sz w:val="32"/>
          <w:szCs w:val="32"/>
        </w:rPr>
        <w:t>万元，</w:t>
      </w:r>
      <w:r>
        <w:rPr>
          <w:rStyle w:val="21"/>
          <w:rFonts w:hint="eastAsia" w:ascii="仿宋" w:hAnsi="仿宋" w:eastAsia="仿宋"/>
          <w:b w:val="0"/>
          <w:bCs/>
          <w:color w:val="000000"/>
          <w:sz w:val="32"/>
          <w:szCs w:val="32"/>
        </w:rPr>
        <w:t>完成预算</w:t>
      </w:r>
      <w:r>
        <w:rPr>
          <w:rStyle w:val="21"/>
          <w:rFonts w:ascii="仿宋" w:hAnsi="仿宋" w:eastAsia="仿宋"/>
          <w:b w:val="0"/>
          <w:bCs/>
          <w:color w:val="000000"/>
          <w:sz w:val="32"/>
          <w:szCs w:val="32"/>
        </w:rPr>
        <w:t>100%</w:t>
      </w:r>
      <w:r>
        <w:rPr>
          <w:rStyle w:val="21"/>
          <w:rFonts w:hint="eastAsia" w:ascii="仿宋" w:hAnsi="仿宋" w:eastAsia="仿宋"/>
          <w:b w:val="0"/>
          <w:bCs/>
          <w:color w:val="000000"/>
          <w:sz w:val="32"/>
          <w:szCs w:val="32"/>
        </w:rPr>
        <w:t>。</w:t>
      </w:r>
      <w:r>
        <w:rPr>
          <w:rFonts w:hint="eastAsia" w:ascii="仿宋" w:hAnsi="仿宋" w:eastAsia="仿宋"/>
          <w:color w:val="000000"/>
          <w:sz w:val="32"/>
          <w:szCs w:val="32"/>
        </w:rPr>
        <w:t>公务接待费支出决算与</w:t>
      </w:r>
      <w:r>
        <w:rPr>
          <w:rFonts w:ascii="仿宋" w:hAnsi="仿宋" w:eastAsia="仿宋"/>
          <w:color w:val="000000"/>
          <w:sz w:val="32"/>
          <w:szCs w:val="32"/>
        </w:rPr>
        <w:t>2018</w:t>
      </w:r>
      <w:r>
        <w:rPr>
          <w:rFonts w:hint="eastAsia" w:ascii="仿宋" w:hAnsi="仿宋" w:eastAsia="仿宋"/>
          <w:color w:val="000000"/>
          <w:sz w:val="32"/>
          <w:szCs w:val="32"/>
        </w:rPr>
        <w:t>年持平。其中：</w:t>
      </w:r>
    </w:p>
    <w:p>
      <w:pPr>
        <w:spacing w:line="600" w:lineRule="exact"/>
        <w:ind w:firstLine="640"/>
        <w:rPr>
          <w:rFonts w:ascii="仿宋" w:hAnsi="仿宋" w:eastAsia="仿宋"/>
          <w:color w:val="000000"/>
          <w:sz w:val="32"/>
          <w:szCs w:val="32"/>
        </w:rPr>
      </w:pPr>
      <w:r>
        <w:rPr>
          <w:rFonts w:hint="eastAsia" w:ascii="仿宋" w:hAnsi="仿宋" w:eastAsia="仿宋"/>
          <w:b/>
          <w:color w:val="000000"/>
          <w:sz w:val="32"/>
          <w:szCs w:val="32"/>
        </w:rPr>
        <w:t>国内公务接待支出</w:t>
      </w:r>
      <w:bookmarkStart w:id="85" w:name="_Toc15396610"/>
      <w:bookmarkStart w:id="86" w:name="_Toc15377218"/>
      <w:r>
        <w:rPr>
          <w:rFonts w:ascii="仿宋" w:hAnsi="仿宋" w:eastAsia="仿宋"/>
          <w:color w:val="000000"/>
          <w:sz w:val="32"/>
          <w:szCs w:val="32"/>
        </w:rPr>
        <w:t>3</w:t>
      </w:r>
      <w:r>
        <w:rPr>
          <w:rFonts w:hint="eastAsia" w:ascii="仿宋" w:hAnsi="仿宋" w:eastAsia="仿宋"/>
          <w:color w:val="000000"/>
          <w:sz w:val="32"/>
          <w:szCs w:val="32"/>
        </w:rPr>
        <w:t>万元。主要用于执行公务、开展业务活动开支的交通费、住宿费、用餐费等。</w:t>
      </w:r>
      <w:r>
        <w:rPr>
          <w:rFonts w:hint="eastAsia" w:ascii="仿宋" w:hAnsi="仿宋" w:eastAsia="仿宋"/>
          <w:sz w:val="32"/>
          <w:szCs w:val="32"/>
        </w:rPr>
        <w:t>国内公务接待</w:t>
      </w:r>
      <w:r>
        <w:rPr>
          <w:rFonts w:ascii="仿宋" w:hAnsi="仿宋" w:eastAsia="仿宋"/>
          <w:sz w:val="32"/>
          <w:szCs w:val="32"/>
        </w:rPr>
        <w:t>56</w:t>
      </w:r>
      <w:r>
        <w:rPr>
          <w:rFonts w:hint="eastAsia" w:ascii="仿宋" w:hAnsi="仿宋" w:eastAsia="仿宋"/>
          <w:sz w:val="32"/>
          <w:szCs w:val="32"/>
        </w:rPr>
        <w:t>批次，</w:t>
      </w:r>
      <w:r>
        <w:rPr>
          <w:rFonts w:ascii="仿宋" w:hAnsi="仿宋" w:eastAsia="仿宋"/>
          <w:sz w:val="32"/>
          <w:szCs w:val="32"/>
        </w:rPr>
        <w:t>597</w:t>
      </w:r>
      <w:r>
        <w:rPr>
          <w:rFonts w:hint="eastAsia" w:ascii="仿宋" w:hAnsi="仿宋" w:eastAsia="仿宋"/>
          <w:sz w:val="32"/>
          <w:szCs w:val="32"/>
        </w:rPr>
        <w:t>人，共计支出</w:t>
      </w:r>
      <w:r>
        <w:rPr>
          <w:rFonts w:ascii="仿宋" w:hAnsi="仿宋" w:eastAsia="仿宋"/>
          <w:sz w:val="32"/>
          <w:szCs w:val="32"/>
        </w:rPr>
        <w:t>3</w:t>
      </w:r>
      <w:r>
        <w:rPr>
          <w:rFonts w:hint="eastAsia" w:ascii="仿宋" w:hAnsi="仿宋" w:eastAsia="仿宋"/>
          <w:sz w:val="32"/>
          <w:szCs w:val="32"/>
        </w:rPr>
        <w:t>万元，具体内容包括：办案开支</w:t>
      </w:r>
      <w:r>
        <w:rPr>
          <w:rFonts w:ascii="仿宋" w:hAnsi="仿宋" w:eastAsia="仿宋"/>
          <w:sz w:val="32"/>
          <w:szCs w:val="32"/>
        </w:rPr>
        <w:t>2.4</w:t>
      </w:r>
      <w:r>
        <w:rPr>
          <w:rFonts w:hint="eastAsia" w:ascii="仿宋" w:hAnsi="仿宋" w:eastAsia="仿宋"/>
          <w:sz w:val="32"/>
          <w:szCs w:val="32"/>
        </w:rPr>
        <w:t>万元；上级检查、指导工作</w:t>
      </w:r>
      <w:r>
        <w:rPr>
          <w:rFonts w:ascii="仿宋" w:hAnsi="仿宋" w:eastAsia="仿宋"/>
          <w:sz w:val="32"/>
          <w:szCs w:val="32"/>
        </w:rPr>
        <w:t>0.6</w:t>
      </w:r>
      <w:r>
        <w:rPr>
          <w:rFonts w:hint="eastAsia" w:ascii="仿宋" w:hAnsi="仿宋" w:eastAsia="仿宋"/>
          <w:sz w:val="32"/>
          <w:szCs w:val="32"/>
        </w:rPr>
        <w:t>万元</w:t>
      </w:r>
      <w:r>
        <w:rPr>
          <w:rFonts w:hint="eastAsia" w:ascii="仿宋" w:hAnsi="仿宋" w:eastAsia="仿宋"/>
          <w:color w:val="000000"/>
          <w:sz w:val="32"/>
          <w:szCs w:val="32"/>
        </w:rPr>
        <w:t>。其中：外事接待</w:t>
      </w:r>
      <w:r>
        <w:rPr>
          <w:rFonts w:ascii="仿宋" w:hAnsi="仿宋" w:eastAsia="仿宋"/>
          <w:color w:val="000000"/>
          <w:sz w:val="32"/>
          <w:szCs w:val="32"/>
        </w:rPr>
        <w:t>0</w:t>
      </w:r>
      <w:r>
        <w:rPr>
          <w:rFonts w:hint="eastAsia" w:ascii="仿宋" w:hAnsi="仿宋" w:eastAsia="仿宋"/>
          <w:color w:val="000000"/>
          <w:sz w:val="32"/>
          <w:szCs w:val="32"/>
        </w:rPr>
        <w:t>批次，</w:t>
      </w:r>
      <w:r>
        <w:rPr>
          <w:rFonts w:ascii="仿宋" w:hAnsi="仿宋" w:eastAsia="仿宋"/>
          <w:color w:val="000000"/>
          <w:sz w:val="32"/>
          <w:szCs w:val="32"/>
        </w:rPr>
        <w:t>0</w:t>
      </w:r>
      <w:r>
        <w:rPr>
          <w:rFonts w:hint="eastAsia" w:ascii="仿宋" w:hAnsi="仿宋" w:eastAsia="仿宋"/>
          <w:color w:val="000000"/>
          <w:sz w:val="32"/>
          <w:szCs w:val="32"/>
        </w:rPr>
        <w:t>人，共计支出</w:t>
      </w:r>
      <w:r>
        <w:rPr>
          <w:rFonts w:ascii="仿宋" w:hAnsi="仿宋" w:eastAsia="仿宋"/>
          <w:color w:val="000000"/>
          <w:sz w:val="32"/>
          <w:szCs w:val="32"/>
        </w:rPr>
        <w:t>0</w:t>
      </w:r>
      <w:r>
        <w:rPr>
          <w:rFonts w:hint="eastAsia" w:ascii="仿宋" w:hAnsi="仿宋" w:eastAsia="仿宋"/>
          <w:color w:val="000000"/>
          <w:sz w:val="32"/>
          <w:szCs w:val="32"/>
        </w:rPr>
        <w:t>万元。</w:t>
      </w:r>
    </w:p>
    <w:p>
      <w:pPr>
        <w:pStyle w:val="3"/>
        <w:spacing w:line="415" w:lineRule="auto"/>
        <w:ind w:firstLine="643" w:firstLineChars="200"/>
        <w:rPr>
          <w:rFonts w:ascii="黑体" w:hAnsi="黑体" w:eastAsia="黑体"/>
        </w:rPr>
      </w:pPr>
      <w:bookmarkStart w:id="87" w:name="_Toc50622823"/>
      <w:bookmarkStart w:id="88" w:name="_Toc50621931"/>
      <w:r>
        <w:rPr>
          <w:rFonts w:hint="eastAsia" w:ascii="黑体" w:hAnsi="黑体" w:eastAsia="黑体"/>
          <w:color w:val="000000"/>
        </w:rPr>
        <w:t>八、</w:t>
      </w:r>
      <w:r>
        <w:rPr>
          <w:rFonts w:hint="eastAsia" w:ascii="黑体" w:hAnsi="黑体" w:eastAsia="黑体"/>
        </w:rPr>
        <w:t>政府性基金预算支出决算情况说明</w:t>
      </w:r>
      <w:bookmarkEnd w:id="85"/>
      <w:bookmarkEnd w:id="86"/>
      <w:bookmarkEnd w:id="87"/>
      <w:bookmarkEnd w:id="88"/>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2019</w:t>
      </w:r>
      <w:r>
        <w:rPr>
          <w:rFonts w:hint="eastAsia" w:ascii="仿宋" w:hAnsi="仿宋" w:eastAsia="仿宋"/>
          <w:color w:val="000000"/>
          <w:sz w:val="32"/>
          <w:szCs w:val="32"/>
        </w:rPr>
        <w:t>年政府性基金预算拨款支出</w:t>
      </w:r>
      <w:r>
        <w:rPr>
          <w:rFonts w:ascii="仿宋" w:hAnsi="仿宋" w:eastAsia="仿宋"/>
          <w:color w:val="000000"/>
          <w:sz w:val="32"/>
          <w:szCs w:val="32"/>
        </w:rPr>
        <w:t>0</w:t>
      </w:r>
      <w:r>
        <w:rPr>
          <w:rFonts w:hint="eastAsia" w:ascii="仿宋" w:hAnsi="仿宋" w:eastAsia="仿宋"/>
          <w:color w:val="000000"/>
          <w:sz w:val="32"/>
          <w:szCs w:val="32"/>
        </w:rPr>
        <w:t>万元。</w:t>
      </w:r>
      <w:bookmarkStart w:id="89" w:name="_Toc15377219"/>
      <w:bookmarkStart w:id="90" w:name="_Toc50621932"/>
      <w:bookmarkStart w:id="91" w:name="_Toc15396611"/>
    </w:p>
    <w:p>
      <w:pPr>
        <w:pStyle w:val="3"/>
        <w:spacing w:line="415" w:lineRule="auto"/>
        <w:ind w:firstLine="643" w:firstLineChars="200"/>
        <w:rPr>
          <w:rFonts w:ascii="黑体" w:hAnsi="黑体" w:eastAsia="黑体"/>
          <w:color w:val="000000"/>
        </w:rPr>
      </w:pPr>
      <w:bookmarkStart w:id="92" w:name="_Toc50622824"/>
      <w:r>
        <w:rPr>
          <w:rFonts w:hint="eastAsia" w:ascii="黑体" w:hAnsi="黑体" w:eastAsia="黑体"/>
          <w:color w:val="000000"/>
        </w:rPr>
        <w:t>九、</w:t>
      </w:r>
      <w:r>
        <w:rPr>
          <w:rFonts w:hint="eastAsia" w:ascii="黑体" w:hAnsi="黑体" w:eastAsia="黑体"/>
        </w:rPr>
        <w:t>国有资本经营预算支出决算情况说明</w:t>
      </w:r>
      <w:bookmarkEnd w:id="89"/>
      <w:bookmarkEnd w:id="90"/>
      <w:bookmarkEnd w:id="91"/>
      <w:bookmarkEnd w:id="92"/>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2019</w:t>
      </w:r>
      <w:r>
        <w:rPr>
          <w:rFonts w:hint="eastAsia" w:ascii="仿宋" w:hAnsi="仿宋" w:eastAsia="仿宋"/>
          <w:color w:val="000000"/>
          <w:sz w:val="32"/>
          <w:szCs w:val="32"/>
        </w:rPr>
        <w:t>年国有资本经营预算拨款支出</w:t>
      </w:r>
      <w:r>
        <w:rPr>
          <w:rFonts w:ascii="仿宋" w:hAnsi="仿宋" w:eastAsia="仿宋"/>
          <w:color w:val="000000"/>
          <w:sz w:val="32"/>
          <w:szCs w:val="32"/>
        </w:rPr>
        <w:t>0</w:t>
      </w:r>
      <w:r>
        <w:rPr>
          <w:rFonts w:hint="eastAsia" w:ascii="仿宋" w:hAnsi="仿宋" w:eastAsia="仿宋"/>
          <w:color w:val="000000"/>
          <w:sz w:val="32"/>
          <w:szCs w:val="32"/>
        </w:rPr>
        <w:t>万元。</w:t>
      </w:r>
    </w:p>
    <w:p>
      <w:pPr>
        <w:pStyle w:val="3"/>
        <w:spacing w:line="415" w:lineRule="auto"/>
        <w:ind w:firstLine="643" w:firstLineChars="200"/>
        <w:rPr>
          <w:rFonts w:ascii="黑体" w:hAnsi="黑体" w:eastAsia="黑体"/>
        </w:rPr>
      </w:pPr>
      <w:bookmarkStart w:id="93" w:name="_Toc15396612"/>
      <w:bookmarkStart w:id="94" w:name="_Toc15377221"/>
      <w:bookmarkStart w:id="95" w:name="_Toc50621933"/>
      <w:bookmarkStart w:id="96" w:name="_Toc50622825"/>
      <w:r>
        <w:rPr>
          <w:rFonts w:hint="eastAsia" w:ascii="黑体" w:hAnsi="黑体" w:eastAsia="黑体"/>
          <w:color w:val="000000"/>
        </w:rPr>
        <w:t>十</w:t>
      </w:r>
      <w:r>
        <w:rPr>
          <w:rFonts w:hint="eastAsia" w:ascii="黑体" w:hAnsi="黑体" w:eastAsia="黑体"/>
        </w:rPr>
        <w:t>、其他重要事项的情况说明</w:t>
      </w:r>
      <w:bookmarkEnd w:id="93"/>
      <w:bookmarkEnd w:id="94"/>
      <w:bookmarkEnd w:id="95"/>
      <w:bookmarkEnd w:id="96"/>
    </w:p>
    <w:p>
      <w:pPr>
        <w:spacing w:line="600" w:lineRule="exact"/>
        <w:ind w:firstLine="643" w:firstLineChars="200"/>
        <w:outlineLvl w:val="2"/>
        <w:rPr>
          <w:rFonts w:ascii="仿宋" w:hAnsi="仿宋" w:eastAsia="仿宋"/>
          <w:color w:val="000000"/>
          <w:sz w:val="32"/>
          <w:szCs w:val="32"/>
        </w:rPr>
      </w:pPr>
      <w:bookmarkStart w:id="97" w:name="_Toc15377222"/>
      <w:bookmarkStart w:id="98" w:name="_Toc50621934"/>
      <w:bookmarkStart w:id="99" w:name="_Toc50622826"/>
      <w:r>
        <w:rPr>
          <w:rFonts w:hint="eastAsia" w:ascii="仿宋" w:hAnsi="仿宋" w:eastAsia="仿宋"/>
          <w:b/>
          <w:color w:val="000000"/>
          <w:sz w:val="32"/>
          <w:szCs w:val="32"/>
        </w:rPr>
        <w:t>（一）机关运行经费支出情况</w:t>
      </w:r>
      <w:bookmarkEnd w:id="97"/>
      <w:bookmarkEnd w:id="98"/>
      <w:bookmarkEnd w:id="99"/>
    </w:p>
    <w:p>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2019</w:t>
      </w:r>
      <w:r>
        <w:rPr>
          <w:rFonts w:hint="eastAsia" w:ascii="仿宋" w:hAnsi="仿宋" w:eastAsia="仿宋"/>
          <w:color w:val="000000"/>
          <w:sz w:val="32"/>
          <w:szCs w:val="32"/>
        </w:rPr>
        <w:t>年，渠县人民检察院机关运行经费支出</w:t>
      </w:r>
      <w:r>
        <w:rPr>
          <w:rFonts w:ascii="仿宋" w:hAnsi="仿宋" w:eastAsia="仿宋"/>
          <w:color w:val="000000"/>
          <w:sz w:val="32"/>
          <w:szCs w:val="32"/>
        </w:rPr>
        <w:t>182.04</w:t>
      </w:r>
      <w:r>
        <w:rPr>
          <w:rFonts w:hint="eastAsia" w:ascii="仿宋" w:hAnsi="仿宋" w:eastAsia="仿宋"/>
          <w:color w:val="000000"/>
          <w:sz w:val="32"/>
          <w:szCs w:val="32"/>
        </w:rPr>
        <w:t>万元，比</w:t>
      </w:r>
      <w:r>
        <w:rPr>
          <w:rFonts w:ascii="仿宋" w:hAnsi="仿宋" w:eastAsia="仿宋"/>
          <w:color w:val="000000"/>
          <w:sz w:val="32"/>
          <w:szCs w:val="32"/>
        </w:rPr>
        <w:t>2018</w:t>
      </w:r>
      <w:r>
        <w:rPr>
          <w:rFonts w:hint="eastAsia" w:ascii="仿宋" w:hAnsi="仿宋" w:eastAsia="仿宋"/>
          <w:color w:val="000000"/>
          <w:sz w:val="32"/>
          <w:szCs w:val="32"/>
        </w:rPr>
        <w:t>年减少</w:t>
      </w:r>
      <w:r>
        <w:rPr>
          <w:rFonts w:ascii="仿宋" w:hAnsi="仿宋" w:eastAsia="仿宋"/>
          <w:color w:val="000000"/>
          <w:sz w:val="32"/>
          <w:szCs w:val="32"/>
        </w:rPr>
        <w:t>151.29</w:t>
      </w:r>
      <w:r>
        <w:rPr>
          <w:rFonts w:hint="eastAsia" w:ascii="仿宋" w:hAnsi="仿宋" w:eastAsia="仿宋"/>
          <w:color w:val="000000"/>
          <w:sz w:val="32"/>
          <w:szCs w:val="32"/>
        </w:rPr>
        <w:t>万元，同比下降</w:t>
      </w:r>
      <w:r>
        <w:rPr>
          <w:rFonts w:ascii="仿宋" w:hAnsi="仿宋" w:eastAsia="仿宋"/>
          <w:color w:val="000000"/>
          <w:sz w:val="32"/>
          <w:szCs w:val="32"/>
        </w:rPr>
        <w:t>45.38%</w:t>
      </w:r>
      <w:r>
        <w:rPr>
          <w:rFonts w:hint="eastAsia" w:ascii="仿宋" w:hAnsi="仿宋" w:eastAsia="仿宋"/>
          <w:color w:val="000000"/>
          <w:sz w:val="32"/>
          <w:szCs w:val="32"/>
        </w:rPr>
        <w:t>。主要原因是人员减少，厉行节约。</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100" w:name="_Toc15377223"/>
      <w:bookmarkStart w:id="101" w:name="_Toc50621935"/>
      <w:bookmarkStart w:id="102" w:name="_Toc50622827"/>
      <w:r>
        <w:rPr>
          <w:rFonts w:hint="eastAsia" w:ascii="仿宋" w:hAnsi="仿宋" w:eastAsia="仿宋"/>
          <w:b/>
          <w:color w:val="000000"/>
          <w:sz w:val="32"/>
          <w:szCs w:val="32"/>
        </w:rPr>
        <w:t>（二）政府采购支出情况</w:t>
      </w:r>
      <w:bookmarkEnd w:id="100"/>
      <w:bookmarkEnd w:id="101"/>
      <w:bookmarkEnd w:id="102"/>
    </w:p>
    <w:p>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2019</w:t>
      </w:r>
      <w:r>
        <w:rPr>
          <w:rFonts w:hint="eastAsia" w:ascii="仿宋" w:hAnsi="仿宋" w:eastAsia="仿宋"/>
          <w:color w:val="000000"/>
          <w:sz w:val="32"/>
          <w:szCs w:val="32"/>
        </w:rPr>
        <w:t>年，渠县人民检察院政府采购支出总额</w:t>
      </w:r>
      <w:r>
        <w:rPr>
          <w:rFonts w:ascii="仿宋" w:hAnsi="仿宋" w:eastAsia="仿宋"/>
          <w:color w:val="000000"/>
          <w:sz w:val="32"/>
          <w:szCs w:val="32"/>
        </w:rPr>
        <w:t>170.59</w:t>
      </w:r>
      <w:r>
        <w:rPr>
          <w:rFonts w:hint="eastAsia" w:ascii="仿宋" w:hAnsi="仿宋" w:eastAsia="仿宋"/>
          <w:color w:val="000000"/>
          <w:sz w:val="32"/>
          <w:szCs w:val="32"/>
        </w:rPr>
        <w:t>万元，其中：政府采购货物支出</w:t>
      </w:r>
      <w:r>
        <w:rPr>
          <w:rFonts w:ascii="仿宋" w:hAnsi="仿宋" w:eastAsia="仿宋"/>
          <w:color w:val="000000"/>
          <w:sz w:val="32"/>
          <w:szCs w:val="32"/>
        </w:rPr>
        <w:t>44.55</w:t>
      </w:r>
      <w:r>
        <w:rPr>
          <w:rFonts w:hint="eastAsia" w:ascii="仿宋" w:hAnsi="仿宋" w:eastAsia="仿宋"/>
          <w:color w:val="000000"/>
          <w:sz w:val="32"/>
          <w:szCs w:val="32"/>
        </w:rPr>
        <w:t>万元、政府采购工程支出</w:t>
      </w:r>
      <w:r>
        <w:rPr>
          <w:rFonts w:ascii="仿宋" w:hAnsi="仿宋" w:eastAsia="仿宋"/>
          <w:color w:val="000000"/>
          <w:sz w:val="32"/>
          <w:szCs w:val="32"/>
        </w:rPr>
        <w:t>125.02</w:t>
      </w:r>
      <w:r>
        <w:rPr>
          <w:rFonts w:hint="eastAsia" w:ascii="仿宋" w:hAnsi="仿宋" w:eastAsia="仿宋"/>
          <w:color w:val="000000"/>
          <w:sz w:val="32"/>
          <w:szCs w:val="32"/>
        </w:rPr>
        <w:t>万元、政府采购服务支出</w:t>
      </w:r>
      <w:r>
        <w:rPr>
          <w:rFonts w:ascii="仿宋" w:hAnsi="仿宋" w:eastAsia="仿宋"/>
          <w:color w:val="000000"/>
          <w:sz w:val="32"/>
          <w:szCs w:val="32"/>
        </w:rPr>
        <w:t>1.02</w:t>
      </w:r>
      <w:r>
        <w:rPr>
          <w:rFonts w:hint="eastAsia" w:ascii="仿宋" w:hAnsi="仿宋" w:eastAsia="仿宋"/>
          <w:color w:val="000000"/>
          <w:sz w:val="32"/>
          <w:szCs w:val="32"/>
        </w:rPr>
        <w:t>万元。主要用于</w:t>
      </w:r>
      <w:r>
        <w:rPr>
          <w:rFonts w:hint="eastAsia" w:ascii="仿宋" w:hAnsi="仿宋" w:eastAsia="仿宋"/>
          <w:sz w:val="32"/>
          <w:szCs w:val="32"/>
        </w:rPr>
        <w:t>开展</w:t>
      </w:r>
      <w:r>
        <w:rPr>
          <w:rFonts w:hint="eastAsia" w:ascii="仿宋" w:hAnsi="仿宋" w:eastAsia="仿宋" w:cs="宋体"/>
          <w:color w:val="000000"/>
          <w:kern w:val="0"/>
          <w:sz w:val="32"/>
          <w:szCs w:val="32"/>
        </w:rPr>
        <w:t>公诉和审判监督，侦查监督，执行监督，民事和行政检察监督、公益诉讼监督、控告申诉等工作</w:t>
      </w:r>
      <w:r>
        <w:rPr>
          <w:rFonts w:hint="eastAsia" w:ascii="仿宋" w:hAnsi="仿宋" w:eastAsia="仿宋"/>
          <w:color w:val="000000"/>
          <w:sz w:val="32"/>
          <w:szCs w:val="32"/>
        </w:rPr>
        <w:t>。授予中小企业合同金额</w:t>
      </w:r>
      <w:r>
        <w:rPr>
          <w:rFonts w:ascii="仿宋" w:hAnsi="仿宋" w:eastAsia="仿宋"/>
          <w:color w:val="000000"/>
          <w:sz w:val="32"/>
          <w:szCs w:val="32"/>
        </w:rPr>
        <w:t>45.57</w:t>
      </w:r>
      <w:r>
        <w:rPr>
          <w:rFonts w:hint="eastAsia" w:ascii="仿宋" w:hAnsi="仿宋" w:eastAsia="仿宋"/>
          <w:color w:val="000000"/>
          <w:sz w:val="32"/>
          <w:szCs w:val="32"/>
        </w:rPr>
        <w:t>万元，占政府采购支出总额的</w:t>
      </w:r>
      <w:r>
        <w:rPr>
          <w:rFonts w:ascii="仿宋" w:hAnsi="仿宋" w:eastAsia="仿宋"/>
          <w:color w:val="000000"/>
          <w:sz w:val="32"/>
          <w:szCs w:val="32"/>
        </w:rPr>
        <w:t>26.71%</w:t>
      </w:r>
      <w:r>
        <w:rPr>
          <w:rFonts w:hint="eastAsia" w:ascii="仿宋" w:hAnsi="仿宋" w:eastAsia="仿宋"/>
          <w:color w:val="000000"/>
          <w:sz w:val="32"/>
          <w:szCs w:val="32"/>
        </w:rPr>
        <w:t>，其中：授予小微企业合同金额</w:t>
      </w:r>
      <w:r>
        <w:rPr>
          <w:rFonts w:ascii="仿宋" w:hAnsi="仿宋" w:eastAsia="仿宋"/>
          <w:color w:val="000000"/>
          <w:sz w:val="32"/>
          <w:szCs w:val="32"/>
        </w:rPr>
        <w:t>1.02</w:t>
      </w:r>
      <w:r>
        <w:rPr>
          <w:rFonts w:hint="eastAsia" w:ascii="仿宋" w:hAnsi="仿宋" w:eastAsia="仿宋"/>
          <w:color w:val="000000"/>
          <w:sz w:val="32"/>
          <w:szCs w:val="32"/>
        </w:rPr>
        <w:t>万元，占政府采购支出总额的</w:t>
      </w:r>
      <w:r>
        <w:rPr>
          <w:rFonts w:ascii="仿宋" w:hAnsi="仿宋" w:eastAsia="仿宋"/>
          <w:color w:val="000000"/>
          <w:sz w:val="32"/>
          <w:szCs w:val="32"/>
        </w:rPr>
        <w:t>0.6%</w:t>
      </w:r>
      <w:r>
        <w:rPr>
          <w:rFonts w:hint="eastAsia" w:ascii="仿宋" w:hAnsi="仿宋" w:eastAsia="仿宋"/>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103" w:name="_Toc50622828"/>
      <w:bookmarkStart w:id="104" w:name="_Toc50621936"/>
      <w:bookmarkStart w:id="105" w:name="_Toc15377224"/>
      <w:r>
        <w:rPr>
          <w:rFonts w:hint="eastAsia" w:ascii="仿宋" w:hAnsi="仿宋" w:eastAsia="仿宋"/>
          <w:b/>
          <w:color w:val="000000"/>
          <w:sz w:val="32"/>
          <w:szCs w:val="32"/>
        </w:rPr>
        <w:t>（三）国有资产占有使用情况</w:t>
      </w:r>
      <w:bookmarkEnd w:id="103"/>
      <w:bookmarkEnd w:id="104"/>
      <w:bookmarkEnd w:id="105"/>
    </w:p>
    <w:p>
      <w:pPr>
        <w:autoSpaceDE w:val="0"/>
        <w:autoSpaceDN w:val="0"/>
        <w:adjustRightInd w:val="0"/>
        <w:spacing w:line="600" w:lineRule="exact"/>
        <w:ind w:firstLine="640" w:firstLineChars="200"/>
        <w:jc w:val="left"/>
        <w:outlineLvl w:val="2"/>
        <w:rPr>
          <w:rFonts w:ascii="仿宋" w:hAnsi="仿宋" w:eastAsia="仿宋"/>
          <w:color w:val="000000"/>
          <w:sz w:val="32"/>
          <w:szCs w:val="32"/>
        </w:rPr>
      </w:pPr>
      <w:bookmarkStart w:id="106" w:name="_Toc50621937"/>
      <w:bookmarkStart w:id="107" w:name="_Toc50622829"/>
      <w:r>
        <w:rPr>
          <w:rFonts w:hint="eastAsia" w:ascii="仿宋" w:hAnsi="仿宋" w:eastAsia="仿宋"/>
          <w:color w:val="000000"/>
          <w:sz w:val="32"/>
          <w:szCs w:val="32"/>
        </w:rPr>
        <w:t>截至</w:t>
      </w:r>
      <w:r>
        <w:rPr>
          <w:rFonts w:ascii="仿宋" w:hAnsi="仿宋" w:eastAsia="仿宋"/>
          <w:color w:val="000000"/>
          <w:sz w:val="32"/>
          <w:szCs w:val="32"/>
        </w:rPr>
        <w:t>2019</w:t>
      </w:r>
      <w:r>
        <w:rPr>
          <w:rFonts w:hint="eastAsia" w:ascii="仿宋" w:hAnsi="仿宋" w:eastAsia="仿宋"/>
          <w:color w:val="000000"/>
          <w:sz w:val="32"/>
          <w:szCs w:val="32"/>
        </w:rPr>
        <w:t>年</w:t>
      </w:r>
      <w:r>
        <w:rPr>
          <w:rFonts w:ascii="仿宋" w:hAnsi="仿宋" w:eastAsia="仿宋"/>
          <w:color w:val="000000"/>
          <w:sz w:val="32"/>
          <w:szCs w:val="32"/>
        </w:rPr>
        <w:t>12</w:t>
      </w:r>
      <w:r>
        <w:rPr>
          <w:rFonts w:hint="eastAsia" w:ascii="仿宋" w:hAnsi="仿宋" w:eastAsia="仿宋"/>
          <w:color w:val="000000"/>
          <w:sz w:val="32"/>
          <w:szCs w:val="32"/>
        </w:rPr>
        <w:t>月</w:t>
      </w:r>
      <w:r>
        <w:rPr>
          <w:rFonts w:ascii="仿宋" w:hAnsi="仿宋" w:eastAsia="仿宋"/>
          <w:color w:val="000000"/>
          <w:sz w:val="32"/>
          <w:szCs w:val="32"/>
        </w:rPr>
        <w:t>31</w:t>
      </w:r>
      <w:r>
        <w:rPr>
          <w:rFonts w:hint="eastAsia" w:ascii="仿宋" w:hAnsi="仿宋" w:eastAsia="仿宋"/>
          <w:color w:val="000000"/>
          <w:sz w:val="32"/>
          <w:szCs w:val="32"/>
        </w:rPr>
        <w:t>日，渠县人民检察院共有车辆</w:t>
      </w:r>
      <w:r>
        <w:rPr>
          <w:rFonts w:ascii="仿宋" w:hAnsi="仿宋" w:eastAsia="仿宋"/>
          <w:color w:val="000000"/>
          <w:sz w:val="32"/>
          <w:szCs w:val="32"/>
        </w:rPr>
        <w:t>8</w:t>
      </w:r>
      <w:r>
        <w:rPr>
          <w:rFonts w:hint="eastAsia" w:ascii="仿宋" w:hAnsi="仿宋" w:eastAsia="仿宋"/>
          <w:color w:val="000000"/>
          <w:sz w:val="32"/>
          <w:szCs w:val="32"/>
        </w:rPr>
        <w:t>辆，其中：部级领导干部用车</w:t>
      </w:r>
      <w:r>
        <w:rPr>
          <w:rFonts w:ascii="仿宋" w:hAnsi="仿宋" w:eastAsia="仿宋"/>
          <w:color w:val="000000"/>
          <w:sz w:val="32"/>
          <w:szCs w:val="32"/>
        </w:rPr>
        <w:t>0</w:t>
      </w:r>
      <w:r>
        <w:rPr>
          <w:rFonts w:hint="eastAsia" w:ascii="仿宋" w:hAnsi="仿宋" w:eastAsia="仿宋"/>
          <w:color w:val="000000"/>
          <w:sz w:val="32"/>
          <w:szCs w:val="32"/>
        </w:rPr>
        <w:t>辆、一般公务用车</w:t>
      </w:r>
      <w:r>
        <w:rPr>
          <w:rFonts w:ascii="仿宋" w:hAnsi="仿宋" w:eastAsia="仿宋"/>
          <w:color w:val="000000"/>
          <w:sz w:val="32"/>
          <w:szCs w:val="32"/>
        </w:rPr>
        <w:t>0</w:t>
      </w:r>
      <w:r>
        <w:rPr>
          <w:rFonts w:hint="eastAsia" w:ascii="仿宋" w:hAnsi="仿宋" w:eastAsia="仿宋"/>
          <w:color w:val="000000"/>
          <w:sz w:val="32"/>
          <w:szCs w:val="32"/>
        </w:rPr>
        <w:t>辆、一般执法执勤用车</w:t>
      </w:r>
      <w:r>
        <w:rPr>
          <w:rFonts w:ascii="仿宋" w:hAnsi="仿宋" w:eastAsia="仿宋"/>
          <w:color w:val="000000"/>
          <w:sz w:val="32"/>
          <w:szCs w:val="32"/>
        </w:rPr>
        <w:t>8</w:t>
      </w:r>
      <w:r>
        <w:rPr>
          <w:rFonts w:hint="eastAsia" w:ascii="仿宋" w:hAnsi="仿宋" w:eastAsia="仿宋"/>
          <w:color w:val="000000"/>
          <w:sz w:val="32"/>
          <w:szCs w:val="32"/>
        </w:rPr>
        <w:t>辆、特种专业技术用车</w:t>
      </w:r>
      <w:r>
        <w:rPr>
          <w:rFonts w:ascii="仿宋" w:hAnsi="仿宋" w:eastAsia="仿宋"/>
          <w:color w:val="000000"/>
          <w:sz w:val="32"/>
          <w:szCs w:val="32"/>
        </w:rPr>
        <w:t>0</w:t>
      </w:r>
      <w:r>
        <w:rPr>
          <w:rFonts w:hint="eastAsia" w:ascii="仿宋" w:hAnsi="仿宋" w:eastAsia="仿宋"/>
          <w:color w:val="000000"/>
          <w:sz w:val="32"/>
          <w:szCs w:val="32"/>
        </w:rPr>
        <w:t>辆、其他用车</w:t>
      </w:r>
      <w:r>
        <w:rPr>
          <w:rFonts w:ascii="仿宋" w:hAnsi="仿宋" w:eastAsia="仿宋"/>
          <w:color w:val="000000"/>
          <w:sz w:val="32"/>
          <w:szCs w:val="32"/>
        </w:rPr>
        <w:t>0</w:t>
      </w:r>
      <w:r>
        <w:rPr>
          <w:rFonts w:hint="eastAsia" w:ascii="仿宋" w:hAnsi="仿宋" w:eastAsia="仿宋"/>
          <w:color w:val="000000"/>
          <w:sz w:val="32"/>
          <w:szCs w:val="32"/>
        </w:rPr>
        <w:t>辆，单价</w:t>
      </w:r>
      <w:r>
        <w:rPr>
          <w:rFonts w:ascii="仿宋" w:hAnsi="仿宋" w:eastAsia="仿宋"/>
          <w:color w:val="000000"/>
          <w:sz w:val="32"/>
          <w:szCs w:val="32"/>
        </w:rPr>
        <w:t>50</w:t>
      </w:r>
      <w:r>
        <w:rPr>
          <w:rFonts w:hint="eastAsia" w:ascii="仿宋" w:hAnsi="仿宋" w:eastAsia="仿宋"/>
          <w:color w:val="000000"/>
          <w:sz w:val="32"/>
          <w:szCs w:val="32"/>
        </w:rPr>
        <w:t>万元以上通用设备</w:t>
      </w:r>
      <w:r>
        <w:rPr>
          <w:rFonts w:ascii="仿宋" w:hAnsi="仿宋" w:eastAsia="仿宋"/>
          <w:color w:val="000000"/>
          <w:sz w:val="32"/>
          <w:szCs w:val="32"/>
        </w:rPr>
        <w:t>0</w:t>
      </w:r>
      <w:r>
        <w:rPr>
          <w:rFonts w:hint="eastAsia" w:ascii="仿宋" w:hAnsi="仿宋" w:eastAsia="仿宋"/>
          <w:color w:val="000000"/>
          <w:sz w:val="32"/>
          <w:szCs w:val="32"/>
        </w:rPr>
        <w:t>台（套），单价</w:t>
      </w:r>
      <w:r>
        <w:rPr>
          <w:rFonts w:ascii="仿宋" w:hAnsi="仿宋" w:eastAsia="仿宋"/>
          <w:color w:val="000000"/>
          <w:sz w:val="32"/>
          <w:szCs w:val="32"/>
        </w:rPr>
        <w:t>100</w:t>
      </w:r>
      <w:r>
        <w:rPr>
          <w:rFonts w:hint="eastAsia" w:ascii="仿宋" w:hAnsi="仿宋" w:eastAsia="仿宋"/>
          <w:color w:val="000000"/>
          <w:sz w:val="32"/>
          <w:szCs w:val="32"/>
        </w:rPr>
        <w:t>万元以上专用设备</w:t>
      </w:r>
      <w:r>
        <w:rPr>
          <w:rFonts w:ascii="仿宋" w:hAnsi="仿宋" w:eastAsia="仿宋"/>
          <w:color w:val="000000"/>
          <w:sz w:val="32"/>
          <w:szCs w:val="32"/>
        </w:rPr>
        <w:t>0</w:t>
      </w:r>
      <w:r>
        <w:rPr>
          <w:rFonts w:hint="eastAsia" w:ascii="仿宋" w:hAnsi="仿宋" w:eastAsia="仿宋"/>
          <w:color w:val="000000"/>
          <w:sz w:val="32"/>
          <w:szCs w:val="32"/>
        </w:rPr>
        <w:t>台（套）</w:t>
      </w:r>
      <w:bookmarkEnd w:id="106"/>
      <w:bookmarkEnd w:id="107"/>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108" w:name="_Toc50622830"/>
      <w:bookmarkStart w:id="109" w:name="_Toc50621938"/>
      <w:r>
        <w:rPr>
          <w:rFonts w:hint="eastAsia" w:ascii="仿宋" w:hAnsi="仿宋" w:eastAsia="仿宋"/>
          <w:b/>
          <w:color w:val="000000"/>
          <w:sz w:val="32"/>
          <w:szCs w:val="32"/>
        </w:rPr>
        <w:t>（四）预算绩效管理情况。</w:t>
      </w:r>
      <w:bookmarkEnd w:id="108"/>
      <w:bookmarkEnd w:id="109"/>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根据预算绩效管理要求，渠县人民检察院在年初预算编制阶段，组织对渠县人民检察院年初预算项目开展了预算事前绩效评估，对</w:t>
      </w:r>
      <w:r>
        <w:rPr>
          <w:rFonts w:ascii="仿宋" w:hAnsi="仿宋" w:eastAsia="仿宋" w:cs="仿宋_GB2312"/>
          <w:sz w:val="32"/>
          <w:szCs w:val="32"/>
        </w:rPr>
        <w:t>4</w:t>
      </w:r>
      <w:r>
        <w:rPr>
          <w:rFonts w:hint="eastAsia" w:ascii="仿宋" w:hAnsi="仿宋" w:eastAsia="仿宋" w:cs="仿宋_GB2312"/>
          <w:sz w:val="32"/>
          <w:szCs w:val="32"/>
        </w:rPr>
        <w:t>个项目编制了绩效目标，预算执行过程中，选取</w:t>
      </w:r>
      <w:r>
        <w:rPr>
          <w:rFonts w:ascii="仿宋" w:hAnsi="仿宋" w:eastAsia="仿宋" w:cs="仿宋_GB2312"/>
          <w:sz w:val="32"/>
          <w:szCs w:val="32"/>
        </w:rPr>
        <w:t>4</w:t>
      </w:r>
      <w:r>
        <w:rPr>
          <w:rFonts w:hint="eastAsia" w:ascii="仿宋" w:hAnsi="仿宋" w:eastAsia="仿宋" w:cs="仿宋_GB2312"/>
          <w:sz w:val="32"/>
          <w:szCs w:val="32"/>
        </w:rPr>
        <w:t>个项目开展绩效监控，年终执行完毕后，对</w:t>
      </w:r>
      <w:r>
        <w:rPr>
          <w:rFonts w:ascii="仿宋" w:hAnsi="仿宋" w:eastAsia="仿宋" w:cs="仿宋_GB2312"/>
          <w:sz w:val="32"/>
          <w:szCs w:val="32"/>
        </w:rPr>
        <w:t>4</w:t>
      </w:r>
      <w:r>
        <w:rPr>
          <w:rFonts w:hint="eastAsia" w:ascii="仿宋" w:hAnsi="仿宋" w:eastAsia="仿宋" w:cs="仿宋_GB2312"/>
          <w:sz w:val="32"/>
          <w:szCs w:val="32"/>
        </w:rPr>
        <w:t>个项目开展了绩效目标完成情况自评。</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本部门按要求对</w:t>
      </w:r>
      <w:r>
        <w:rPr>
          <w:rFonts w:ascii="仿宋" w:hAnsi="仿宋" w:eastAsia="仿宋" w:cs="仿宋_GB2312"/>
          <w:sz w:val="32"/>
          <w:szCs w:val="32"/>
        </w:rPr>
        <w:t>2019</w:t>
      </w:r>
      <w:r>
        <w:rPr>
          <w:rFonts w:hint="eastAsia" w:ascii="仿宋" w:hAnsi="仿宋" w:eastAsia="仿宋" w:cs="仿宋_GB2312"/>
          <w:sz w:val="32"/>
          <w:szCs w:val="32"/>
        </w:rPr>
        <w:t>年部门整体支出开展绩效自评，从评价情况来看确保了资金使用合理合法，公开透明，富有成效。本部门还自行组织了</w:t>
      </w:r>
      <w:r>
        <w:rPr>
          <w:rFonts w:ascii="仿宋" w:hAnsi="仿宋" w:eastAsia="仿宋" w:cs="仿宋_GB2312"/>
          <w:sz w:val="32"/>
          <w:szCs w:val="32"/>
        </w:rPr>
        <w:t>4</w:t>
      </w:r>
      <w:r>
        <w:rPr>
          <w:rFonts w:hint="eastAsia" w:ascii="仿宋" w:hAnsi="仿宋" w:eastAsia="仿宋" w:cs="仿宋_GB2312"/>
          <w:sz w:val="32"/>
          <w:szCs w:val="32"/>
        </w:rPr>
        <w:t>个项目支出绩效评价，从评价情况来看取得了很好的效果，对</w:t>
      </w:r>
      <w:r>
        <w:rPr>
          <w:rFonts w:hint="eastAsia" w:ascii="仿宋" w:hAnsi="仿宋" w:eastAsia="仿宋" w:cs="仿宋_GB2312"/>
          <w:sz w:val="32"/>
          <w:szCs w:val="32"/>
          <w:lang w:val="zh-CN"/>
        </w:rPr>
        <w:t>项目经费收支情况和资金使用的合规性进行了有效监督，确保了资金使用合乎合规，无截留、挪用等现象</w:t>
      </w:r>
      <w:r>
        <w:rPr>
          <w:rFonts w:hint="eastAsia" w:ascii="仿宋" w:hAnsi="仿宋" w:eastAsia="仿宋" w:cs="仿宋_GB2312"/>
          <w:sz w:val="32"/>
          <w:szCs w:val="32"/>
        </w:rPr>
        <w:t>。</w:t>
      </w:r>
    </w:p>
    <w:p>
      <w:pPr>
        <w:spacing w:line="580" w:lineRule="exact"/>
        <w:ind w:firstLine="640" w:firstLineChars="200"/>
        <w:rPr>
          <w:rFonts w:ascii="仿宋" w:hAnsi="仿宋" w:eastAsia="仿宋" w:cs="仿宋_GB2312"/>
          <w:sz w:val="32"/>
          <w:szCs w:val="32"/>
        </w:rPr>
      </w:pPr>
      <w:r>
        <w:rPr>
          <w:rFonts w:ascii="仿宋" w:hAnsi="仿宋" w:eastAsia="仿宋" w:cs="楷体_GB2312"/>
          <w:sz w:val="32"/>
          <w:szCs w:val="32"/>
        </w:rPr>
        <w:t>1.</w:t>
      </w:r>
      <w:r>
        <w:rPr>
          <w:rFonts w:hint="eastAsia" w:ascii="仿宋" w:hAnsi="仿宋" w:eastAsia="仿宋" w:cs="楷体_GB2312"/>
          <w:sz w:val="32"/>
          <w:szCs w:val="32"/>
        </w:rPr>
        <w:t>项目绩效目标完成情况。</w:t>
      </w:r>
      <w:r>
        <w:rPr>
          <w:rFonts w:ascii="仿宋" w:hAnsi="仿宋" w:eastAsia="仿宋" w:cs="楷体_GB2312"/>
          <w:sz w:val="32"/>
          <w:szCs w:val="32"/>
        </w:rPr>
        <w:br w:type="textWrapping"/>
      </w:r>
      <w:r>
        <w:rPr>
          <w:rFonts w:ascii="仿宋" w:hAnsi="仿宋" w:eastAsia="仿宋" w:cs="仿宋_GB2312"/>
          <w:sz w:val="32"/>
          <w:szCs w:val="32"/>
        </w:rPr>
        <w:t xml:space="preserve">    </w:t>
      </w:r>
      <w:r>
        <w:rPr>
          <w:rFonts w:hint="eastAsia" w:ascii="仿宋" w:hAnsi="仿宋" w:eastAsia="仿宋" w:cs="仿宋_GB2312"/>
          <w:sz w:val="32"/>
          <w:szCs w:val="32"/>
        </w:rPr>
        <w:t>本部门在</w:t>
      </w:r>
      <w:r>
        <w:rPr>
          <w:rFonts w:ascii="仿宋" w:hAnsi="仿宋" w:eastAsia="仿宋" w:cs="仿宋_GB2312"/>
          <w:sz w:val="32"/>
          <w:szCs w:val="32"/>
        </w:rPr>
        <w:t>2019</w:t>
      </w:r>
      <w:r>
        <w:rPr>
          <w:rFonts w:hint="eastAsia" w:ascii="仿宋" w:hAnsi="仿宋" w:eastAsia="仿宋" w:cs="仿宋_GB2312"/>
          <w:sz w:val="32"/>
          <w:szCs w:val="32"/>
        </w:rPr>
        <w:t>年度部门决算中反映“司法警察法定工作日之外加班补贴””司法警察执勤岗位津贴”“专用设备维修（护）费”“派驻纪检机构工作经费”</w:t>
      </w:r>
      <w:r>
        <w:rPr>
          <w:rFonts w:ascii="仿宋" w:hAnsi="仿宋" w:eastAsia="仿宋" w:cs="仿宋_GB2312"/>
          <w:sz w:val="32"/>
          <w:szCs w:val="32"/>
        </w:rPr>
        <w:t>4</w:t>
      </w:r>
      <w:r>
        <w:rPr>
          <w:rFonts w:hint="eastAsia" w:ascii="仿宋" w:hAnsi="仿宋" w:eastAsia="仿宋" w:cs="仿宋_GB2312"/>
          <w:sz w:val="32"/>
          <w:szCs w:val="32"/>
        </w:rPr>
        <w:t>个项目绩效目标实际完成情况。</w:t>
      </w:r>
    </w:p>
    <w:p>
      <w:pPr>
        <w:spacing w:line="580" w:lineRule="exact"/>
        <w:ind w:right="-92" w:rightChars="-44"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ascii="仿宋" w:hAnsi="仿宋" w:eastAsia="仿宋" w:cs="仿宋_GB2312"/>
          <w:sz w:val="32"/>
          <w:szCs w:val="32"/>
        </w:rPr>
        <w:t>1</w:t>
      </w:r>
      <w:r>
        <w:rPr>
          <w:rFonts w:hint="eastAsia" w:ascii="仿宋" w:hAnsi="仿宋" w:eastAsia="仿宋" w:cs="仿宋_GB2312"/>
          <w:sz w:val="32"/>
          <w:szCs w:val="32"/>
        </w:rPr>
        <w:t>）“司法警察法定工作日之外加班补贴”项目绩效目标完成情况综述。项目全年预算数</w:t>
      </w:r>
      <w:r>
        <w:rPr>
          <w:rFonts w:ascii="仿宋" w:hAnsi="仿宋" w:eastAsia="仿宋" w:cs="仿宋_GB2312"/>
          <w:sz w:val="32"/>
          <w:szCs w:val="32"/>
        </w:rPr>
        <w:t>7.668</w:t>
      </w:r>
      <w:r>
        <w:rPr>
          <w:rFonts w:hint="eastAsia" w:ascii="仿宋" w:hAnsi="仿宋" w:eastAsia="仿宋" w:cs="仿宋_GB2312"/>
          <w:sz w:val="32"/>
          <w:szCs w:val="32"/>
        </w:rPr>
        <w:t>万元，执行数为</w:t>
      </w:r>
      <w:r>
        <w:rPr>
          <w:rFonts w:ascii="仿宋" w:hAnsi="仿宋" w:eastAsia="仿宋" w:cs="仿宋_GB2312"/>
          <w:sz w:val="32"/>
          <w:szCs w:val="32"/>
        </w:rPr>
        <w:t>7.668</w:t>
      </w:r>
      <w:r>
        <w:rPr>
          <w:rFonts w:hint="eastAsia" w:ascii="仿宋" w:hAnsi="仿宋" w:eastAsia="仿宋" w:cs="仿宋_GB2312"/>
          <w:sz w:val="32"/>
          <w:szCs w:val="32"/>
        </w:rPr>
        <w:t>万元，完成预算的</w:t>
      </w:r>
      <w:r>
        <w:rPr>
          <w:rFonts w:ascii="仿宋" w:hAnsi="仿宋" w:eastAsia="仿宋" w:cs="仿宋_GB2312"/>
          <w:sz w:val="32"/>
          <w:szCs w:val="32"/>
        </w:rPr>
        <w:t>100%</w:t>
      </w:r>
      <w:r>
        <w:rPr>
          <w:rFonts w:hint="eastAsia" w:ascii="仿宋" w:hAnsi="仿宋" w:eastAsia="仿宋" w:cs="仿宋_GB2312"/>
          <w:sz w:val="32"/>
          <w:szCs w:val="32"/>
        </w:rPr>
        <w:t>。通过项目实施，保障了我院司法警察法定工作日之外的加班补贴按规定发放，资金做到专款专用，没有发现任何问题。</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ascii="仿宋" w:hAnsi="仿宋" w:eastAsia="仿宋" w:cs="仿宋_GB2312"/>
          <w:sz w:val="32"/>
          <w:szCs w:val="32"/>
        </w:rPr>
        <w:t>2</w:t>
      </w:r>
      <w:r>
        <w:rPr>
          <w:rFonts w:hint="eastAsia" w:ascii="仿宋" w:hAnsi="仿宋" w:eastAsia="仿宋" w:cs="仿宋_GB2312"/>
          <w:sz w:val="32"/>
          <w:szCs w:val="32"/>
        </w:rPr>
        <w:t>）</w:t>
      </w:r>
      <w:r>
        <w:rPr>
          <w:rFonts w:ascii="仿宋" w:hAnsi="仿宋" w:eastAsia="仿宋" w:cs="仿宋_GB2312"/>
          <w:sz w:val="32"/>
          <w:szCs w:val="32"/>
        </w:rPr>
        <w:t xml:space="preserve"> </w:t>
      </w:r>
      <w:r>
        <w:rPr>
          <w:rFonts w:hint="eastAsia" w:ascii="仿宋" w:hAnsi="仿宋" w:eastAsia="仿宋" w:cs="仿宋_GB2312"/>
          <w:sz w:val="32"/>
          <w:szCs w:val="32"/>
        </w:rPr>
        <w:t>“司法警察执勤岗位津贴”项目绩效目标完成情况综述。项目全年预算数</w:t>
      </w:r>
      <w:r>
        <w:rPr>
          <w:rFonts w:ascii="仿宋" w:hAnsi="仿宋" w:eastAsia="仿宋" w:cs="仿宋_GB2312"/>
          <w:sz w:val="32"/>
          <w:szCs w:val="32"/>
        </w:rPr>
        <w:t>9.504</w:t>
      </w:r>
      <w:r>
        <w:rPr>
          <w:rFonts w:hint="eastAsia" w:ascii="仿宋" w:hAnsi="仿宋" w:eastAsia="仿宋" w:cs="仿宋_GB2312"/>
          <w:sz w:val="32"/>
          <w:szCs w:val="32"/>
        </w:rPr>
        <w:t>万元，执行数为</w:t>
      </w:r>
      <w:r>
        <w:rPr>
          <w:rFonts w:ascii="仿宋" w:hAnsi="仿宋" w:eastAsia="仿宋" w:cs="仿宋_GB2312"/>
          <w:sz w:val="32"/>
          <w:szCs w:val="32"/>
        </w:rPr>
        <w:t>9,504</w:t>
      </w:r>
      <w:r>
        <w:rPr>
          <w:rFonts w:hint="eastAsia" w:ascii="仿宋" w:hAnsi="仿宋" w:eastAsia="仿宋" w:cs="仿宋_GB2312"/>
          <w:sz w:val="32"/>
          <w:szCs w:val="32"/>
        </w:rPr>
        <w:t>万元，完成预算的</w:t>
      </w:r>
      <w:r>
        <w:rPr>
          <w:rFonts w:ascii="仿宋" w:hAnsi="仿宋" w:eastAsia="仿宋" w:cs="仿宋_GB2312"/>
          <w:sz w:val="32"/>
          <w:szCs w:val="32"/>
        </w:rPr>
        <w:t>100%</w:t>
      </w:r>
      <w:r>
        <w:rPr>
          <w:rFonts w:hint="eastAsia" w:ascii="仿宋" w:hAnsi="仿宋" w:eastAsia="仿宋" w:cs="仿宋_GB2312"/>
          <w:sz w:val="32"/>
          <w:szCs w:val="32"/>
        </w:rPr>
        <w:t>。通过项目实施，我院的司法警察的岗位津贴发放得到保障，该项目资金得到专款专用，足额发放，未发现任何问题。</w:t>
      </w:r>
    </w:p>
    <w:p>
      <w:pPr>
        <w:spacing w:line="58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rPr>
        <w:t>（</w:t>
      </w:r>
      <w:r>
        <w:rPr>
          <w:rFonts w:ascii="仿宋" w:hAnsi="仿宋" w:eastAsia="仿宋" w:cs="仿宋_GB2312"/>
          <w:sz w:val="32"/>
          <w:szCs w:val="32"/>
        </w:rPr>
        <w:t>3</w:t>
      </w:r>
      <w:r>
        <w:rPr>
          <w:rFonts w:hint="eastAsia" w:ascii="仿宋" w:hAnsi="仿宋" w:eastAsia="仿宋" w:cs="仿宋_GB2312"/>
          <w:sz w:val="32"/>
          <w:szCs w:val="32"/>
        </w:rPr>
        <w:t>）“专用设备维护（修）费”项目绩效目标完成情况综述。项目全年预算数</w:t>
      </w:r>
      <w:r>
        <w:rPr>
          <w:rFonts w:ascii="仿宋" w:hAnsi="仿宋" w:eastAsia="仿宋" w:cs="仿宋_GB2312"/>
          <w:sz w:val="32"/>
          <w:szCs w:val="32"/>
        </w:rPr>
        <w:t>10</w:t>
      </w:r>
      <w:r>
        <w:rPr>
          <w:rFonts w:hint="eastAsia" w:ascii="仿宋" w:hAnsi="仿宋" w:eastAsia="仿宋" w:cs="仿宋_GB2312"/>
          <w:sz w:val="32"/>
          <w:szCs w:val="32"/>
        </w:rPr>
        <w:t>万元，执行数为</w:t>
      </w:r>
      <w:r>
        <w:rPr>
          <w:rFonts w:ascii="仿宋" w:hAnsi="仿宋" w:eastAsia="仿宋" w:cs="仿宋_GB2312"/>
          <w:sz w:val="32"/>
          <w:szCs w:val="32"/>
        </w:rPr>
        <w:t>10</w:t>
      </w:r>
      <w:r>
        <w:rPr>
          <w:rFonts w:hint="eastAsia" w:ascii="仿宋" w:hAnsi="仿宋" w:eastAsia="仿宋" w:cs="仿宋_GB2312"/>
          <w:sz w:val="32"/>
          <w:szCs w:val="32"/>
        </w:rPr>
        <w:t>万元，完成预算的</w:t>
      </w:r>
      <w:r>
        <w:rPr>
          <w:rFonts w:ascii="仿宋" w:hAnsi="仿宋" w:eastAsia="仿宋" w:cs="仿宋_GB2312"/>
          <w:sz w:val="32"/>
          <w:szCs w:val="32"/>
        </w:rPr>
        <w:t>100%</w:t>
      </w:r>
      <w:r>
        <w:rPr>
          <w:rFonts w:hint="eastAsia" w:ascii="仿宋" w:hAnsi="仿宋" w:eastAsia="仿宋" w:cs="仿宋_GB2312"/>
          <w:sz w:val="32"/>
          <w:szCs w:val="32"/>
        </w:rPr>
        <w:t>。通过项目实施，保障了我院各办案专用设备的正常运行，发现的主要问题是：</w:t>
      </w:r>
      <w:r>
        <w:rPr>
          <w:rFonts w:hint="eastAsia" w:ascii="仿宋" w:hAnsi="仿宋" w:eastAsia="仿宋" w:cs="仿宋_GB2312"/>
          <w:sz w:val="32"/>
          <w:szCs w:val="32"/>
          <w:lang w:val="zh-CN"/>
        </w:rPr>
        <w:t>在经费使用上计划性较差，不能完全按计划及时间进度完成计划，只能完成年度计划</w:t>
      </w:r>
      <w:r>
        <w:rPr>
          <w:rFonts w:hint="eastAsia" w:ascii="仿宋" w:hAnsi="仿宋" w:eastAsia="仿宋" w:cs="仿宋_GB2312"/>
          <w:sz w:val="32"/>
          <w:szCs w:val="32"/>
        </w:rPr>
        <w:t>。下一步改进措施：进一步</w:t>
      </w:r>
      <w:r>
        <w:rPr>
          <w:rFonts w:hint="eastAsia" w:ascii="仿宋" w:hAnsi="仿宋" w:eastAsia="仿宋" w:cs="仿宋_GB2312"/>
          <w:sz w:val="32"/>
          <w:szCs w:val="32"/>
          <w:lang w:val="zh-CN"/>
        </w:rPr>
        <w:t>加强项目前期对接和项目工作连续性。</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ascii="仿宋" w:hAnsi="仿宋" w:eastAsia="仿宋" w:cs="仿宋_GB2312"/>
          <w:sz w:val="32"/>
          <w:szCs w:val="32"/>
        </w:rPr>
        <w:t>4</w:t>
      </w:r>
      <w:r>
        <w:rPr>
          <w:rFonts w:hint="eastAsia" w:ascii="仿宋" w:hAnsi="仿宋" w:eastAsia="仿宋" w:cs="仿宋_GB2312"/>
          <w:sz w:val="32"/>
          <w:szCs w:val="32"/>
        </w:rPr>
        <w:t>）“派驻纪检机构工作经费”项目绩效目标完成情况综述。项目全年预算数</w:t>
      </w:r>
      <w:r>
        <w:rPr>
          <w:rFonts w:ascii="仿宋" w:hAnsi="仿宋" w:eastAsia="仿宋" w:cs="仿宋_GB2312"/>
          <w:sz w:val="32"/>
          <w:szCs w:val="32"/>
        </w:rPr>
        <w:t>20</w:t>
      </w:r>
      <w:r>
        <w:rPr>
          <w:rFonts w:hint="eastAsia" w:ascii="仿宋" w:hAnsi="仿宋" w:eastAsia="仿宋" w:cs="仿宋_GB2312"/>
          <w:sz w:val="32"/>
          <w:szCs w:val="32"/>
        </w:rPr>
        <w:t>万元，执行数为</w:t>
      </w:r>
      <w:r>
        <w:rPr>
          <w:rFonts w:ascii="仿宋" w:hAnsi="仿宋" w:eastAsia="仿宋" w:cs="仿宋_GB2312"/>
          <w:sz w:val="32"/>
          <w:szCs w:val="32"/>
        </w:rPr>
        <w:t>20</w:t>
      </w:r>
      <w:r>
        <w:rPr>
          <w:rFonts w:hint="eastAsia" w:ascii="仿宋" w:hAnsi="仿宋" w:eastAsia="仿宋" w:cs="仿宋_GB2312"/>
          <w:sz w:val="32"/>
          <w:szCs w:val="32"/>
        </w:rPr>
        <w:t>万元，完成预算的</w:t>
      </w:r>
      <w:r>
        <w:rPr>
          <w:rFonts w:ascii="仿宋" w:hAnsi="仿宋" w:eastAsia="仿宋" w:cs="仿宋_GB2312"/>
          <w:sz w:val="32"/>
          <w:szCs w:val="32"/>
        </w:rPr>
        <w:t>100%</w:t>
      </w:r>
      <w:r>
        <w:rPr>
          <w:rFonts w:hint="eastAsia" w:ascii="仿宋" w:hAnsi="仿宋" w:eastAsia="仿宋" w:cs="仿宋_GB2312"/>
          <w:sz w:val="32"/>
          <w:szCs w:val="32"/>
        </w:rPr>
        <w:t>。通过项目实施，保障了派驻纪检机构在我院的工作顺利开展，并且该项目资金是专款专用，未发现任何问题。</w:t>
      </w:r>
    </w:p>
    <w:p>
      <w:pPr>
        <w:spacing w:line="580" w:lineRule="exact"/>
        <w:ind w:firstLine="640" w:firstLineChars="200"/>
        <w:rPr>
          <w:rFonts w:ascii="仿宋_GB2312" w:hAnsi="仿宋_GB2312" w:eastAsia="仿宋_GB2312" w:cs="仿宋_GB2312"/>
          <w:sz w:val="32"/>
          <w:szCs w:val="32"/>
        </w:rPr>
      </w:pPr>
    </w:p>
    <w:tbl>
      <w:tblPr>
        <w:tblStyle w:val="19"/>
        <w:tblpPr w:leftFromText="180" w:rightFromText="180" w:vertAnchor="text" w:horzAnchor="margin" w:tblpXSpec="center" w:tblpY="328"/>
        <w:tblW w:w="8445" w:type="dxa"/>
        <w:tblInd w:w="0" w:type="dxa"/>
        <w:tblLayout w:type="autofit"/>
        <w:tblCellMar>
          <w:top w:w="0" w:type="dxa"/>
          <w:left w:w="108" w:type="dxa"/>
          <w:bottom w:w="0" w:type="dxa"/>
          <w:right w:w="108" w:type="dxa"/>
        </w:tblCellMar>
      </w:tblPr>
      <w:tblGrid>
        <w:gridCol w:w="711"/>
        <w:gridCol w:w="733"/>
        <w:gridCol w:w="666"/>
        <w:gridCol w:w="1898"/>
        <w:gridCol w:w="2320"/>
        <w:gridCol w:w="2117"/>
      </w:tblGrid>
      <w:tr>
        <w:tblPrEx>
          <w:tblCellMar>
            <w:top w:w="0" w:type="dxa"/>
            <w:left w:w="108" w:type="dxa"/>
            <w:bottom w:w="0" w:type="dxa"/>
            <w:right w:w="108" w:type="dxa"/>
          </w:tblCellMar>
        </w:tblPrEx>
        <w:trPr>
          <w:trHeight w:val="124" w:hRule="atLeast"/>
        </w:trPr>
        <w:tc>
          <w:tcPr>
            <w:tcW w:w="0" w:type="auto"/>
            <w:gridSpan w:val="6"/>
            <w:tcBorders>
              <w:top w:val="nil"/>
              <w:left w:val="nil"/>
              <w:bottom w:val="nil"/>
              <w:right w:val="nil"/>
            </w:tcBorders>
            <w:vAlign w:val="center"/>
          </w:tcPr>
          <w:p>
            <w:pPr>
              <w:widowControl/>
              <w:jc w:val="center"/>
              <w:rPr>
                <w:rFonts w:ascii="宋体" w:cs="宋体"/>
                <w:b/>
                <w:bCs/>
                <w:color w:val="000000"/>
                <w:kern w:val="0"/>
                <w:szCs w:val="21"/>
              </w:rPr>
            </w:pPr>
            <w:r>
              <w:rPr>
                <w:rFonts w:hint="eastAsia" w:ascii="宋体" w:hAnsi="宋体" w:cs="宋体"/>
                <w:b/>
                <w:bCs/>
                <w:color w:val="000000"/>
                <w:kern w:val="0"/>
                <w:szCs w:val="21"/>
              </w:rPr>
              <w:t>项目支出绩效目标完成表</w:t>
            </w:r>
          </w:p>
        </w:tc>
      </w:tr>
      <w:tr>
        <w:tblPrEx>
          <w:tblCellMar>
            <w:top w:w="0" w:type="dxa"/>
            <w:left w:w="108" w:type="dxa"/>
            <w:bottom w:w="0" w:type="dxa"/>
            <w:right w:w="108" w:type="dxa"/>
          </w:tblCellMar>
        </w:tblPrEx>
        <w:trPr>
          <w:trHeight w:val="124" w:hRule="atLeast"/>
        </w:trPr>
        <w:tc>
          <w:tcPr>
            <w:tcW w:w="0" w:type="auto"/>
            <w:gridSpan w:val="6"/>
            <w:tcBorders>
              <w:top w:val="nil"/>
              <w:left w:val="nil"/>
              <w:bottom w:val="nil"/>
              <w:right w:val="nil"/>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 xml:space="preserve">        2019  </w:t>
            </w:r>
            <w:r>
              <w:rPr>
                <w:rFonts w:hint="eastAsia" w:ascii="宋体" w:hAnsi="宋体" w:cs="宋体"/>
                <w:color w:val="000000"/>
                <w:kern w:val="0"/>
                <w:sz w:val="18"/>
                <w:szCs w:val="18"/>
              </w:rPr>
              <w:t>年度）</w:t>
            </w:r>
          </w:p>
        </w:tc>
      </w:tr>
      <w:tr>
        <w:tblPrEx>
          <w:tblCellMar>
            <w:top w:w="0" w:type="dxa"/>
            <w:left w:w="108" w:type="dxa"/>
            <w:bottom w:w="0" w:type="dxa"/>
            <w:right w:w="108" w:type="dxa"/>
          </w:tblCellMar>
        </w:tblPrEx>
        <w:trPr>
          <w:trHeight w:val="124" w:hRule="atLeast"/>
        </w:trPr>
        <w:tc>
          <w:tcPr>
            <w:tcW w:w="0" w:type="auto"/>
            <w:gridSpan w:val="6"/>
            <w:tcBorders>
              <w:top w:val="nil"/>
              <w:left w:val="nil"/>
              <w:bottom w:val="nil"/>
              <w:right w:val="nil"/>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注：项目支出包括部门预算支出和专项预支出</w:t>
            </w:r>
          </w:p>
        </w:tc>
      </w:tr>
      <w:tr>
        <w:tblPrEx>
          <w:tblCellMar>
            <w:top w:w="0" w:type="dxa"/>
            <w:left w:w="108" w:type="dxa"/>
            <w:bottom w:w="0" w:type="dxa"/>
            <w:right w:w="108" w:type="dxa"/>
          </w:tblCellMar>
        </w:tblPrEx>
        <w:trPr>
          <w:trHeight w:val="124" w:hRule="atLeast"/>
        </w:trPr>
        <w:tc>
          <w:tcPr>
            <w:tcW w:w="0" w:type="auto"/>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项目名称</w:t>
            </w:r>
          </w:p>
        </w:tc>
        <w:tc>
          <w:tcPr>
            <w:tcW w:w="0" w:type="auto"/>
            <w:gridSpan w:val="3"/>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司法警察法定工作日之外加班补贴</w:t>
            </w:r>
          </w:p>
        </w:tc>
      </w:tr>
      <w:tr>
        <w:tblPrEx>
          <w:tblCellMar>
            <w:top w:w="0" w:type="dxa"/>
            <w:left w:w="108" w:type="dxa"/>
            <w:bottom w:w="0" w:type="dxa"/>
            <w:right w:w="108" w:type="dxa"/>
          </w:tblCellMar>
        </w:tblPrEx>
        <w:trPr>
          <w:trHeight w:val="124" w:hRule="atLeast"/>
        </w:trPr>
        <w:tc>
          <w:tcPr>
            <w:tcW w:w="0" w:type="auto"/>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预算单位</w:t>
            </w:r>
          </w:p>
        </w:tc>
        <w:tc>
          <w:tcPr>
            <w:tcW w:w="0" w:type="auto"/>
            <w:gridSpan w:val="3"/>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渠县人民检察院</w:t>
            </w:r>
          </w:p>
        </w:tc>
      </w:tr>
      <w:tr>
        <w:tblPrEx>
          <w:tblCellMar>
            <w:top w:w="0" w:type="dxa"/>
            <w:left w:w="108" w:type="dxa"/>
            <w:bottom w:w="0" w:type="dxa"/>
            <w:right w:w="108" w:type="dxa"/>
          </w:tblCellMar>
        </w:tblPrEx>
        <w:trPr>
          <w:trHeight w:val="312" w:hRule="atLeast"/>
        </w:trPr>
        <w:tc>
          <w:tcPr>
            <w:tcW w:w="0" w:type="auto"/>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预算</w:t>
            </w:r>
            <w:r>
              <w:rPr>
                <w:rFonts w:ascii="宋体" w:cs="宋体"/>
                <w:color w:val="000000"/>
                <w:kern w:val="0"/>
                <w:sz w:val="18"/>
                <w:szCs w:val="18"/>
              </w:rPr>
              <w:br w:type="textWrapping"/>
            </w:r>
            <w:r>
              <w:rPr>
                <w:rFonts w:hint="eastAsia" w:ascii="宋体" w:hAnsi="宋体" w:cs="宋体"/>
                <w:color w:val="000000"/>
                <w:kern w:val="0"/>
                <w:sz w:val="18"/>
                <w:szCs w:val="18"/>
              </w:rPr>
              <w:t>执行</w:t>
            </w:r>
            <w:r>
              <w:rPr>
                <w:rFonts w:ascii="宋体" w:cs="宋体"/>
                <w:color w:val="000000"/>
                <w:kern w:val="0"/>
                <w:sz w:val="18"/>
                <w:szCs w:val="18"/>
              </w:rPr>
              <w:br w:type="textWrapping"/>
            </w:r>
            <w:r>
              <w:rPr>
                <w:rFonts w:hint="eastAsia" w:ascii="宋体" w:hAnsi="宋体" w:cs="宋体"/>
                <w:color w:val="000000"/>
                <w:kern w:val="0"/>
                <w:sz w:val="18"/>
                <w:szCs w:val="18"/>
              </w:rPr>
              <w:t>情况</w:t>
            </w:r>
            <w:r>
              <w:rPr>
                <w:rFonts w:ascii="宋体" w:cs="宋体"/>
                <w:color w:val="000000"/>
                <w:kern w:val="0"/>
                <w:sz w:val="18"/>
                <w:szCs w:val="18"/>
              </w:rPr>
              <w:br w:type="textWrapping"/>
            </w:r>
            <w:r>
              <w:rPr>
                <w:rFonts w:hint="eastAsia" w:ascii="宋体" w:hAnsi="宋体" w:cs="宋体"/>
                <w:color w:val="000000"/>
                <w:kern w:val="0"/>
                <w:sz w:val="18"/>
                <w:szCs w:val="18"/>
              </w:rPr>
              <w:t>（万元）</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预算数：</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7.668</w:t>
            </w:r>
          </w:p>
        </w:tc>
        <w:tc>
          <w:tcPr>
            <w:tcW w:w="0" w:type="auto"/>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执行数：</w:t>
            </w:r>
          </w:p>
        </w:tc>
        <w:tc>
          <w:tcPr>
            <w:tcW w:w="0" w:type="auto"/>
            <w:vMerge w:val="restart"/>
            <w:tcBorders>
              <w:top w:val="nil"/>
              <w:left w:val="single" w:color="auto" w:sz="4" w:space="0"/>
              <w:bottom w:val="single" w:color="auto" w:sz="4" w:space="0"/>
              <w:right w:val="single" w:color="auto" w:sz="4" w:space="0"/>
            </w:tcBorders>
            <w:vAlign w:val="center"/>
          </w:tcPr>
          <w:p>
            <w:pPr>
              <w:widowControl/>
              <w:jc w:val="right"/>
              <w:rPr>
                <w:rFonts w:ascii="宋体" w:cs="宋体"/>
                <w:color w:val="000000"/>
                <w:kern w:val="0"/>
                <w:sz w:val="18"/>
                <w:szCs w:val="18"/>
              </w:rPr>
            </w:pPr>
            <w:r>
              <w:rPr>
                <w:rFonts w:ascii="宋体" w:hAnsi="宋体" w:cs="宋体"/>
                <w:color w:val="000000"/>
                <w:kern w:val="0"/>
                <w:sz w:val="18"/>
                <w:szCs w:val="18"/>
              </w:rPr>
              <w:t>7.668</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20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tcBorders>
              <w:top w:val="single" w:color="auto" w:sz="4" w:space="0"/>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其中：财政拨款</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7.668</w:t>
            </w:r>
          </w:p>
        </w:tc>
        <w:tc>
          <w:tcPr>
            <w:tcW w:w="0" w:type="auto"/>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其中：财政拨款</w:t>
            </w:r>
          </w:p>
        </w:tc>
        <w:tc>
          <w:tcPr>
            <w:tcW w:w="0" w:type="auto"/>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ascii="宋体" w:hAnsi="宋体" w:cs="宋体"/>
                <w:color w:val="000000"/>
                <w:kern w:val="0"/>
                <w:sz w:val="18"/>
                <w:szCs w:val="18"/>
              </w:rPr>
              <w:t>7.668</w:t>
            </w:r>
          </w:p>
        </w:tc>
      </w:tr>
      <w:tr>
        <w:tblPrEx>
          <w:tblCellMar>
            <w:top w:w="0" w:type="dxa"/>
            <w:left w:w="108" w:type="dxa"/>
            <w:bottom w:w="0" w:type="dxa"/>
            <w:right w:w="108" w:type="dxa"/>
          </w:tblCellMar>
        </w:tblPrEx>
        <w:trPr>
          <w:trHeight w:val="12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tcBorders>
              <w:top w:val="single" w:color="auto" w:sz="4" w:space="0"/>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其他资金</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0" w:type="auto"/>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其他资金</w:t>
            </w:r>
          </w:p>
        </w:tc>
        <w:tc>
          <w:tcPr>
            <w:tcW w:w="0" w:type="auto"/>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124" w:hRule="atLeast"/>
        </w:trPr>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年度</w:t>
            </w:r>
            <w:r>
              <w:rPr>
                <w:rFonts w:ascii="宋体" w:cs="宋体"/>
                <w:color w:val="000000"/>
                <w:kern w:val="0"/>
                <w:sz w:val="18"/>
                <w:szCs w:val="18"/>
              </w:rPr>
              <w:br w:type="textWrapping"/>
            </w:r>
            <w:r>
              <w:rPr>
                <w:rFonts w:hint="eastAsia" w:ascii="宋体" w:hAnsi="宋体" w:cs="宋体"/>
                <w:color w:val="000000"/>
                <w:kern w:val="0"/>
                <w:sz w:val="18"/>
                <w:szCs w:val="18"/>
              </w:rPr>
              <w:t>目标</w:t>
            </w:r>
            <w:r>
              <w:rPr>
                <w:rFonts w:ascii="宋体" w:cs="宋体"/>
                <w:color w:val="000000"/>
                <w:kern w:val="0"/>
                <w:sz w:val="18"/>
                <w:szCs w:val="18"/>
              </w:rPr>
              <w:br w:type="textWrapping"/>
            </w:r>
            <w:r>
              <w:rPr>
                <w:rFonts w:hint="eastAsia" w:ascii="宋体" w:hAnsi="宋体" w:cs="宋体"/>
                <w:color w:val="000000"/>
                <w:kern w:val="0"/>
                <w:sz w:val="18"/>
                <w:szCs w:val="18"/>
              </w:rPr>
              <w:t>完成</w:t>
            </w:r>
            <w:r>
              <w:rPr>
                <w:rFonts w:ascii="宋体" w:cs="宋体"/>
                <w:color w:val="000000"/>
                <w:kern w:val="0"/>
                <w:sz w:val="18"/>
                <w:szCs w:val="18"/>
              </w:rPr>
              <w:br w:type="textWrapping"/>
            </w:r>
            <w:r>
              <w:rPr>
                <w:rFonts w:hint="eastAsia" w:ascii="宋体" w:hAnsi="宋体" w:cs="宋体"/>
                <w:color w:val="000000"/>
                <w:kern w:val="0"/>
                <w:sz w:val="18"/>
                <w:szCs w:val="18"/>
              </w:rPr>
              <w:t>情况</w:t>
            </w:r>
          </w:p>
        </w:tc>
        <w:tc>
          <w:tcPr>
            <w:tcW w:w="0" w:type="auto"/>
            <w:gridSpan w:val="3"/>
            <w:tcBorders>
              <w:top w:val="single" w:color="auto" w:sz="4" w:space="0"/>
              <w:left w:val="nil"/>
              <w:bottom w:val="single" w:color="auto"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预期目标</w:t>
            </w:r>
          </w:p>
        </w:tc>
        <w:tc>
          <w:tcPr>
            <w:tcW w:w="0" w:type="auto"/>
            <w:gridSpan w:val="2"/>
            <w:tcBorders>
              <w:top w:val="single" w:color="auto" w:sz="4" w:space="0"/>
              <w:left w:val="nil"/>
              <w:bottom w:val="single" w:color="auto"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实际完成目标</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gridSpan w:val="3"/>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cs="宋体"/>
                <w:color w:val="000000"/>
                <w:kern w:val="0"/>
                <w:sz w:val="18"/>
                <w:szCs w:val="18"/>
              </w:rPr>
              <w:br w:type="textWrapping"/>
            </w:r>
            <w:r>
              <w:rPr>
                <w:rFonts w:hint="eastAsia" w:ascii="宋体" w:hAnsi="宋体" w:cs="宋体"/>
                <w:color w:val="000000"/>
                <w:kern w:val="0"/>
                <w:sz w:val="18"/>
                <w:szCs w:val="18"/>
              </w:rPr>
              <w:t>按国家规定，发放人民警察法定工作日之外加班补贴，保障其基本权益。</w:t>
            </w:r>
          </w:p>
        </w:tc>
        <w:tc>
          <w:tcPr>
            <w:tcW w:w="0" w:type="auto"/>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本年按照国家规定，将法警法定工作日之外的加班补贴全部发放到位。</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年度</w:t>
            </w:r>
            <w:r>
              <w:rPr>
                <w:rFonts w:ascii="宋体" w:cs="宋体"/>
                <w:color w:val="000000"/>
                <w:kern w:val="0"/>
                <w:sz w:val="18"/>
                <w:szCs w:val="18"/>
              </w:rPr>
              <w:br w:type="textWrapping"/>
            </w:r>
            <w:r>
              <w:rPr>
                <w:rFonts w:hint="eastAsia" w:ascii="宋体" w:hAnsi="宋体" w:cs="宋体"/>
                <w:color w:val="000000"/>
                <w:kern w:val="0"/>
                <w:sz w:val="18"/>
                <w:szCs w:val="18"/>
              </w:rPr>
              <w:t>绩效</w:t>
            </w:r>
            <w:r>
              <w:rPr>
                <w:rFonts w:ascii="宋体" w:cs="宋体"/>
                <w:color w:val="000000"/>
                <w:kern w:val="0"/>
                <w:sz w:val="18"/>
                <w:szCs w:val="18"/>
              </w:rPr>
              <w:br w:type="textWrapping"/>
            </w:r>
            <w:r>
              <w:rPr>
                <w:rFonts w:hint="eastAsia" w:ascii="宋体" w:hAnsi="宋体" w:cs="宋体"/>
                <w:color w:val="000000"/>
                <w:kern w:val="0"/>
                <w:sz w:val="18"/>
                <w:szCs w:val="18"/>
              </w:rPr>
              <w:t>指标</w:t>
            </w:r>
            <w:r>
              <w:rPr>
                <w:rFonts w:ascii="宋体" w:cs="宋体"/>
                <w:color w:val="000000"/>
                <w:kern w:val="0"/>
                <w:sz w:val="18"/>
                <w:szCs w:val="18"/>
              </w:rPr>
              <w:br w:type="textWrapping"/>
            </w:r>
            <w:r>
              <w:rPr>
                <w:rFonts w:hint="eastAsia" w:ascii="宋体" w:hAnsi="宋体" w:cs="宋体"/>
                <w:color w:val="000000"/>
                <w:kern w:val="0"/>
                <w:sz w:val="18"/>
                <w:szCs w:val="18"/>
              </w:rPr>
              <w:t>完成</w:t>
            </w:r>
            <w:r>
              <w:rPr>
                <w:rFonts w:ascii="宋体" w:cs="宋体"/>
                <w:color w:val="000000"/>
                <w:kern w:val="0"/>
                <w:sz w:val="18"/>
                <w:szCs w:val="18"/>
              </w:rPr>
              <w:br w:type="textWrapping"/>
            </w:r>
            <w:r>
              <w:rPr>
                <w:rFonts w:hint="eastAsia" w:ascii="宋体" w:hAnsi="宋体" w:cs="宋体"/>
                <w:color w:val="000000"/>
                <w:kern w:val="0"/>
                <w:sz w:val="18"/>
                <w:szCs w:val="18"/>
              </w:rPr>
              <w:t>情况</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一级指标</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二级指标</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三级指标</w:t>
            </w:r>
          </w:p>
        </w:tc>
        <w:tc>
          <w:tcPr>
            <w:tcW w:w="0" w:type="auto"/>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预期指标值（包含数字及文字描述）</w:t>
            </w:r>
          </w:p>
        </w:tc>
        <w:tc>
          <w:tcPr>
            <w:tcW w:w="0" w:type="auto"/>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实际完成指标值（包含数字及文字描述）</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593"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08"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项目完成指标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数量指标</w:t>
            </w: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：法警法定工作日之外加班补贴</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w:t>
            </w:r>
            <w:r>
              <w:rPr>
                <w:rFonts w:hint="eastAsia" w:ascii="宋体" w:hAnsi="宋体" w:cs="宋体"/>
                <w:color w:val="000000"/>
                <w:kern w:val="0"/>
                <w:sz w:val="18"/>
                <w:szCs w:val="18"/>
              </w:rPr>
              <w:t>名法警，核定人均月</w:t>
            </w:r>
            <w:r>
              <w:rPr>
                <w:rFonts w:ascii="宋体" w:hAnsi="宋体" w:cs="宋体"/>
                <w:color w:val="000000"/>
                <w:kern w:val="0"/>
                <w:sz w:val="18"/>
                <w:szCs w:val="18"/>
              </w:rPr>
              <w:t>710</w:t>
            </w:r>
            <w:r>
              <w:rPr>
                <w:rFonts w:hint="eastAsia" w:ascii="宋体" w:hAnsi="宋体" w:cs="宋体"/>
                <w:color w:val="000000"/>
                <w:kern w:val="0"/>
                <w:sz w:val="18"/>
                <w:szCs w:val="18"/>
              </w:rPr>
              <w:t>元</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w:t>
            </w:r>
            <w:r>
              <w:rPr>
                <w:rFonts w:hint="eastAsia" w:ascii="宋体" w:hAnsi="宋体" w:cs="宋体"/>
                <w:color w:val="000000"/>
                <w:kern w:val="0"/>
                <w:sz w:val="18"/>
                <w:szCs w:val="18"/>
              </w:rPr>
              <w:t>名法警，人均月</w:t>
            </w:r>
            <w:r>
              <w:rPr>
                <w:rFonts w:ascii="宋体" w:hAnsi="宋体" w:cs="宋体"/>
                <w:color w:val="000000"/>
                <w:kern w:val="0"/>
                <w:sz w:val="18"/>
                <w:szCs w:val="18"/>
              </w:rPr>
              <w:t>710</w:t>
            </w:r>
            <w:r>
              <w:rPr>
                <w:rFonts w:hint="eastAsia" w:ascii="宋体" w:hAnsi="宋体" w:cs="宋体"/>
                <w:color w:val="000000"/>
                <w:kern w:val="0"/>
                <w:sz w:val="18"/>
                <w:szCs w:val="18"/>
              </w:rPr>
              <w:t>元发放到位</w:t>
            </w:r>
          </w:p>
        </w:tc>
      </w:tr>
      <w:tr>
        <w:tblPrEx>
          <w:tblCellMar>
            <w:top w:w="0" w:type="dxa"/>
            <w:left w:w="108" w:type="dxa"/>
            <w:bottom w:w="0" w:type="dxa"/>
            <w:right w:w="108" w:type="dxa"/>
          </w:tblCellMar>
        </w:tblPrEx>
        <w:trPr>
          <w:trHeight w:val="308"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质量指标</w:t>
            </w: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w:t>
            </w:r>
            <w:r>
              <w:rPr>
                <w:rFonts w:ascii="宋体" w:hAnsi="宋体" w:cs="宋体"/>
                <w:color w:val="000000"/>
                <w:kern w:val="0"/>
                <w:sz w:val="18"/>
                <w:szCs w:val="18"/>
              </w:rPr>
              <w:t xml:space="preserve"> </w:t>
            </w:r>
            <w:r>
              <w:rPr>
                <w:rFonts w:hint="eastAsia" w:ascii="宋体" w:hAnsi="宋体" w:cs="宋体"/>
                <w:color w:val="000000"/>
                <w:kern w:val="0"/>
                <w:sz w:val="18"/>
                <w:szCs w:val="18"/>
              </w:rPr>
              <w:t>按照人社部、财政部等相关文件实施</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完成文件规定的工作事项</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文件规定的工作事项顺利完成</w:t>
            </w:r>
          </w:p>
        </w:tc>
      </w:tr>
      <w:tr>
        <w:tblPrEx>
          <w:tblCellMar>
            <w:top w:w="0" w:type="dxa"/>
            <w:left w:w="108" w:type="dxa"/>
            <w:bottom w:w="0" w:type="dxa"/>
            <w:right w:w="108" w:type="dxa"/>
          </w:tblCellMar>
        </w:tblPrEx>
        <w:trPr>
          <w:trHeight w:val="883"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时效指标</w:t>
            </w: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：按照相关规定时间完成目标任务</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按时完成文件规定的工作事项</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文件规定的工作事项顺利完成</w:t>
            </w:r>
          </w:p>
        </w:tc>
      </w:tr>
      <w:tr>
        <w:tblPrEx>
          <w:tblCellMar>
            <w:top w:w="0" w:type="dxa"/>
            <w:left w:w="108" w:type="dxa"/>
            <w:bottom w:w="0" w:type="dxa"/>
            <w:right w:w="108" w:type="dxa"/>
          </w:tblCellMar>
        </w:tblPrEx>
        <w:trPr>
          <w:trHeight w:val="12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成本指标</w:t>
            </w: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：津贴补贴</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7.668</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7.668</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项目效果指标</w:t>
            </w:r>
          </w:p>
        </w:tc>
        <w:tc>
          <w:tcPr>
            <w:tcW w:w="0" w:type="auto"/>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经济效益</w:t>
            </w: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：严格成本控制，保障法警加班效益</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保障法警加班权益，成本控制不得突破</w:t>
            </w:r>
            <w:r>
              <w:rPr>
                <w:rFonts w:ascii="宋体" w:hAnsi="宋体" w:cs="宋体"/>
                <w:color w:val="000000"/>
                <w:kern w:val="0"/>
                <w:sz w:val="18"/>
                <w:szCs w:val="18"/>
              </w:rPr>
              <w:t>7.67</w:t>
            </w:r>
            <w:r>
              <w:rPr>
                <w:rFonts w:hint="eastAsia" w:ascii="宋体" w:hAnsi="宋体" w:cs="宋体"/>
                <w:color w:val="000000"/>
                <w:kern w:val="0"/>
                <w:sz w:val="18"/>
                <w:szCs w:val="18"/>
              </w:rPr>
              <w:t>万元。</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在保障法警权益的情况下，本年的成本为</w:t>
            </w:r>
            <w:r>
              <w:rPr>
                <w:rFonts w:ascii="宋体" w:hAnsi="宋体" w:cs="宋体"/>
                <w:color w:val="000000"/>
                <w:kern w:val="0"/>
                <w:sz w:val="18"/>
                <w:szCs w:val="18"/>
              </w:rPr>
              <w:t>7.668</w:t>
            </w:r>
            <w:r>
              <w:rPr>
                <w:rFonts w:hint="eastAsia" w:ascii="宋体" w:hAnsi="宋体" w:cs="宋体"/>
                <w:color w:val="000000"/>
                <w:kern w:val="0"/>
                <w:sz w:val="18"/>
                <w:szCs w:val="18"/>
              </w:rPr>
              <w:t>万元。</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社会效益</w:t>
            </w: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：推动相关工作顺利推进</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及时发现问题，促进有关方面加强管理，严格执行相关规定。</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项目管理进一步加强，相关制度得到完善。</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生态效益</w:t>
            </w: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：坚持绿色发展理念</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重点关注法警加班时涉及环保方面政策落实情况</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严格落实环保政策</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可持续影响</w:t>
            </w: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：促进相关政策落地落实</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及时反馈相关信息，揭示问题，分析原因，提出建议</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严格落实相关政策</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满意度</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满意度指标</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：上级检察院满意度</w:t>
            </w:r>
          </w:p>
        </w:tc>
        <w:tc>
          <w:tcPr>
            <w:tcW w:w="0" w:type="auto"/>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96%</w:t>
            </w:r>
          </w:p>
        </w:tc>
        <w:tc>
          <w:tcPr>
            <w:tcW w:w="0" w:type="auto"/>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99%</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：相关部门和单位及群众满意度</w:t>
            </w:r>
          </w:p>
        </w:tc>
        <w:tc>
          <w:tcPr>
            <w:tcW w:w="0" w:type="auto"/>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96%</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99%</w:t>
            </w:r>
          </w:p>
        </w:tc>
      </w:tr>
    </w:tbl>
    <w:p>
      <w:pPr>
        <w:spacing w:line="580" w:lineRule="exact"/>
        <w:rPr>
          <w:rFonts w:ascii="仿宋_GB2312" w:hAnsi="仿宋_GB2312" w:eastAsia="仿宋_GB2312" w:cs="仿宋_GB2312"/>
          <w:sz w:val="32"/>
          <w:szCs w:val="32"/>
        </w:rPr>
      </w:pPr>
    </w:p>
    <w:tbl>
      <w:tblPr>
        <w:tblStyle w:val="19"/>
        <w:tblpPr w:leftFromText="180" w:rightFromText="180" w:vertAnchor="text" w:horzAnchor="margin" w:tblpXSpec="center" w:tblpY="459"/>
        <w:tblW w:w="9504" w:type="dxa"/>
        <w:tblInd w:w="0" w:type="dxa"/>
        <w:tblLayout w:type="autofit"/>
        <w:tblCellMar>
          <w:top w:w="0" w:type="dxa"/>
          <w:left w:w="108" w:type="dxa"/>
          <w:bottom w:w="0" w:type="dxa"/>
          <w:right w:w="108" w:type="dxa"/>
        </w:tblCellMar>
      </w:tblPr>
      <w:tblGrid>
        <w:gridCol w:w="2043"/>
        <w:gridCol w:w="1707"/>
        <w:gridCol w:w="1707"/>
        <w:gridCol w:w="854"/>
        <w:gridCol w:w="1454"/>
        <w:gridCol w:w="885"/>
        <w:gridCol w:w="854"/>
      </w:tblGrid>
      <w:tr>
        <w:tblPrEx>
          <w:tblCellMar>
            <w:top w:w="0" w:type="dxa"/>
            <w:left w:w="108" w:type="dxa"/>
            <w:bottom w:w="0" w:type="dxa"/>
            <w:right w:w="108" w:type="dxa"/>
          </w:tblCellMar>
        </w:tblPrEx>
        <w:trPr>
          <w:trHeight w:val="265" w:hRule="atLeast"/>
        </w:trPr>
        <w:tc>
          <w:tcPr>
            <w:tcW w:w="9504" w:type="dxa"/>
            <w:gridSpan w:val="7"/>
            <w:tcBorders>
              <w:top w:val="nil"/>
              <w:left w:val="nil"/>
              <w:bottom w:val="nil"/>
              <w:right w:val="nil"/>
            </w:tcBorders>
            <w:vAlign w:val="center"/>
          </w:tcPr>
          <w:p>
            <w:pPr>
              <w:widowControl/>
              <w:jc w:val="center"/>
              <w:rPr>
                <w:rFonts w:ascii="宋体" w:cs="宋体"/>
                <w:b/>
                <w:bCs/>
                <w:color w:val="000000"/>
                <w:kern w:val="0"/>
                <w:szCs w:val="21"/>
              </w:rPr>
            </w:pPr>
            <w:r>
              <w:rPr>
                <w:rFonts w:hint="eastAsia" w:ascii="宋体" w:hAnsi="宋体" w:cs="宋体"/>
                <w:b/>
                <w:bCs/>
                <w:color w:val="000000"/>
                <w:kern w:val="0"/>
                <w:szCs w:val="21"/>
              </w:rPr>
              <w:t>项目支出绩效目标完成表</w:t>
            </w:r>
          </w:p>
        </w:tc>
      </w:tr>
      <w:tr>
        <w:tblPrEx>
          <w:tblCellMar>
            <w:top w:w="0" w:type="dxa"/>
            <w:left w:w="108" w:type="dxa"/>
            <w:bottom w:w="0" w:type="dxa"/>
            <w:right w:w="108" w:type="dxa"/>
          </w:tblCellMar>
        </w:tblPrEx>
        <w:trPr>
          <w:trHeight w:val="265" w:hRule="atLeast"/>
        </w:trPr>
        <w:tc>
          <w:tcPr>
            <w:tcW w:w="9504" w:type="dxa"/>
            <w:gridSpan w:val="7"/>
            <w:tcBorders>
              <w:top w:val="nil"/>
              <w:left w:val="nil"/>
              <w:bottom w:val="nil"/>
              <w:right w:val="nil"/>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 xml:space="preserve">        2019  </w:t>
            </w:r>
            <w:r>
              <w:rPr>
                <w:rFonts w:hint="eastAsia" w:ascii="宋体" w:hAnsi="宋体" w:cs="宋体"/>
                <w:color w:val="000000"/>
                <w:kern w:val="0"/>
                <w:sz w:val="18"/>
                <w:szCs w:val="18"/>
              </w:rPr>
              <w:t>年度）</w:t>
            </w:r>
          </w:p>
        </w:tc>
      </w:tr>
      <w:tr>
        <w:tblPrEx>
          <w:tblCellMar>
            <w:top w:w="0" w:type="dxa"/>
            <w:left w:w="108" w:type="dxa"/>
            <w:bottom w:w="0" w:type="dxa"/>
            <w:right w:w="108" w:type="dxa"/>
          </w:tblCellMar>
        </w:tblPrEx>
        <w:trPr>
          <w:trHeight w:val="294" w:hRule="atLeast"/>
        </w:trPr>
        <w:tc>
          <w:tcPr>
            <w:tcW w:w="9504" w:type="dxa"/>
            <w:gridSpan w:val="7"/>
            <w:tcBorders>
              <w:top w:val="nil"/>
              <w:left w:val="nil"/>
              <w:bottom w:val="nil"/>
              <w:right w:val="nil"/>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注：项目支出包括部门预算支出和专项预支出</w:t>
            </w:r>
          </w:p>
        </w:tc>
      </w:tr>
      <w:tr>
        <w:tblPrEx>
          <w:tblCellMar>
            <w:top w:w="0" w:type="dxa"/>
            <w:left w:w="108" w:type="dxa"/>
            <w:bottom w:w="0" w:type="dxa"/>
            <w:right w:w="108" w:type="dxa"/>
          </w:tblCellMar>
        </w:tblPrEx>
        <w:trPr>
          <w:trHeight w:val="294" w:hRule="atLeast"/>
        </w:trPr>
        <w:tc>
          <w:tcPr>
            <w:tcW w:w="631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项目名称</w:t>
            </w:r>
          </w:p>
        </w:tc>
        <w:tc>
          <w:tcPr>
            <w:tcW w:w="3193"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司法警察执勤岗位补贴</w:t>
            </w:r>
          </w:p>
        </w:tc>
      </w:tr>
      <w:tr>
        <w:tblPrEx>
          <w:tblCellMar>
            <w:top w:w="0" w:type="dxa"/>
            <w:left w:w="108" w:type="dxa"/>
            <w:bottom w:w="0" w:type="dxa"/>
            <w:right w:w="108" w:type="dxa"/>
          </w:tblCellMar>
        </w:tblPrEx>
        <w:trPr>
          <w:trHeight w:val="294" w:hRule="atLeast"/>
        </w:trPr>
        <w:tc>
          <w:tcPr>
            <w:tcW w:w="631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预算单位</w:t>
            </w:r>
          </w:p>
        </w:tc>
        <w:tc>
          <w:tcPr>
            <w:tcW w:w="3193"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渠县人民检察院</w:t>
            </w:r>
          </w:p>
        </w:tc>
      </w:tr>
      <w:tr>
        <w:tblPrEx>
          <w:tblCellMar>
            <w:top w:w="0" w:type="dxa"/>
            <w:left w:w="108" w:type="dxa"/>
            <w:bottom w:w="0" w:type="dxa"/>
            <w:right w:w="108" w:type="dxa"/>
          </w:tblCellMar>
        </w:tblPrEx>
        <w:trPr>
          <w:trHeight w:val="312" w:hRule="atLeast"/>
        </w:trPr>
        <w:tc>
          <w:tcPr>
            <w:tcW w:w="2043"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预算</w:t>
            </w:r>
            <w:r>
              <w:rPr>
                <w:rFonts w:ascii="宋体" w:cs="宋体"/>
                <w:color w:val="000000"/>
                <w:kern w:val="0"/>
                <w:sz w:val="18"/>
                <w:szCs w:val="18"/>
              </w:rPr>
              <w:br w:type="textWrapping"/>
            </w:r>
            <w:r>
              <w:rPr>
                <w:rFonts w:hint="eastAsia" w:ascii="宋体" w:hAnsi="宋体" w:cs="宋体"/>
                <w:color w:val="000000"/>
                <w:kern w:val="0"/>
                <w:sz w:val="18"/>
                <w:szCs w:val="18"/>
              </w:rPr>
              <w:t>执行</w:t>
            </w:r>
            <w:r>
              <w:rPr>
                <w:rFonts w:ascii="宋体" w:cs="宋体"/>
                <w:color w:val="000000"/>
                <w:kern w:val="0"/>
                <w:sz w:val="18"/>
                <w:szCs w:val="18"/>
              </w:rPr>
              <w:br w:type="textWrapping"/>
            </w:r>
            <w:r>
              <w:rPr>
                <w:rFonts w:hint="eastAsia" w:ascii="宋体" w:hAnsi="宋体" w:cs="宋体"/>
                <w:color w:val="000000"/>
                <w:kern w:val="0"/>
                <w:sz w:val="18"/>
                <w:szCs w:val="18"/>
              </w:rPr>
              <w:t>情况</w:t>
            </w:r>
            <w:r>
              <w:rPr>
                <w:rFonts w:ascii="宋体" w:cs="宋体"/>
                <w:color w:val="000000"/>
                <w:kern w:val="0"/>
                <w:sz w:val="18"/>
                <w:szCs w:val="18"/>
              </w:rPr>
              <w:br w:type="textWrapping"/>
            </w:r>
            <w:r>
              <w:rPr>
                <w:rFonts w:hint="eastAsia" w:ascii="宋体" w:hAnsi="宋体" w:cs="宋体"/>
                <w:color w:val="000000"/>
                <w:kern w:val="0"/>
                <w:sz w:val="18"/>
                <w:szCs w:val="18"/>
              </w:rPr>
              <w:t>（万元）</w:t>
            </w:r>
          </w:p>
        </w:tc>
        <w:tc>
          <w:tcPr>
            <w:tcW w:w="4268"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预算数：</w:t>
            </w:r>
          </w:p>
        </w:tc>
        <w:tc>
          <w:tcPr>
            <w:tcW w:w="145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9.504</w:t>
            </w:r>
          </w:p>
        </w:tc>
        <w:tc>
          <w:tcPr>
            <w:tcW w:w="885"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执行数：</w:t>
            </w:r>
          </w:p>
        </w:tc>
        <w:tc>
          <w:tcPr>
            <w:tcW w:w="854" w:type="dxa"/>
            <w:vMerge w:val="restart"/>
            <w:tcBorders>
              <w:top w:val="nil"/>
              <w:left w:val="single" w:color="auto" w:sz="4" w:space="0"/>
              <w:bottom w:val="single" w:color="auto" w:sz="4" w:space="0"/>
              <w:right w:val="single" w:color="auto" w:sz="4" w:space="0"/>
            </w:tcBorders>
            <w:vAlign w:val="center"/>
          </w:tcPr>
          <w:p>
            <w:pPr>
              <w:widowControl/>
              <w:jc w:val="right"/>
              <w:rPr>
                <w:rFonts w:ascii="宋体" w:cs="宋体"/>
                <w:color w:val="000000"/>
                <w:kern w:val="0"/>
                <w:sz w:val="18"/>
                <w:szCs w:val="18"/>
              </w:rPr>
            </w:pPr>
            <w:r>
              <w:rPr>
                <w:rFonts w:ascii="宋体" w:hAnsi="宋体" w:cs="宋体"/>
                <w:color w:val="000000"/>
                <w:kern w:val="0"/>
                <w:sz w:val="18"/>
                <w:szCs w:val="18"/>
              </w:rPr>
              <w:t>9.504</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42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42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42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71" w:hRule="atLeast"/>
        </w:trPr>
        <w:tc>
          <w:tcPr>
            <w:tcW w:w="20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4268" w:type="dxa"/>
            <w:gridSpan w:val="3"/>
            <w:tcBorders>
              <w:top w:val="single" w:color="auto" w:sz="4" w:space="0"/>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其中：财政拨款</w:t>
            </w:r>
          </w:p>
        </w:tc>
        <w:tc>
          <w:tcPr>
            <w:tcW w:w="1454"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9.504</w:t>
            </w:r>
          </w:p>
        </w:tc>
        <w:tc>
          <w:tcPr>
            <w:tcW w:w="885" w:type="dxa"/>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其中：财政拨款</w:t>
            </w:r>
          </w:p>
        </w:tc>
        <w:tc>
          <w:tcPr>
            <w:tcW w:w="854" w:type="dxa"/>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ascii="宋体" w:hAnsi="宋体" w:cs="宋体"/>
                <w:color w:val="000000"/>
                <w:kern w:val="0"/>
                <w:sz w:val="18"/>
                <w:szCs w:val="18"/>
              </w:rPr>
              <w:t>9.504</w:t>
            </w:r>
          </w:p>
        </w:tc>
      </w:tr>
      <w:tr>
        <w:tblPrEx>
          <w:tblCellMar>
            <w:top w:w="0" w:type="dxa"/>
            <w:left w:w="108" w:type="dxa"/>
            <w:bottom w:w="0" w:type="dxa"/>
            <w:right w:w="108" w:type="dxa"/>
          </w:tblCellMar>
        </w:tblPrEx>
        <w:trPr>
          <w:trHeight w:val="294" w:hRule="atLeast"/>
        </w:trPr>
        <w:tc>
          <w:tcPr>
            <w:tcW w:w="20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4268" w:type="dxa"/>
            <w:gridSpan w:val="3"/>
            <w:tcBorders>
              <w:top w:val="single" w:color="auto" w:sz="4" w:space="0"/>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其他资金</w:t>
            </w:r>
          </w:p>
        </w:tc>
        <w:tc>
          <w:tcPr>
            <w:tcW w:w="1454"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885" w:type="dxa"/>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其他资金</w:t>
            </w:r>
          </w:p>
        </w:tc>
        <w:tc>
          <w:tcPr>
            <w:tcW w:w="854" w:type="dxa"/>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294" w:hRule="atLeast"/>
        </w:trPr>
        <w:tc>
          <w:tcPr>
            <w:tcW w:w="2043"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年度</w:t>
            </w:r>
            <w:r>
              <w:rPr>
                <w:rFonts w:ascii="宋体" w:cs="宋体"/>
                <w:color w:val="000000"/>
                <w:kern w:val="0"/>
                <w:sz w:val="18"/>
                <w:szCs w:val="18"/>
              </w:rPr>
              <w:br w:type="textWrapping"/>
            </w:r>
            <w:r>
              <w:rPr>
                <w:rFonts w:hint="eastAsia" w:ascii="宋体" w:hAnsi="宋体" w:cs="宋体"/>
                <w:color w:val="000000"/>
                <w:kern w:val="0"/>
                <w:sz w:val="18"/>
                <w:szCs w:val="18"/>
              </w:rPr>
              <w:t>目标</w:t>
            </w:r>
            <w:r>
              <w:rPr>
                <w:rFonts w:ascii="宋体" w:cs="宋体"/>
                <w:color w:val="000000"/>
                <w:kern w:val="0"/>
                <w:sz w:val="18"/>
                <w:szCs w:val="18"/>
              </w:rPr>
              <w:br w:type="textWrapping"/>
            </w:r>
            <w:r>
              <w:rPr>
                <w:rFonts w:hint="eastAsia" w:ascii="宋体" w:hAnsi="宋体" w:cs="宋体"/>
                <w:color w:val="000000"/>
                <w:kern w:val="0"/>
                <w:sz w:val="18"/>
                <w:szCs w:val="18"/>
              </w:rPr>
              <w:t>完成</w:t>
            </w:r>
            <w:r>
              <w:rPr>
                <w:rFonts w:ascii="宋体" w:cs="宋体"/>
                <w:color w:val="000000"/>
                <w:kern w:val="0"/>
                <w:sz w:val="18"/>
                <w:szCs w:val="18"/>
              </w:rPr>
              <w:br w:type="textWrapping"/>
            </w:r>
            <w:r>
              <w:rPr>
                <w:rFonts w:hint="eastAsia" w:ascii="宋体" w:hAnsi="宋体" w:cs="宋体"/>
                <w:color w:val="000000"/>
                <w:kern w:val="0"/>
                <w:sz w:val="18"/>
                <w:szCs w:val="18"/>
              </w:rPr>
              <w:t>情况</w:t>
            </w:r>
          </w:p>
        </w:tc>
        <w:tc>
          <w:tcPr>
            <w:tcW w:w="5722"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预期目标</w:t>
            </w:r>
          </w:p>
        </w:tc>
        <w:tc>
          <w:tcPr>
            <w:tcW w:w="1739"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实际完成目标</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5722" w:type="dxa"/>
            <w:gridSpan w:val="4"/>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cs="宋体"/>
                <w:color w:val="000000"/>
                <w:kern w:val="0"/>
                <w:sz w:val="18"/>
                <w:szCs w:val="18"/>
              </w:rPr>
              <w:br w:type="textWrapping"/>
            </w:r>
            <w:r>
              <w:rPr>
                <w:rFonts w:hint="eastAsia" w:ascii="宋体" w:hAnsi="宋体" w:cs="宋体"/>
                <w:color w:val="000000"/>
                <w:kern w:val="0"/>
                <w:sz w:val="18"/>
                <w:szCs w:val="18"/>
              </w:rPr>
              <w:t>根据人社部规【</w:t>
            </w:r>
            <w:r>
              <w:rPr>
                <w:rFonts w:ascii="宋体" w:hAnsi="宋体" w:cs="宋体"/>
                <w:color w:val="000000"/>
                <w:kern w:val="0"/>
                <w:sz w:val="18"/>
                <w:szCs w:val="18"/>
              </w:rPr>
              <w:t>2017</w:t>
            </w:r>
            <w:r>
              <w:rPr>
                <w:rFonts w:hint="eastAsia" w:ascii="宋体" w:hAnsi="宋体" w:cs="宋体"/>
                <w:color w:val="000000"/>
                <w:kern w:val="0"/>
                <w:sz w:val="18"/>
                <w:szCs w:val="18"/>
              </w:rPr>
              <w:t>】</w:t>
            </w:r>
            <w:r>
              <w:rPr>
                <w:rFonts w:ascii="宋体" w:hAnsi="宋体" w:cs="宋体"/>
                <w:color w:val="000000"/>
                <w:kern w:val="0"/>
                <w:sz w:val="18"/>
                <w:szCs w:val="18"/>
              </w:rPr>
              <w:t>10</w:t>
            </w:r>
            <w:r>
              <w:rPr>
                <w:rFonts w:hint="eastAsia" w:ascii="宋体" w:hAnsi="宋体" w:cs="宋体"/>
                <w:color w:val="000000"/>
                <w:kern w:val="0"/>
                <w:sz w:val="18"/>
                <w:szCs w:val="18"/>
              </w:rPr>
              <w:t>号规定，人民警察值勤时，应按相关标准发放岗位津贴。</w:t>
            </w:r>
          </w:p>
        </w:tc>
        <w:tc>
          <w:tcPr>
            <w:tcW w:w="1739"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本年按照国家规定，将法警执勤时的岗位津贴按照相关文件规定全部发放到位。</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5722" w:type="dxa"/>
            <w:gridSpan w:val="4"/>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173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5722" w:type="dxa"/>
            <w:gridSpan w:val="4"/>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173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restart"/>
            <w:tcBorders>
              <w:top w:val="nil"/>
              <w:left w:val="single" w:color="auto" w:sz="4" w:space="0"/>
              <w:bottom w:val="nil"/>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年度</w:t>
            </w:r>
            <w:r>
              <w:rPr>
                <w:rFonts w:ascii="宋体" w:cs="宋体"/>
                <w:color w:val="000000"/>
                <w:kern w:val="0"/>
                <w:sz w:val="18"/>
                <w:szCs w:val="18"/>
              </w:rPr>
              <w:br w:type="textWrapping"/>
            </w:r>
            <w:r>
              <w:rPr>
                <w:rFonts w:hint="eastAsia" w:ascii="宋体" w:hAnsi="宋体" w:cs="宋体"/>
                <w:color w:val="000000"/>
                <w:kern w:val="0"/>
                <w:sz w:val="18"/>
                <w:szCs w:val="18"/>
              </w:rPr>
              <w:t>绩效</w:t>
            </w:r>
            <w:r>
              <w:rPr>
                <w:rFonts w:ascii="宋体" w:cs="宋体"/>
                <w:color w:val="000000"/>
                <w:kern w:val="0"/>
                <w:sz w:val="18"/>
                <w:szCs w:val="18"/>
              </w:rPr>
              <w:br w:type="textWrapping"/>
            </w:r>
            <w:r>
              <w:rPr>
                <w:rFonts w:hint="eastAsia" w:ascii="宋体" w:hAnsi="宋体" w:cs="宋体"/>
                <w:color w:val="000000"/>
                <w:kern w:val="0"/>
                <w:sz w:val="18"/>
                <w:szCs w:val="18"/>
              </w:rPr>
              <w:t>指标</w:t>
            </w:r>
            <w:r>
              <w:rPr>
                <w:rFonts w:ascii="宋体" w:cs="宋体"/>
                <w:color w:val="000000"/>
                <w:kern w:val="0"/>
                <w:sz w:val="18"/>
                <w:szCs w:val="18"/>
              </w:rPr>
              <w:br w:type="textWrapping"/>
            </w:r>
            <w:r>
              <w:rPr>
                <w:rFonts w:hint="eastAsia" w:ascii="宋体" w:hAnsi="宋体" w:cs="宋体"/>
                <w:color w:val="000000"/>
                <w:kern w:val="0"/>
                <w:sz w:val="18"/>
                <w:szCs w:val="18"/>
              </w:rPr>
              <w:t>完成</w:t>
            </w:r>
            <w:r>
              <w:rPr>
                <w:rFonts w:ascii="宋体" w:cs="宋体"/>
                <w:color w:val="000000"/>
                <w:kern w:val="0"/>
                <w:sz w:val="18"/>
                <w:szCs w:val="18"/>
              </w:rPr>
              <w:br w:type="textWrapping"/>
            </w:r>
            <w:r>
              <w:rPr>
                <w:rFonts w:hint="eastAsia" w:ascii="宋体" w:hAnsi="宋体" w:cs="宋体"/>
                <w:color w:val="000000"/>
                <w:kern w:val="0"/>
                <w:sz w:val="18"/>
                <w:szCs w:val="18"/>
              </w:rPr>
              <w:t>情况</w:t>
            </w:r>
          </w:p>
        </w:tc>
        <w:tc>
          <w:tcPr>
            <w:tcW w:w="170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一级指标</w:t>
            </w:r>
          </w:p>
        </w:tc>
        <w:tc>
          <w:tcPr>
            <w:tcW w:w="170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二级指标</w:t>
            </w:r>
          </w:p>
        </w:tc>
        <w:tc>
          <w:tcPr>
            <w:tcW w:w="230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三级指标</w:t>
            </w:r>
          </w:p>
        </w:tc>
        <w:tc>
          <w:tcPr>
            <w:tcW w:w="885"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预期指标值（包含数字及文字描述）</w:t>
            </w:r>
          </w:p>
        </w:tc>
        <w:tc>
          <w:tcPr>
            <w:tcW w:w="85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实际完成指标值（包含数字及文字描述）</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项目完成指标</w:t>
            </w:r>
          </w:p>
        </w:tc>
        <w:tc>
          <w:tcPr>
            <w:tcW w:w="1707"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数量指标</w:t>
            </w:r>
          </w:p>
        </w:tc>
        <w:tc>
          <w:tcPr>
            <w:tcW w:w="2308"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：司法警察值勤岗位津贴</w:t>
            </w:r>
          </w:p>
        </w:tc>
        <w:tc>
          <w:tcPr>
            <w:tcW w:w="88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9</w:t>
            </w:r>
            <w:r>
              <w:rPr>
                <w:rFonts w:hint="eastAsia" w:ascii="宋体" w:hAnsi="宋体" w:cs="宋体"/>
                <w:color w:val="000000"/>
                <w:kern w:val="0"/>
                <w:sz w:val="18"/>
                <w:szCs w:val="18"/>
              </w:rPr>
              <w:t>名警察，每人每天</w:t>
            </w:r>
            <w:r>
              <w:rPr>
                <w:rFonts w:ascii="宋体" w:hAnsi="宋体" w:cs="宋体"/>
                <w:color w:val="000000"/>
                <w:kern w:val="0"/>
                <w:sz w:val="18"/>
                <w:szCs w:val="18"/>
              </w:rPr>
              <w:t>40</w:t>
            </w:r>
            <w:r>
              <w:rPr>
                <w:rFonts w:hint="eastAsia" w:ascii="宋体" w:hAnsi="宋体" w:cs="宋体"/>
                <w:color w:val="000000"/>
                <w:kern w:val="0"/>
                <w:sz w:val="18"/>
                <w:szCs w:val="18"/>
              </w:rPr>
              <w:t>元，每月发放天数不超过</w:t>
            </w:r>
            <w:r>
              <w:rPr>
                <w:rFonts w:ascii="宋体" w:hAnsi="宋体" w:cs="宋体"/>
                <w:color w:val="000000"/>
                <w:kern w:val="0"/>
                <w:sz w:val="18"/>
                <w:szCs w:val="18"/>
              </w:rPr>
              <w:t>22</w:t>
            </w:r>
            <w:r>
              <w:rPr>
                <w:rFonts w:hint="eastAsia" w:ascii="宋体" w:hAnsi="宋体" w:cs="宋体"/>
                <w:color w:val="000000"/>
                <w:kern w:val="0"/>
                <w:sz w:val="18"/>
                <w:szCs w:val="18"/>
              </w:rPr>
              <w:t>天。</w:t>
            </w:r>
          </w:p>
        </w:tc>
        <w:tc>
          <w:tcPr>
            <w:tcW w:w="85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9</w:t>
            </w:r>
            <w:r>
              <w:rPr>
                <w:rFonts w:hint="eastAsia" w:ascii="宋体" w:hAnsi="宋体" w:cs="宋体"/>
                <w:color w:val="000000"/>
                <w:kern w:val="0"/>
                <w:sz w:val="18"/>
                <w:szCs w:val="18"/>
              </w:rPr>
              <w:t>名警察，每人每天</w:t>
            </w:r>
            <w:r>
              <w:rPr>
                <w:rFonts w:ascii="宋体" w:hAnsi="宋体" w:cs="宋体"/>
                <w:color w:val="000000"/>
                <w:kern w:val="0"/>
                <w:sz w:val="18"/>
                <w:szCs w:val="18"/>
              </w:rPr>
              <w:t>40</w:t>
            </w:r>
            <w:r>
              <w:rPr>
                <w:rFonts w:hint="eastAsia" w:ascii="宋体" w:hAnsi="宋体" w:cs="宋体"/>
                <w:color w:val="000000"/>
                <w:kern w:val="0"/>
                <w:sz w:val="18"/>
                <w:szCs w:val="18"/>
              </w:rPr>
              <w:t>元，每月发放天数均未超过</w:t>
            </w:r>
            <w:r>
              <w:rPr>
                <w:rFonts w:ascii="宋体" w:hAnsi="宋体" w:cs="宋体"/>
                <w:color w:val="000000"/>
                <w:kern w:val="0"/>
                <w:sz w:val="18"/>
                <w:szCs w:val="18"/>
              </w:rPr>
              <w:t>22</w:t>
            </w:r>
            <w:r>
              <w:rPr>
                <w:rFonts w:hint="eastAsia" w:ascii="宋体" w:hAnsi="宋体" w:cs="宋体"/>
                <w:color w:val="000000"/>
                <w:kern w:val="0"/>
                <w:sz w:val="18"/>
                <w:szCs w:val="18"/>
              </w:rPr>
              <w:t>天。</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质量指标</w:t>
            </w:r>
          </w:p>
        </w:tc>
        <w:tc>
          <w:tcPr>
            <w:tcW w:w="2308"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w:t>
            </w:r>
            <w:r>
              <w:rPr>
                <w:rFonts w:ascii="宋体" w:hAnsi="宋体" w:cs="宋体"/>
                <w:color w:val="000000"/>
                <w:kern w:val="0"/>
                <w:sz w:val="18"/>
                <w:szCs w:val="18"/>
              </w:rPr>
              <w:t xml:space="preserve"> </w:t>
            </w:r>
            <w:r>
              <w:rPr>
                <w:rFonts w:hint="eastAsia" w:ascii="宋体" w:hAnsi="宋体" w:cs="宋体"/>
                <w:color w:val="000000"/>
                <w:kern w:val="0"/>
                <w:sz w:val="18"/>
                <w:szCs w:val="18"/>
              </w:rPr>
              <w:t>按照人社部、财政部等相关文件实施</w:t>
            </w:r>
          </w:p>
        </w:tc>
        <w:tc>
          <w:tcPr>
            <w:tcW w:w="88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完成文件规定的工作事项</w:t>
            </w:r>
          </w:p>
        </w:tc>
        <w:tc>
          <w:tcPr>
            <w:tcW w:w="85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文件规定的工作事项顺利完成</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时效指标</w:t>
            </w:r>
          </w:p>
        </w:tc>
        <w:tc>
          <w:tcPr>
            <w:tcW w:w="2308"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：按照相关规定时间完成目标任务</w:t>
            </w:r>
          </w:p>
        </w:tc>
        <w:tc>
          <w:tcPr>
            <w:tcW w:w="88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按时完成文件规定的工作事项</w:t>
            </w:r>
          </w:p>
        </w:tc>
        <w:tc>
          <w:tcPr>
            <w:tcW w:w="85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文件规定的工作事项顺利完成</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60"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tcBorders>
              <w:top w:val="single" w:color="auto" w:sz="4" w:space="0"/>
              <w:left w:val="nil"/>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成本指标</w:t>
            </w:r>
          </w:p>
        </w:tc>
        <w:tc>
          <w:tcPr>
            <w:tcW w:w="2308"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：津贴补贴</w:t>
            </w:r>
          </w:p>
        </w:tc>
        <w:tc>
          <w:tcPr>
            <w:tcW w:w="885"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9.504</w:t>
            </w:r>
          </w:p>
        </w:tc>
        <w:tc>
          <w:tcPr>
            <w:tcW w:w="854"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9.504</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项目效果指标</w:t>
            </w:r>
          </w:p>
        </w:tc>
        <w:tc>
          <w:tcPr>
            <w:tcW w:w="1707"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经济效益</w:t>
            </w:r>
          </w:p>
        </w:tc>
        <w:tc>
          <w:tcPr>
            <w:tcW w:w="2308"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：严格成本控制，保障法警值勤权益</w:t>
            </w:r>
          </w:p>
        </w:tc>
        <w:tc>
          <w:tcPr>
            <w:tcW w:w="88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保障法警值勤权益，成本控制不得突破</w:t>
            </w:r>
            <w:r>
              <w:rPr>
                <w:rFonts w:ascii="宋体" w:hAnsi="宋体" w:cs="宋体"/>
                <w:color w:val="000000"/>
                <w:kern w:val="0"/>
                <w:sz w:val="18"/>
                <w:szCs w:val="18"/>
              </w:rPr>
              <w:t>9.5</w:t>
            </w:r>
            <w:r>
              <w:rPr>
                <w:rFonts w:hint="eastAsia" w:ascii="宋体" w:hAnsi="宋体" w:cs="宋体"/>
                <w:color w:val="000000"/>
                <w:kern w:val="0"/>
                <w:sz w:val="18"/>
                <w:szCs w:val="18"/>
              </w:rPr>
              <w:t>万元。</w:t>
            </w:r>
          </w:p>
        </w:tc>
        <w:tc>
          <w:tcPr>
            <w:tcW w:w="85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在保障法警权益的情况下，本年的成本为</w:t>
            </w:r>
            <w:r>
              <w:rPr>
                <w:rFonts w:ascii="宋体" w:hAnsi="宋体" w:cs="宋体"/>
                <w:color w:val="000000"/>
                <w:kern w:val="0"/>
                <w:sz w:val="18"/>
                <w:szCs w:val="18"/>
              </w:rPr>
              <w:t>9.5</w:t>
            </w:r>
            <w:r>
              <w:rPr>
                <w:rFonts w:hint="eastAsia" w:ascii="宋体" w:hAnsi="宋体" w:cs="宋体"/>
                <w:color w:val="000000"/>
                <w:kern w:val="0"/>
                <w:sz w:val="18"/>
                <w:szCs w:val="18"/>
              </w:rPr>
              <w:t>万元。</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社会效益</w:t>
            </w:r>
          </w:p>
        </w:tc>
        <w:tc>
          <w:tcPr>
            <w:tcW w:w="2308"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：推动相关工作顺利推进</w:t>
            </w:r>
          </w:p>
        </w:tc>
        <w:tc>
          <w:tcPr>
            <w:tcW w:w="88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及时发现问题，促进有关方面加强管理，严格执行相关规定。</w:t>
            </w:r>
          </w:p>
        </w:tc>
        <w:tc>
          <w:tcPr>
            <w:tcW w:w="85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项目管理进一步加强，相关制度得到完善。</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生态效益</w:t>
            </w:r>
          </w:p>
        </w:tc>
        <w:tc>
          <w:tcPr>
            <w:tcW w:w="2308"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：坚持绿色发展理念</w:t>
            </w:r>
          </w:p>
        </w:tc>
        <w:tc>
          <w:tcPr>
            <w:tcW w:w="88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重点关注法警加班时涉及环保方面政策落实情况</w:t>
            </w:r>
          </w:p>
        </w:tc>
        <w:tc>
          <w:tcPr>
            <w:tcW w:w="85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严格落实环保政策</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可持续影响</w:t>
            </w:r>
          </w:p>
        </w:tc>
        <w:tc>
          <w:tcPr>
            <w:tcW w:w="2308"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：促进相关政策落地落实</w:t>
            </w:r>
          </w:p>
        </w:tc>
        <w:tc>
          <w:tcPr>
            <w:tcW w:w="88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及时反馈相关信息，揭示问题，分析原因，提出建议</w:t>
            </w:r>
          </w:p>
        </w:tc>
        <w:tc>
          <w:tcPr>
            <w:tcW w:w="85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严格落实相关政策</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满意度</w:t>
            </w:r>
          </w:p>
        </w:tc>
        <w:tc>
          <w:tcPr>
            <w:tcW w:w="1707"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满意度指标</w:t>
            </w:r>
          </w:p>
        </w:tc>
        <w:tc>
          <w:tcPr>
            <w:tcW w:w="230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：上级检察院满意度</w:t>
            </w:r>
          </w:p>
        </w:tc>
        <w:tc>
          <w:tcPr>
            <w:tcW w:w="885"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96%</w:t>
            </w:r>
          </w:p>
        </w:tc>
        <w:tc>
          <w:tcPr>
            <w:tcW w:w="854"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99%</w:t>
            </w:r>
          </w:p>
        </w:tc>
      </w:tr>
      <w:tr>
        <w:tblPrEx>
          <w:tblCellMar>
            <w:top w:w="0" w:type="dxa"/>
            <w:left w:w="108" w:type="dxa"/>
            <w:bottom w:w="0" w:type="dxa"/>
            <w:right w:w="108" w:type="dxa"/>
          </w:tblCellMar>
        </w:tblPrEx>
        <w:trPr>
          <w:trHeight w:val="312"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23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85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299" w:hRule="atLeast"/>
        </w:trPr>
        <w:tc>
          <w:tcPr>
            <w:tcW w:w="2043"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07"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2308"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：相关部门和单位及群众满意度</w:t>
            </w:r>
          </w:p>
        </w:tc>
        <w:tc>
          <w:tcPr>
            <w:tcW w:w="885"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96%</w:t>
            </w:r>
          </w:p>
        </w:tc>
        <w:tc>
          <w:tcPr>
            <w:tcW w:w="854"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99%</w:t>
            </w:r>
          </w:p>
        </w:tc>
      </w:tr>
    </w:tbl>
    <w:p>
      <w:pPr>
        <w:spacing w:line="580" w:lineRule="exact"/>
        <w:rPr>
          <w:rFonts w:ascii="仿宋_GB2312" w:hAnsi="仿宋_GB2312" w:eastAsia="仿宋_GB2312" w:cs="仿宋_GB2312"/>
          <w:sz w:val="32"/>
          <w:szCs w:val="32"/>
        </w:rPr>
      </w:pPr>
    </w:p>
    <w:tbl>
      <w:tblPr>
        <w:tblStyle w:val="19"/>
        <w:tblW w:w="9565" w:type="dxa"/>
        <w:tblInd w:w="-522" w:type="dxa"/>
        <w:tblLayout w:type="autofit"/>
        <w:tblCellMar>
          <w:top w:w="0" w:type="dxa"/>
          <w:left w:w="108" w:type="dxa"/>
          <w:bottom w:w="0" w:type="dxa"/>
          <w:right w:w="108" w:type="dxa"/>
        </w:tblCellMar>
      </w:tblPr>
      <w:tblGrid>
        <w:gridCol w:w="584"/>
        <w:gridCol w:w="760"/>
        <w:gridCol w:w="687"/>
        <w:gridCol w:w="2085"/>
        <w:gridCol w:w="2503"/>
        <w:gridCol w:w="2946"/>
      </w:tblGrid>
      <w:tr>
        <w:tblPrEx>
          <w:tblCellMar>
            <w:top w:w="0" w:type="dxa"/>
            <w:left w:w="108" w:type="dxa"/>
            <w:bottom w:w="0" w:type="dxa"/>
            <w:right w:w="108" w:type="dxa"/>
          </w:tblCellMar>
        </w:tblPrEx>
        <w:trPr>
          <w:trHeight w:val="150" w:hRule="atLeast"/>
        </w:trPr>
        <w:tc>
          <w:tcPr>
            <w:tcW w:w="9565" w:type="dxa"/>
            <w:gridSpan w:val="6"/>
            <w:tcBorders>
              <w:top w:val="nil"/>
              <w:left w:val="nil"/>
              <w:bottom w:val="nil"/>
              <w:right w:val="nil"/>
            </w:tcBorders>
            <w:vAlign w:val="center"/>
          </w:tcPr>
          <w:p>
            <w:pPr>
              <w:widowControl/>
              <w:jc w:val="center"/>
              <w:rPr>
                <w:rFonts w:ascii="宋体" w:cs="宋体"/>
                <w:b/>
                <w:bCs/>
                <w:color w:val="000000"/>
                <w:kern w:val="0"/>
                <w:szCs w:val="21"/>
              </w:rPr>
            </w:pPr>
            <w:r>
              <w:rPr>
                <w:rFonts w:hint="eastAsia" w:ascii="宋体" w:hAnsi="宋体" w:cs="宋体"/>
                <w:b/>
                <w:bCs/>
                <w:color w:val="000000"/>
                <w:kern w:val="0"/>
                <w:szCs w:val="21"/>
              </w:rPr>
              <w:t>项目支出绩效目标完成表</w:t>
            </w:r>
          </w:p>
        </w:tc>
      </w:tr>
      <w:tr>
        <w:tblPrEx>
          <w:tblCellMar>
            <w:top w:w="0" w:type="dxa"/>
            <w:left w:w="108" w:type="dxa"/>
            <w:bottom w:w="0" w:type="dxa"/>
            <w:right w:w="108" w:type="dxa"/>
          </w:tblCellMar>
        </w:tblPrEx>
        <w:trPr>
          <w:trHeight w:val="150" w:hRule="atLeast"/>
        </w:trPr>
        <w:tc>
          <w:tcPr>
            <w:tcW w:w="9565" w:type="dxa"/>
            <w:gridSpan w:val="6"/>
            <w:tcBorders>
              <w:top w:val="nil"/>
              <w:left w:val="nil"/>
              <w:bottom w:val="nil"/>
              <w:right w:val="nil"/>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 xml:space="preserve">        2019  </w:t>
            </w:r>
            <w:r>
              <w:rPr>
                <w:rFonts w:hint="eastAsia" w:ascii="宋体" w:hAnsi="宋体" w:cs="宋体"/>
                <w:color w:val="000000"/>
                <w:kern w:val="0"/>
                <w:sz w:val="18"/>
                <w:szCs w:val="18"/>
              </w:rPr>
              <w:t>年度）</w:t>
            </w:r>
          </w:p>
        </w:tc>
      </w:tr>
      <w:tr>
        <w:tblPrEx>
          <w:tblCellMar>
            <w:top w:w="0" w:type="dxa"/>
            <w:left w:w="108" w:type="dxa"/>
            <w:bottom w:w="0" w:type="dxa"/>
            <w:right w:w="108" w:type="dxa"/>
          </w:tblCellMar>
        </w:tblPrEx>
        <w:trPr>
          <w:trHeight w:val="150" w:hRule="atLeast"/>
        </w:trPr>
        <w:tc>
          <w:tcPr>
            <w:tcW w:w="9565" w:type="dxa"/>
            <w:gridSpan w:val="6"/>
            <w:tcBorders>
              <w:top w:val="nil"/>
              <w:left w:val="nil"/>
              <w:bottom w:val="nil"/>
              <w:right w:val="nil"/>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注：项目支出包括部门预算支出和专项预支出</w:t>
            </w:r>
          </w:p>
        </w:tc>
      </w:tr>
      <w:tr>
        <w:tblPrEx>
          <w:tblCellMar>
            <w:top w:w="0" w:type="dxa"/>
            <w:left w:w="108" w:type="dxa"/>
            <w:bottom w:w="0" w:type="dxa"/>
            <w:right w:w="108" w:type="dxa"/>
          </w:tblCellMar>
        </w:tblPrEx>
        <w:trPr>
          <w:trHeight w:val="150" w:hRule="atLeast"/>
        </w:trPr>
        <w:tc>
          <w:tcPr>
            <w:tcW w:w="203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项目名称</w:t>
            </w:r>
          </w:p>
        </w:tc>
        <w:tc>
          <w:tcPr>
            <w:tcW w:w="7533"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专用设备维修（护）费</w:t>
            </w:r>
          </w:p>
        </w:tc>
      </w:tr>
      <w:tr>
        <w:tblPrEx>
          <w:tblCellMar>
            <w:top w:w="0" w:type="dxa"/>
            <w:left w:w="108" w:type="dxa"/>
            <w:bottom w:w="0" w:type="dxa"/>
            <w:right w:w="108" w:type="dxa"/>
          </w:tblCellMar>
        </w:tblPrEx>
        <w:trPr>
          <w:trHeight w:val="150" w:hRule="atLeast"/>
        </w:trPr>
        <w:tc>
          <w:tcPr>
            <w:tcW w:w="203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预算单位</w:t>
            </w:r>
          </w:p>
        </w:tc>
        <w:tc>
          <w:tcPr>
            <w:tcW w:w="7533"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渠县人民检察院</w:t>
            </w:r>
          </w:p>
        </w:tc>
      </w:tr>
      <w:tr>
        <w:tblPrEx>
          <w:tblCellMar>
            <w:top w:w="0" w:type="dxa"/>
            <w:left w:w="108" w:type="dxa"/>
            <w:bottom w:w="0" w:type="dxa"/>
            <w:right w:w="108" w:type="dxa"/>
          </w:tblCellMar>
        </w:tblPrEx>
        <w:trPr>
          <w:trHeight w:val="312" w:hRule="atLeast"/>
        </w:trPr>
        <w:tc>
          <w:tcPr>
            <w:tcW w:w="58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预算</w:t>
            </w:r>
            <w:r>
              <w:rPr>
                <w:rFonts w:ascii="宋体" w:cs="宋体"/>
                <w:color w:val="000000"/>
                <w:kern w:val="0"/>
                <w:sz w:val="18"/>
                <w:szCs w:val="18"/>
              </w:rPr>
              <w:br w:type="textWrapping"/>
            </w:r>
            <w:r>
              <w:rPr>
                <w:rFonts w:hint="eastAsia" w:ascii="宋体" w:hAnsi="宋体" w:cs="宋体"/>
                <w:color w:val="000000"/>
                <w:kern w:val="0"/>
                <w:sz w:val="18"/>
                <w:szCs w:val="18"/>
              </w:rPr>
              <w:t>执行</w:t>
            </w:r>
            <w:r>
              <w:rPr>
                <w:rFonts w:ascii="宋体" w:cs="宋体"/>
                <w:color w:val="000000"/>
                <w:kern w:val="0"/>
                <w:sz w:val="18"/>
                <w:szCs w:val="18"/>
              </w:rPr>
              <w:br w:type="textWrapping"/>
            </w:r>
            <w:r>
              <w:rPr>
                <w:rFonts w:hint="eastAsia" w:ascii="宋体" w:hAnsi="宋体" w:cs="宋体"/>
                <w:color w:val="000000"/>
                <w:kern w:val="0"/>
                <w:sz w:val="18"/>
                <w:szCs w:val="18"/>
              </w:rPr>
              <w:t>情况</w:t>
            </w:r>
            <w:r>
              <w:rPr>
                <w:rFonts w:ascii="宋体" w:cs="宋体"/>
                <w:color w:val="000000"/>
                <w:kern w:val="0"/>
                <w:sz w:val="18"/>
                <w:szCs w:val="18"/>
              </w:rPr>
              <w:br w:type="textWrapping"/>
            </w:r>
            <w:r>
              <w:rPr>
                <w:rFonts w:hint="eastAsia" w:ascii="宋体" w:hAnsi="宋体" w:cs="宋体"/>
                <w:color w:val="000000"/>
                <w:kern w:val="0"/>
                <w:sz w:val="18"/>
                <w:szCs w:val="18"/>
              </w:rPr>
              <w:t>（万元）</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预算数：</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10</w:t>
            </w:r>
          </w:p>
        </w:tc>
        <w:tc>
          <w:tcPr>
            <w:tcW w:w="0" w:type="auto"/>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执行数：</w:t>
            </w:r>
          </w:p>
        </w:tc>
        <w:tc>
          <w:tcPr>
            <w:tcW w:w="2946" w:type="dxa"/>
            <w:vMerge w:val="restart"/>
            <w:tcBorders>
              <w:top w:val="nil"/>
              <w:left w:val="single" w:color="auto" w:sz="4" w:space="0"/>
              <w:bottom w:val="single" w:color="auto" w:sz="4" w:space="0"/>
              <w:right w:val="single" w:color="auto" w:sz="4" w:space="0"/>
            </w:tcBorders>
            <w:vAlign w:val="center"/>
          </w:tcPr>
          <w:p>
            <w:pPr>
              <w:widowControl/>
              <w:jc w:val="right"/>
              <w:rPr>
                <w:rFonts w:ascii="宋体" w:cs="宋体"/>
                <w:color w:val="000000"/>
                <w:kern w:val="0"/>
                <w:sz w:val="18"/>
                <w:szCs w:val="18"/>
              </w:rPr>
            </w:pPr>
            <w:r>
              <w:rPr>
                <w:rFonts w:ascii="宋体" w:hAnsi="宋体" w:cs="宋体"/>
                <w:color w:val="000000"/>
                <w:kern w:val="0"/>
                <w:sz w:val="18"/>
                <w:szCs w:val="18"/>
              </w:rPr>
              <w:t>10</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249"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tcBorders>
              <w:top w:val="single" w:color="auto" w:sz="4" w:space="0"/>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其中：财政拨款</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10</w:t>
            </w:r>
          </w:p>
        </w:tc>
        <w:tc>
          <w:tcPr>
            <w:tcW w:w="0" w:type="auto"/>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其中：财政拨款</w:t>
            </w:r>
          </w:p>
        </w:tc>
        <w:tc>
          <w:tcPr>
            <w:tcW w:w="2946" w:type="dxa"/>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ascii="宋体" w:hAnsi="宋体" w:cs="宋体"/>
                <w:color w:val="000000"/>
                <w:kern w:val="0"/>
                <w:sz w:val="18"/>
                <w:szCs w:val="18"/>
              </w:rPr>
              <w:t>10</w:t>
            </w:r>
          </w:p>
        </w:tc>
      </w:tr>
      <w:tr>
        <w:tblPrEx>
          <w:tblCellMar>
            <w:top w:w="0" w:type="dxa"/>
            <w:left w:w="108" w:type="dxa"/>
            <w:bottom w:w="0" w:type="dxa"/>
            <w:right w:w="108" w:type="dxa"/>
          </w:tblCellMar>
        </w:tblPrEx>
        <w:trPr>
          <w:trHeight w:val="15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gridSpan w:val="2"/>
            <w:tcBorders>
              <w:top w:val="single" w:color="auto" w:sz="4" w:space="0"/>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其他资金</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0" w:type="auto"/>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其他资金</w:t>
            </w:r>
          </w:p>
        </w:tc>
        <w:tc>
          <w:tcPr>
            <w:tcW w:w="2946" w:type="dxa"/>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150" w:hRule="atLeast"/>
        </w:trPr>
        <w:tc>
          <w:tcPr>
            <w:tcW w:w="58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年度</w:t>
            </w:r>
            <w:r>
              <w:rPr>
                <w:rFonts w:ascii="宋体" w:cs="宋体"/>
                <w:color w:val="000000"/>
                <w:kern w:val="0"/>
                <w:sz w:val="18"/>
                <w:szCs w:val="18"/>
              </w:rPr>
              <w:br w:type="textWrapping"/>
            </w:r>
            <w:r>
              <w:rPr>
                <w:rFonts w:hint="eastAsia" w:ascii="宋体" w:hAnsi="宋体" w:cs="宋体"/>
                <w:color w:val="000000"/>
                <w:kern w:val="0"/>
                <w:sz w:val="18"/>
                <w:szCs w:val="18"/>
              </w:rPr>
              <w:t>目标</w:t>
            </w:r>
            <w:r>
              <w:rPr>
                <w:rFonts w:ascii="宋体" w:cs="宋体"/>
                <w:color w:val="000000"/>
                <w:kern w:val="0"/>
                <w:sz w:val="18"/>
                <w:szCs w:val="18"/>
              </w:rPr>
              <w:br w:type="textWrapping"/>
            </w:r>
            <w:r>
              <w:rPr>
                <w:rFonts w:hint="eastAsia" w:ascii="宋体" w:hAnsi="宋体" w:cs="宋体"/>
                <w:color w:val="000000"/>
                <w:kern w:val="0"/>
                <w:sz w:val="18"/>
                <w:szCs w:val="18"/>
              </w:rPr>
              <w:t>完成</w:t>
            </w:r>
            <w:r>
              <w:rPr>
                <w:rFonts w:ascii="宋体" w:cs="宋体"/>
                <w:color w:val="000000"/>
                <w:kern w:val="0"/>
                <w:sz w:val="18"/>
                <w:szCs w:val="18"/>
              </w:rPr>
              <w:br w:type="textWrapping"/>
            </w:r>
            <w:r>
              <w:rPr>
                <w:rFonts w:hint="eastAsia" w:ascii="宋体" w:hAnsi="宋体" w:cs="宋体"/>
                <w:color w:val="000000"/>
                <w:kern w:val="0"/>
                <w:sz w:val="18"/>
                <w:szCs w:val="18"/>
              </w:rPr>
              <w:t>情况</w:t>
            </w:r>
          </w:p>
        </w:tc>
        <w:tc>
          <w:tcPr>
            <w:tcW w:w="0" w:type="auto"/>
            <w:gridSpan w:val="3"/>
            <w:tcBorders>
              <w:top w:val="single" w:color="auto" w:sz="4" w:space="0"/>
              <w:left w:val="nil"/>
              <w:bottom w:val="single" w:color="auto"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预期目标</w:t>
            </w:r>
          </w:p>
        </w:tc>
        <w:tc>
          <w:tcPr>
            <w:tcW w:w="5448"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实际完成目标</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gridSpan w:val="3"/>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保障全院办案专用设备正常运行。</w:t>
            </w:r>
          </w:p>
        </w:tc>
        <w:tc>
          <w:tcPr>
            <w:tcW w:w="5448"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全院办案专用设备正常运行。</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544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0" w:type="auto"/>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5448"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restart"/>
            <w:tcBorders>
              <w:top w:val="nil"/>
              <w:left w:val="single" w:color="auto" w:sz="4" w:space="0"/>
              <w:bottom w:val="nil"/>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年度</w:t>
            </w:r>
            <w:r>
              <w:rPr>
                <w:rFonts w:ascii="宋体" w:cs="宋体"/>
                <w:color w:val="000000"/>
                <w:kern w:val="0"/>
                <w:sz w:val="18"/>
                <w:szCs w:val="18"/>
              </w:rPr>
              <w:br w:type="textWrapping"/>
            </w:r>
            <w:r>
              <w:rPr>
                <w:rFonts w:hint="eastAsia" w:ascii="宋体" w:hAnsi="宋体" w:cs="宋体"/>
                <w:color w:val="000000"/>
                <w:kern w:val="0"/>
                <w:sz w:val="18"/>
                <w:szCs w:val="18"/>
              </w:rPr>
              <w:t>绩效</w:t>
            </w:r>
            <w:r>
              <w:rPr>
                <w:rFonts w:ascii="宋体" w:cs="宋体"/>
                <w:color w:val="000000"/>
                <w:kern w:val="0"/>
                <w:sz w:val="18"/>
                <w:szCs w:val="18"/>
              </w:rPr>
              <w:br w:type="textWrapping"/>
            </w:r>
            <w:r>
              <w:rPr>
                <w:rFonts w:hint="eastAsia" w:ascii="宋体" w:hAnsi="宋体" w:cs="宋体"/>
                <w:color w:val="000000"/>
                <w:kern w:val="0"/>
                <w:sz w:val="18"/>
                <w:szCs w:val="18"/>
              </w:rPr>
              <w:t>指标</w:t>
            </w:r>
            <w:r>
              <w:rPr>
                <w:rFonts w:ascii="宋体" w:cs="宋体"/>
                <w:color w:val="000000"/>
                <w:kern w:val="0"/>
                <w:sz w:val="18"/>
                <w:szCs w:val="18"/>
              </w:rPr>
              <w:br w:type="textWrapping"/>
            </w:r>
            <w:r>
              <w:rPr>
                <w:rFonts w:hint="eastAsia" w:ascii="宋体" w:hAnsi="宋体" w:cs="宋体"/>
                <w:color w:val="000000"/>
                <w:kern w:val="0"/>
                <w:sz w:val="18"/>
                <w:szCs w:val="18"/>
              </w:rPr>
              <w:t>完成</w:t>
            </w:r>
            <w:r>
              <w:rPr>
                <w:rFonts w:ascii="宋体" w:cs="宋体"/>
                <w:color w:val="000000"/>
                <w:kern w:val="0"/>
                <w:sz w:val="18"/>
                <w:szCs w:val="18"/>
              </w:rPr>
              <w:br w:type="textWrapping"/>
            </w:r>
            <w:r>
              <w:rPr>
                <w:rFonts w:hint="eastAsia" w:ascii="宋体" w:hAnsi="宋体" w:cs="宋体"/>
                <w:color w:val="000000"/>
                <w:kern w:val="0"/>
                <w:sz w:val="18"/>
                <w:szCs w:val="18"/>
              </w:rPr>
              <w:t>情况</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一级指标</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二级指标</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三级指标</w:t>
            </w:r>
          </w:p>
        </w:tc>
        <w:tc>
          <w:tcPr>
            <w:tcW w:w="0" w:type="auto"/>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预期指标值（包含数字及文字描述）</w:t>
            </w:r>
          </w:p>
        </w:tc>
        <w:tc>
          <w:tcPr>
            <w:tcW w:w="2946"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实际完成指标值（包含数字及文字描述）</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73"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项目完成指标</w:t>
            </w: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数量指标</w:t>
            </w: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：侦查指挥中心设备</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全年维修（护）费</w:t>
            </w:r>
            <w:r>
              <w:rPr>
                <w:rFonts w:ascii="宋体" w:hAnsi="宋体" w:cs="宋体"/>
                <w:color w:val="000000"/>
                <w:kern w:val="0"/>
                <w:sz w:val="18"/>
                <w:szCs w:val="18"/>
              </w:rPr>
              <w:t>3</w:t>
            </w:r>
            <w:r>
              <w:rPr>
                <w:rFonts w:hint="eastAsia" w:ascii="宋体" w:hAnsi="宋体" w:cs="宋体"/>
                <w:color w:val="000000"/>
                <w:kern w:val="0"/>
                <w:sz w:val="18"/>
                <w:szCs w:val="18"/>
              </w:rPr>
              <w:t>万元</w:t>
            </w:r>
          </w:p>
        </w:tc>
        <w:tc>
          <w:tcPr>
            <w:tcW w:w="2946"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全年维修（护）费共计</w:t>
            </w:r>
            <w:r>
              <w:rPr>
                <w:rFonts w:ascii="宋体" w:hAnsi="宋体" w:cs="宋体"/>
                <w:color w:val="000000"/>
                <w:kern w:val="0"/>
                <w:sz w:val="18"/>
                <w:szCs w:val="18"/>
              </w:rPr>
              <w:t>3</w:t>
            </w:r>
            <w:r>
              <w:rPr>
                <w:rFonts w:hint="eastAsia" w:ascii="宋体" w:hAnsi="宋体" w:cs="宋体"/>
                <w:color w:val="000000"/>
                <w:kern w:val="0"/>
                <w:sz w:val="18"/>
                <w:szCs w:val="18"/>
              </w:rPr>
              <w:t>万元。</w:t>
            </w:r>
          </w:p>
        </w:tc>
      </w:tr>
      <w:tr>
        <w:tblPrEx>
          <w:tblCellMar>
            <w:top w:w="0" w:type="dxa"/>
            <w:left w:w="108" w:type="dxa"/>
            <w:bottom w:w="0" w:type="dxa"/>
            <w:right w:w="108" w:type="dxa"/>
          </w:tblCellMar>
        </w:tblPrEx>
        <w:trPr>
          <w:trHeight w:val="373"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：办案工作区设备</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全年维修（护）费</w:t>
            </w:r>
            <w:r>
              <w:rPr>
                <w:rFonts w:ascii="宋体" w:hAnsi="宋体" w:cs="宋体"/>
                <w:color w:val="000000"/>
                <w:kern w:val="0"/>
                <w:sz w:val="18"/>
                <w:szCs w:val="18"/>
              </w:rPr>
              <w:t>4</w:t>
            </w:r>
            <w:r>
              <w:rPr>
                <w:rFonts w:hint="eastAsia" w:ascii="宋体" w:hAnsi="宋体" w:cs="宋体"/>
                <w:color w:val="000000"/>
                <w:kern w:val="0"/>
                <w:sz w:val="18"/>
                <w:szCs w:val="18"/>
              </w:rPr>
              <w:t>万元</w:t>
            </w:r>
          </w:p>
        </w:tc>
        <w:tc>
          <w:tcPr>
            <w:tcW w:w="2946"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全年维修（护）费共计</w:t>
            </w:r>
            <w:r>
              <w:rPr>
                <w:rFonts w:ascii="宋体" w:hAnsi="宋体" w:cs="宋体"/>
                <w:color w:val="000000"/>
                <w:kern w:val="0"/>
                <w:sz w:val="18"/>
                <w:szCs w:val="18"/>
              </w:rPr>
              <w:t>4</w:t>
            </w:r>
            <w:r>
              <w:rPr>
                <w:rFonts w:hint="eastAsia" w:ascii="宋体" w:hAnsi="宋体" w:cs="宋体"/>
                <w:color w:val="000000"/>
                <w:kern w:val="0"/>
                <w:sz w:val="18"/>
                <w:szCs w:val="18"/>
              </w:rPr>
              <w:t>万元</w:t>
            </w:r>
          </w:p>
        </w:tc>
      </w:tr>
      <w:tr>
        <w:tblPrEx>
          <w:tblCellMar>
            <w:top w:w="0" w:type="dxa"/>
            <w:left w:w="108" w:type="dxa"/>
            <w:bottom w:w="0" w:type="dxa"/>
            <w:right w:w="108" w:type="dxa"/>
          </w:tblCellMar>
        </w:tblPrEx>
        <w:trPr>
          <w:trHeight w:val="373"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3</w:t>
            </w:r>
            <w:r>
              <w:rPr>
                <w:rFonts w:hint="eastAsia" w:ascii="宋体" w:hAnsi="宋体" w:cs="宋体"/>
                <w:color w:val="000000"/>
                <w:kern w:val="0"/>
                <w:sz w:val="18"/>
                <w:szCs w:val="18"/>
              </w:rPr>
              <w:t>：检务数字化设备</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全年维修（护）费</w:t>
            </w:r>
            <w:r>
              <w:rPr>
                <w:rFonts w:ascii="宋体" w:hAnsi="宋体" w:cs="宋体"/>
                <w:color w:val="000000"/>
                <w:kern w:val="0"/>
                <w:sz w:val="18"/>
                <w:szCs w:val="18"/>
              </w:rPr>
              <w:t>3</w:t>
            </w:r>
            <w:r>
              <w:rPr>
                <w:rFonts w:hint="eastAsia" w:ascii="宋体" w:hAnsi="宋体" w:cs="宋体"/>
                <w:color w:val="000000"/>
                <w:kern w:val="0"/>
                <w:sz w:val="18"/>
                <w:szCs w:val="18"/>
              </w:rPr>
              <w:t>万元</w:t>
            </w:r>
          </w:p>
        </w:tc>
        <w:tc>
          <w:tcPr>
            <w:tcW w:w="2946"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全年维修（护）费共计</w:t>
            </w:r>
            <w:r>
              <w:rPr>
                <w:rFonts w:ascii="宋体" w:hAnsi="宋体" w:cs="宋体"/>
                <w:color w:val="000000"/>
                <w:kern w:val="0"/>
                <w:sz w:val="18"/>
                <w:szCs w:val="18"/>
              </w:rPr>
              <w:t>3</w:t>
            </w:r>
            <w:r>
              <w:rPr>
                <w:rFonts w:hint="eastAsia" w:ascii="宋体" w:hAnsi="宋体" w:cs="宋体"/>
                <w:color w:val="000000"/>
                <w:kern w:val="0"/>
                <w:sz w:val="18"/>
                <w:szCs w:val="18"/>
              </w:rPr>
              <w:t>万元</w:t>
            </w:r>
          </w:p>
        </w:tc>
      </w:tr>
      <w:tr>
        <w:tblPrEx>
          <w:tblCellMar>
            <w:top w:w="0" w:type="dxa"/>
            <w:left w:w="108" w:type="dxa"/>
            <w:bottom w:w="0" w:type="dxa"/>
            <w:right w:w="108" w:type="dxa"/>
          </w:tblCellMar>
        </w:tblPrEx>
        <w:trPr>
          <w:trHeight w:val="249"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质量指标</w:t>
            </w: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w:t>
            </w:r>
            <w:r>
              <w:rPr>
                <w:rFonts w:ascii="宋体" w:hAnsi="宋体" w:cs="宋体"/>
                <w:color w:val="000000"/>
                <w:kern w:val="0"/>
                <w:sz w:val="18"/>
                <w:szCs w:val="18"/>
              </w:rPr>
              <w:t xml:space="preserve"> </w:t>
            </w:r>
            <w:r>
              <w:rPr>
                <w:rFonts w:hint="eastAsia" w:ascii="宋体" w:hAnsi="宋体" w:cs="宋体"/>
                <w:color w:val="000000"/>
                <w:kern w:val="0"/>
                <w:sz w:val="18"/>
                <w:szCs w:val="18"/>
              </w:rPr>
              <w:t>保障各项专用设备正常运行</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保证维修质量</w:t>
            </w:r>
          </w:p>
        </w:tc>
        <w:tc>
          <w:tcPr>
            <w:tcW w:w="2946"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各项专用设备正常运行</w:t>
            </w:r>
          </w:p>
        </w:tc>
      </w:tr>
      <w:tr>
        <w:tblPrEx>
          <w:tblCellMar>
            <w:top w:w="0" w:type="dxa"/>
            <w:left w:w="108" w:type="dxa"/>
            <w:bottom w:w="0" w:type="dxa"/>
            <w:right w:w="108" w:type="dxa"/>
          </w:tblCellMar>
        </w:tblPrEx>
        <w:trPr>
          <w:trHeight w:val="249"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时效指标</w:t>
            </w: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：按照相关规定时间完成目标任务</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按时完成目标任务</w:t>
            </w:r>
          </w:p>
        </w:tc>
        <w:tc>
          <w:tcPr>
            <w:tcW w:w="2946"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目标任务按时完成。</w:t>
            </w:r>
          </w:p>
        </w:tc>
      </w:tr>
      <w:tr>
        <w:tblPrEx>
          <w:tblCellMar>
            <w:top w:w="0" w:type="dxa"/>
            <w:left w:w="108" w:type="dxa"/>
            <w:bottom w:w="0" w:type="dxa"/>
            <w:right w:w="108" w:type="dxa"/>
          </w:tblCellMar>
        </w:tblPrEx>
        <w:trPr>
          <w:trHeight w:val="295"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成本指标</w:t>
            </w: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：维修（护）费</w:t>
            </w:r>
          </w:p>
        </w:tc>
        <w:tc>
          <w:tcPr>
            <w:tcW w:w="0" w:type="auto"/>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10</w:t>
            </w:r>
          </w:p>
        </w:tc>
        <w:tc>
          <w:tcPr>
            <w:tcW w:w="2946"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10</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项目效果指标</w:t>
            </w: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经济效益</w:t>
            </w: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：严格成本控制，保证质量，提高使用率</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保障检察院工作高效运行，成本控制不得突破</w:t>
            </w:r>
            <w:r>
              <w:rPr>
                <w:rFonts w:ascii="宋体" w:hAnsi="宋体" w:cs="宋体"/>
                <w:color w:val="000000"/>
                <w:kern w:val="0"/>
                <w:sz w:val="18"/>
                <w:szCs w:val="18"/>
              </w:rPr>
              <w:t>10</w:t>
            </w:r>
            <w:r>
              <w:rPr>
                <w:rFonts w:hint="eastAsia" w:ascii="宋体" w:hAnsi="宋体" w:cs="宋体"/>
                <w:color w:val="000000"/>
                <w:kern w:val="0"/>
                <w:sz w:val="18"/>
                <w:szCs w:val="18"/>
              </w:rPr>
              <w:t>万元。</w:t>
            </w:r>
          </w:p>
        </w:tc>
        <w:tc>
          <w:tcPr>
            <w:tcW w:w="294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在保障检察院工作高效运行的情况下，本年成本为</w:t>
            </w:r>
            <w:r>
              <w:rPr>
                <w:rFonts w:ascii="宋体" w:hAnsi="宋体" w:cs="宋体"/>
                <w:color w:val="000000"/>
                <w:kern w:val="0"/>
                <w:sz w:val="18"/>
                <w:szCs w:val="18"/>
              </w:rPr>
              <w:t>10</w:t>
            </w:r>
            <w:r>
              <w:rPr>
                <w:rFonts w:hint="eastAsia" w:ascii="宋体" w:hAnsi="宋体" w:cs="宋体"/>
                <w:color w:val="000000"/>
                <w:kern w:val="0"/>
                <w:sz w:val="18"/>
                <w:szCs w:val="18"/>
              </w:rPr>
              <w:t>万元。</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社会效益</w:t>
            </w: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：推动相关工作顺利推进</w:t>
            </w:r>
          </w:p>
        </w:tc>
        <w:tc>
          <w:tcPr>
            <w:tcW w:w="0" w:type="auto"/>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及时发现问题，促进有关方面加强管理，建立健全相关制度。</w:t>
            </w:r>
          </w:p>
        </w:tc>
        <w:tc>
          <w:tcPr>
            <w:tcW w:w="294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项目管理进一步加强，相关制度得到完善。</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生态效益</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：坚持绿色发展理念</w:t>
            </w:r>
          </w:p>
        </w:tc>
        <w:tc>
          <w:tcPr>
            <w:tcW w:w="0" w:type="auto"/>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重点关注设备维修工作中涉及环保方面政策落实情况</w:t>
            </w:r>
          </w:p>
        </w:tc>
        <w:tc>
          <w:tcPr>
            <w:tcW w:w="2946"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严格落实环保政策</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可持续影响</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：促进相关政策落地落实</w:t>
            </w:r>
          </w:p>
        </w:tc>
        <w:tc>
          <w:tcPr>
            <w:tcW w:w="0" w:type="auto"/>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及时反馈相关信息，揭示问题，分析原因，提出建议</w:t>
            </w:r>
          </w:p>
        </w:tc>
        <w:tc>
          <w:tcPr>
            <w:tcW w:w="2946"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严格落实相关政策</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满意度</w:t>
            </w:r>
          </w:p>
        </w:tc>
        <w:tc>
          <w:tcPr>
            <w:tcW w:w="0" w:type="auto"/>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满意度指标</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：上级检察院满意度</w:t>
            </w:r>
          </w:p>
        </w:tc>
        <w:tc>
          <w:tcPr>
            <w:tcW w:w="0" w:type="auto"/>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96%</w:t>
            </w:r>
          </w:p>
        </w:tc>
        <w:tc>
          <w:tcPr>
            <w:tcW w:w="2946"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99%</w:t>
            </w:r>
          </w:p>
        </w:tc>
      </w:tr>
      <w:tr>
        <w:tblPrEx>
          <w:tblCellMar>
            <w:top w:w="0" w:type="dxa"/>
            <w:left w:w="108" w:type="dxa"/>
            <w:bottom w:w="0" w:type="dxa"/>
            <w:right w:w="108" w:type="dxa"/>
          </w:tblCellMar>
        </w:tblPrEx>
        <w:trPr>
          <w:trHeight w:val="312"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94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150" w:hRule="atLeast"/>
        </w:trPr>
        <w:tc>
          <w:tcPr>
            <w:tcW w:w="584"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：相关部门和单位及群众满意度</w:t>
            </w:r>
          </w:p>
        </w:tc>
        <w:tc>
          <w:tcPr>
            <w:tcW w:w="0" w:type="auto"/>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96%</w:t>
            </w:r>
          </w:p>
        </w:tc>
        <w:tc>
          <w:tcPr>
            <w:tcW w:w="2946"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99%</w:t>
            </w:r>
          </w:p>
        </w:tc>
      </w:tr>
    </w:tbl>
    <w:p>
      <w:pPr>
        <w:spacing w:line="580" w:lineRule="exact"/>
        <w:rPr>
          <w:rFonts w:ascii="仿宋_GB2312" w:hAnsi="仿宋_GB2312" w:eastAsia="仿宋_GB2312" w:cs="仿宋_GB2312"/>
          <w:sz w:val="32"/>
          <w:szCs w:val="32"/>
        </w:rPr>
      </w:pPr>
    </w:p>
    <w:tbl>
      <w:tblPr>
        <w:tblStyle w:val="19"/>
        <w:tblW w:w="9571" w:type="dxa"/>
        <w:tblInd w:w="-532" w:type="dxa"/>
        <w:tblLayout w:type="fixed"/>
        <w:tblCellMar>
          <w:top w:w="0" w:type="dxa"/>
          <w:left w:w="108" w:type="dxa"/>
          <w:bottom w:w="0" w:type="dxa"/>
          <w:right w:w="108" w:type="dxa"/>
        </w:tblCellMar>
      </w:tblPr>
      <w:tblGrid>
        <w:gridCol w:w="1231"/>
        <w:gridCol w:w="730"/>
        <w:gridCol w:w="664"/>
        <w:gridCol w:w="1724"/>
        <w:gridCol w:w="2570"/>
        <w:gridCol w:w="2652"/>
      </w:tblGrid>
      <w:tr>
        <w:tblPrEx>
          <w:tblCellMar>
            <w:top w:w="0" w:type="dxa"/>
            <w:left w:w="108" w:type="dxa"/>
            <w:bottom w:w="0" w:type="dxa"/>
            <w:right w:w="108" w:type="dxa"/>
          </w:tblCellMar>
        </w:tblPrEx>
        <w:trPr>
          <w:trHeight w:val="389" w:hRule="atLeast"/>
        </w:trPr>
        <w:tc>
          <w:tcPr>
            <w:tcW w:w="9570" w:type="dxa"/>
            <w:gridSpan w:val="6"/>
            <w:tcBorders>
              <w:top w:val="nil"/>
              <w:left w:val="nil"/>
              <w:bottom w:val="nil"/>
              <w:right w:val="nil"/>
            </w:tcBorders>
            <w:vAlign w:val="center"/>
          </w:tcPr>
          <w:p>
            <w:pPr>
              <w:widowControl/>
              <w:jc w:val="center"/>
              <w:rPr>
                <w:rFonts w:ascii="宋体" w:cs="宋体"/>
                <w:b/>
                <w:bCs/>
                <w:color w:val="000000"/>
                <w:kern w:val="0"/>
                <w:szCs w:val="21"/>
              </w:rPr>
            </w:pPr>
            <w:r>
              <w:rPr>
                <w:rFonts w:hint="eastAsia" w:ascii="宋体" w:hAnsi="宋体" w:cs="宋体"/>
                <w:b/>
                <w:bCs/>
                <w:color w:val="000000"/>
                <w:kern w:val="0"/>
                <w:szCs w:val="21"/>
              </w:rPr>
              <w:t>项目支出绩效目标完成表</w:t>
            </w:r>
          </w:p>
        </w:tc>
      </w:tr>
      <w:tr>
        <w:tblPrEx>
          <w:tblCellMar>
            <w:top w:w="0" w:type="dxa"/>
            <w:left w:w="108" w:type="dxa"/>
            <w:bottom w:w="0" w:type="dxa"/>
            <w:right w:w="108" w:type="dxa"/>
          </w:tblCellMar>
        </w:tblPrEx>
        <w:trPr>
          <w:trHeight w:val="389" w:hRule="atLeast"/>
        </w:trPr>
        <w:tc>
          <w:tcPr>
            <w:tcW w:w="9570" w:type="dxa"/>
            <w:gridSpan w:val="6"/>
            <w:tcBorders>
              <w:top w:val="nil"/>
              <w:left w:val="nil"/>
              <w:bottom w:val="nil"/>
              <w:right w:val="nil"/>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 xml:space="preserve">        2019  </w:t>
            </w:r>
            <w:r>
              <w:rPr>
                <w:rFonts w:hint="eastAsia" w:ascii="宋体" w:hAnsi="宋体" w:cs="宋体"/>
                <w:color w:val="000000"/>
                <w:kern w:val="0"/>
                <w:sz w:val="18"/>
                <w:szCs w:val="18"/>
              </w:rPr>
              <w:t>年度）</w:t>
            </w:r>
          </w:p>
        </w:tc>
      </w:tr>
      <w:tr>
        <w:tblPrEx>
          <w:tblCellMar>
            <w:top w:w="0" w:type="dxa"/>
            <w:left w:w="108" w:type="dxa"/>
            <w:bottom w:w="0" w:type="dxa"/>
            <w:right w:w="108" w:type="dxa"/>
          </w:tblCellMar>
        </w:tblPrEx>
        <w:trPr>
          <w:trHeight w:val="389" w:hRule="atLeast"/>
        </w:trPr>
        <w:tc>
          <w:tcPr>
            <w:tcW w:w="9570" w:type="dxa"/>
            <w:gridSpan w:val="6"/>
            <w:tcBorders>
              <w:top w:val="nil"/>
              <w:left w:val="nil"/>
              <w:bottom w:val="nil"/>
              <w:right w:val="nil"/>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注：项目支出包括部门预算支出和专项预支出</w:t>
            </w:r>
          </w:p>
        </w:tc>
      </w:tr>
      <w:tr>
        <w:tblPrEx>
          <w:tblCellMar>
            <w:top w:w="0" w:type="dxa"/>
            <w:left w:w="108" w:type="dxa"/>
            <w:bottom w:w="0" w:type="dxa"/>
            <w:right w:w="108" w:type="dxa"/>
          </w:tblCellMar>
        </w:tblPrEx>
        <w:trPr>
          <w:trHeight w:val="389" w:hRule="atLeast"/>
        </w:trPr>
        <w:tc>
          <w:tcPr>
            <w:tcW w:w="262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项目名称</w:t>
            </w:r>
          </w:p>
        </w:tc>
        <w:tc>
          <w:tcPr>
            <w:tcW w:w="6946"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派驻纪检机构工作经费</w:t>
            </w:r>
          </w:p>
        </w:tc>
      </w:tr>
      <w:tr>
        <w:tblPrEx>
          <w:tblCellMar>
            <w:top w:w="0" w:type="dxa"/>
            <w:left w:w="108" w:type="dxa"/>
            <w:bottom w:w="0" w:type="dxa"/>
            <w:right w:w="108" w:type="dxa"/>
          </w:tblCellMar>
        </w:tblPrEx>
        <w:trPr>
          <w:trHeight w:val="389" w:hRule="atLeast"/>
        </w:trPr>
        <w:tc>
          <w:tcPr>
            <w:tcW w:w="262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预算单位</w:t>
            </w:r>
          </w:p>
        </w:tc>
        <w:tc>
          <w:tcPr>
            <w:tcW w:w="6946"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渠县人民检察院</w:t>
            </w:r>
          </w:p>
        </w:tc>
      </w:tr>
      <w:tr>
        <w:tblPrEx>
          <w:tblCellMar>
            <w:top w:w="0" w:type="dxa"/>
            <w:left w:w="108" w:type="dxa"/>
            <w:bottom w:w="0" w:type="dxa"/>
            <w:right w:w="108" w:type="dxa"/>
          </w:tblCellMar>
        </w:tblPrEx>
        <w:trPr>
          <w:trHeight w:val="449" w:hRule="atLeast"/>
        </w:trPr>
        <w:tc>
          <w:tcPr>
            <w:tcW w:w="1231"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预算</w:t>
            </w:r>
            <w:r>
              <w:rPr>
                <w:rFonts w:ascii="宋体" w:cs="宋体"/>
                <w:color w:val="000000"/>
                <w:kern w:val="0"/>
                <w:sz w:val="18"/>
                <w:szCs w:val="18"/>
              </w:rPr>
              <w:br w:type="textWrapping"/>
            </w:r>
            <w:r>
              <w:rPr>
                <w:rFonts w:hint="eastAsia" w:ascii="宋体" w:hAnsi="宋体" w:cs="宋体"/>
                <w:color w:val="000000"/>
                <w:kern w:val="0"/>
                <w:sz w:val="18"/>
                <w:szCs w:val="18"/>
              </w:rPr>
              <w:t>执行</w:t>
            </w:r>
            <w:r>
              <w:rPr>
                <w:rFonts w:ascii="宋体" w:cs="宋体"/>
                <w:color w:val="000000"/>
                <w:kern w:val="0"/>
                <w:sz w:val="18"/>
                <w:szCs w:val="18"/>
              </w:rPr>
              <w:br w:type="textWrapping"/>
            </w:r>
            <w:r>
              <w:rPr>
                <w:rFonts w:hint="eastAsia" w:ascii="宋体" w:hAnsi="宋体" w:cs="宋体"/>
                <w:color w:val="000000"/>
                <w:kern w:val="0"/>
                <w:sz w:val="18"/>
                <w:szCs w:val="18"/>
              </w:rPr>
              <w:t>情况</w:t>
            </w:r>
            <w:r>
              <w:rPr>
                <w:rFonts w:ascii="宋体" w:cs="宋体"/>
                <w:color w:val="000000"/>
                <w:kern w:val="0"/>
                <w:sz w:val="18"/>
                <w:szCs w:val="18"/>
              </w:rPr>
              <w:br w:type="textWrapping"/>
            </w:r>
            <w:r>
              <w:rPr>
                <w:rFonts w:hint="eastAsia" w:ascii="宋体" w:hAnsi="宋体" w:cs="宋体"/>
                <w:color w:val="000000"/>
                <w:kern w:val="0"/>
                <w:sz w:val="18"/>
                <w:szCs w:val="18"/>
              </w:rPr>
              <w:t>（万元）</w:t>
            </w:r>
          </w:p>
        </w:tc>
        <w:tc>
          <w:tcPr>
            <w:tcW w:w="139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预算数：</w:t>
            </w:r>
          </w:p>
        </w:tc>
        <w:tc>
          <w:tcPr>
            <w:tcW w:w="1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w:t>
            </w:r>
          </w:p>
        </w:tc>
        <w:tc>
          <w:tcPr>
            <w:tcW w:w="2570"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执行数：</w:t>
            </w:r>
          </w:p>
        </w:tc>
        <w:tc>
          <w:tcPr>
            <w:tcW w:w="265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39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39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39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648" w:hRule="atLeast"/>
        </w:trPr>
        <w:tc>
          <w:tcPr>
            <w:tcW w:w="12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393"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其中：财政拨款</w:t>
            </w:r>
          </w:p>
        </w:tc>
        <w:tc>
          <w:tcPr>
            <w:tcW w:w="1724"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w:t>
            </w:r>
          </w:p>
        </w:tc>
        <w:tc>
          <w:tcPr>
            <w:tcW w:w="2570" w:type="dxa"/>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其中：财政拨款</w:t>
            </w:r>
          </w:p>
        </w:tc>
        <w:tc>
          <w:tcPr>
            <w:tcW w:w="265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w:t>
            </w:r>
          </w:p>
        </w:tc>
      </w:tr>
      <w:tr>
        <w:tblPrEx>
          <w:tblCellMar>
            <w:top w:w="0" w:type="dxa"/>
            <w:left w:w="108" w:type="dxa"/>
            <w:bottom w:w="0" w:type="dxa"/>
            <w:right w:w="108" w:type="dxa"/>
          </w:tblCellMar>
        </w:tblPrEx>
        <w:trPr>
          <w:trHeight w:val="153" w:hRule="atLeast"/>
        </w:trPr>
        <w:tc>
          <w:tcPr>
            <w:tcW w:w="12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393"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其他资金</w:t>
            </w:r>
          </w:p>
        </w:tc>
        <w:tc>
          <w:tcPr>
            <w:tcW w:w="1724"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　</w:t>
            </w:r>
          </w:p>
        </w:tc>
        <w:tc>
          <w:tcPr>
            <w:tcW w:w="2570" w:type="dxa"/>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其他资金</w:t>
            </w:r>
          </w:p>
        </w:tc>
        <w:tc>
          <w:tcPr>
            <w:tcW w:w="2652" w:type="dxa"/>
            <w:tcBorders>
              <w:top w:val="nil"/>
              <w:left w:val="nil"/>
              <w:bottom w:val="single" w:color="auto" w:sz="4" w:space="0"/>
              <w:right w:val="single" w:color="auto" w:sz="4" w:space="0"/>
            </w:tcBorders>
            <w:vAlign w:val="center"/>
          </w:tcPr>
          <w:p>
            <w:pPr>
              <w:widowControl/>
              <w:jc w:val="right"/>
              <w:rPr>
                <w:rFonts w:asci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389" w:hRule="atLeast"/>
        </w:trPr>
        <w:tc>
          <w:tcPr>
            <w:tcW w:w="1231"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年度</w:t>
            </w:r>
            <w:r>
              <w:rPr>
                <w:rFonts w:ascii="宋体" w:cs="宋体"/>
                <w:color w:val="000000"/>
                <w:kern w:val="0"/>
                <w:sz w:val="18"/>
                <w:szCs w:val="18"/>
              </w:rPr>
              <w:br w:type="textWrapping"/>
            </w:r>
            <w:r>
              <w:rPr>
                <w:rFonts w:hint="eastAsia" w:ascii="宋体" w:hAnsi="宋体" w:cs="宋体"/>
                <w:color w:val="000000"/>
                <w:kern w:val="0"/>
                <w:sz w:val="18"/>
                <w:szCs w:val="18"/>
              </w:rPr>
              <w:t>目标</w:t>
            </w:r>
            <w:r>
              <w:rPr>
                <w:rFonts w:ascii="宋体" w:cs="宋体"/>
                <w:color w:val="000000"/>
                <w:kern w:val="0"/>
                <w:sz w:val="18"/>
                <w:szCs w:val="18"/>
              </w:rPr>
              <w:br w:type="textWrapping"/>
            </w:r>
            <w:r>
              <w:rPr>
                <w:rFonts w:hint="eastAsia" w:ascii="宋体" w:hAnsi="宋体" w:cs="宋体"/>
                <w:color w:val="000000"/>
                <w:kern w:val="0"/>
                <w:sz w:val="18"/>
                <w:szCs w:val="18"/>
              </w:rPr>
              <w:t>完成</w:t>
            </w:r>
            <w:r>
              <w:rPr>
                <w:rFonts w:ascii="宋体" w:cs="宋体"/>
                <w:color w:val="000000"/>
                <w:kern w:val="0"/>
                <w:sz w:val="18"/>
                <w:szCs w:val="18"/>
              </w:rPr>
              <w:br w:type="textWrapping"/>
            </w:r>
            <w:r>
              <w:rPr>
                <w:rFonts w:hint="eastAsia" w:ascii="宋体" w:hAnsi="宋体" w:cs="宋体"/>
                <w:color w:val="000000"/>
                <w:kern w:val="0"/>
                <w:sz w:val="18"/>
                <w:szCs w:val="18"/>
              </w:rPr>
              <w:t>情况</w:t>
            </w:r>
          </w:p>
        </w:tc>
        <w:tc>
          <w:tcPr>
            <w:tcW w:w="3117"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预期目标</w:t>
            </w:r>
          </w:p>
        </w:tc>
        <w:tc>
          <w:tcPr>
            <w:tcW w:w="5222"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实际完成目标</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3117" w:type="dxa"/>
            <w:gridSpan w:val="3"/>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用于保障派驻纪检组工作正常开展。</w:t>
            </w:r>
          </w:p>
        </w:tc>
        <w:tc>
          <w:tcPr>
            <w:tcW w:w="5222"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派驻纪检组工作正常开展。</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3117"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522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color w:val="000000"/>
                <w:kern w:val="0"/>
                <w:sz w:val="18"/>
                <w:szCs w:val="18"/>
              </w:rPr>
            </w:pPr>
          </w:p>
        </w:tc>
        <w:tc>
          <w:tcPr>
            <w:tcW w:w="3117"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5222"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restart"/>
            <w:tcBorders>
              <w:top w:val="nil"/>
              <w:left w:val="single" w:color="auto" w:sz="4" w:space="0"/>
              <w:bottom w:val="nil"/>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年度</w:t>
            </w:r>
            <w:r>
              <w:rPr>
                <w:rFonts w:ascii="宋体" w:cs="宋体"/>
                <w:color w:val="000000"/>
                <w:kern w:val="0"/>
                <w:sz w:val="18"/>
                <w:szCs w:val="18"/>
              </w:rPr>
              <w:br w:type="textWrapping"/>
            </w:r>
            <w:r>
              <w:rPr>
                <w:rFonts w:hint="eastAsia" w:ascii="宋体" w:hAnsi="宋体" w:cs="宋体"/>
                <w:color w:val="000000"/>
                <w:kern w:val="0"/>
                <w:sz w:val="18"/>
                <w:szCs w:val="18"/>
              </w:rPr>
              <w:t>绩效</w:t>
            </w:r>
            <w:r>
              <w:rPr>
                <w:rFonts w:ascii="宋体" w:cs="宋体"/>
                <w:color w:val="000000"/>
                <w:kern w:val="0"/>
                <w:sz w:val="18"/>
                <w:szCs w:val="18"/>
              </w:rPr>
              <w:br w:type="textWrapping"/>
            </w:r>
            <w:r>
              <w:rPr>
                <w:rFonts w:hint="eastAsia" w:ascii="宋体" w:hAnsi="宋体" w:cs="宋体"/>
                <w:color w:val="000000"/>
                <w:kern w:val="0"/>
                <w:sz w:val="18"/>
                <w:szCs w:val="18"/>
              </w:rPr>
              <w:t>指标</w:t>
            </w:r>
            <w:r>
              <w:rPr>
                <w:rFonts w:ascii="宋体" w:cs="宋体"/>
                <w:color w:val="000000"/>
                <w:kern w:val="0"/>
                <w:sz w:val="18"/>
                <w:szCs w:val="18"/>
              </w:rPr>
              <w:br w:type="textWrapping"/>
            </w:r>
            <w:r>
              <w:rPr>
                <w:rFonts w:hint="eastAsia" w:ascii="宋体" w:hAnsi="宋体" w:cs="宋体"/>
                <w:color w:val="000000"/>
                <w:kern w:val="0"/>
                <w:sz w:val="18"/>
                <w:szCs w:val="18"/>
              </w:rPr>
              <w:t>完成</w:t>
            </w:r>
            <w:r>
              <w:rPr>
                <w:rFonts w:ascii="宋体" w:cs="宋体"/>
                <w:color w:val="000000"/>
                <w:kern w:val="0"/>
                <w:sz w:val="18"/>
                <w:szCs w:val="18"/>
              </w:rPr>
              <w:br w:type="textWrapping"/>
            </w:r>
            <w:r>
              <w:rPr>
                <w:rFonts w:hint="eastAsia" w:ascii="宋体" w:hAnsi="宋体" w:cs="宋体"/>
                <w:color w:val="000000"/>
                <w:kern w:val="0"/>
                <w:sz w:val="18"/>
                <w:szCs w:val="18"/>
              </w:rPr>
              <w:t>情况</w:t>
            </w:r>
          </w:p>
        </w:tc>
        <w:tc>
          <w:tcPr>
            <w:tcW w:w="73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一级指标</w:t>
            </w:r>
          </w:p>
        </w:tc>
        <w:tc>
          <w:tcPr>
            <w:tcW w:w="66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二级指标</w:t>
            </w:r>
          </w:p>
        </w:tc>
        <w:tc>
          <w:tcPr>
            <w:tcW w:w="1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三级指标</w:t>
            </w:r>
          </w:p>
        </w:tc>
        <w:tc>
          <w:tcPr>
            <w:tcW w:w="257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预期指标值（包含数字及文字描述）</w:t>
            </w:r>
          </w:p>
        </w:tc>
        <w:tc>
          <w:tcPr>
            <w:tcW w:w="265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实际完成指标值（包含数字及文字描述）</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10"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1582"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项目完成指标</w:t>
            </w:r>
          </w:p>
        </w:tc>
        <w:tc>
          <w:tcPr>
            <w:tcW w:w="664" w:type="dxa"/>
            <w:tcBorders>
              <w:top w:val="single" w:color="auto" w:sz="4" w:space="0"/>
              <w:left w:val="nil"/>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数量指标</w:t>
            </w:r>
          </w:p>
        </w:tc>
        <w:tc>
          <w:tcPr>
            <w:tcW w:w="1724" w:type="dxa"/>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：纪检机构</w:t>
            </w:r>
          </w:p>
        </w:tc>
        <w:tc>
          <w:tcPr>
            <w:tcW w:w="2570"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派驻纪检机构，常驻检察院</w:t>
            </w:r>
          </w:p>
        </w:tc>
        <w:tc>
          <w:tcPr>
            <w:tcW w:w="2652"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顺利完成纪检工作，经费支出</w:t>
            </w:r>
            <w:r>
              <w:rPr>
                <w:rFonts w:ascii="宋体" w:hAnsi="宋体" w:cs="宋体"/>
                <w:color w:val="000000"/>
                <w:kern w:val="0"/>
                <w:sz w:val="18"/>
                <w:szCs w:val="18"/>
              </w:rPr>
              <w:t>20</w:t>
            </w:r>
            <w:r>
              <w:rPr>
                <w:rFonts w:hint="eastAsia" w:ascii="宋体" w:hAnsi="宋体" w:cs="宋体"/>
                <w:color w:val="000000"/>
                <w:kern w:val="0"/>
                <w:sz w:val="18"/>
                <w:szCs w:val="18"/>
              </w:rPr>
              <w:t>万元。</w:t>
            </w:r>
          </w:p>
        </w:tc>
      </w:tr>
      <w:tr>
        <w:tblPrEx>
          <w:tblCellMar>
            <w:top w:w="0" w:type="dxa"/>
            <w:left w:w="108" w:type="dxa"/>
            <w:bottom w:w="0" w:type="dxa"/>
            <w:right w:w="108" w:type="dxa"/>
          </w:tblCellMar>
        </w:tblPrEx>
        <w:trPr>
          <w:trHeight w:val="974"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tcBorders>
              <w:top w:val="single" w:color="auto" w:sz="4" w:space="0"/>
              <w:left w:val="nil"/>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质量指标</w:t>
            </w:r>
          </w:p>
        </w:tc>
        <w:tc>
          <w:tcPr>
            <w:tcW w:w="1724" w:type="dxa"/>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w:t>
            </w:r>
            <w:r>
              <w:rPr>
                <w:rFonts w:ascii="宋体" w:hAnsi="宋体" w:cs="宋体"/>
                <w:color w:val="000000"/>
                <w:kern w:val="0"/>
                <w:sz w:val="18"/>
                <w:szCs w:val="18"/>
              </w:rPr>
              <w:t xml:space="preserve"> </w:t>
            </w:r>
            <w:r>
              <w:rPr>
                <w:rFonts w:hint="eastAsia" w:ascii="宋体" w:hAnsi="宋体" w:cs="宋体"/>
                <w:color w:val="000000"/>
                <w:kern w:val="0"/>
                <w:sz w:val="18"/>
                <w:szCs w:val="18"/>
              </w:rPr>
              <w:t>按照编制的工作方案实施</w:t>
            </w:r>
          </w:p>
        </w:tc>
        <w:tc>
          <w:tcPr>
            <w:tcW w:w="2570"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完成纪检相关工作</w:t>
            </w:r>
          </w:p>
        </w:tc>
        <w:tc>
          <w:tcPr>
            <w:tcW w:w="2652"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严格按照编制的工作方案实施。</w:t>
            </w:r>
          </w:p>
        </w:tc>
      </w:tr>
      <w:tr>
        <w:tblPrEx>
          <w:tblCellMar>
            <w:top w:w="0" w:type="dxa"/>
            <w:left w:w="108" w:type="dxa"/>
            <w:bottom w:w="0" w:type="dxa"/>
            <w:right w:w="108" w:type="dxa"/>
          </w:tblCellMar>
        </w:tblPrEx>
        <w:trPr>
          <w:trHeight w:val="335"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tcBorders>
              <w:top w:val="single" w:color="auto" w:sz="4" w:space="0"/>
              <w:left w:val="nil"/>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时效指标</w:t>
            </w:r>
          </w:p>
        </w:tc>
        <w:tc>
          <w:tcPr>
            <w:tcW w:w="1724" w:type="dxa"/>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：按照相关规定时间完成目标任务</w:t>
            </w:r>
          </w:p>
        </w:tc>
        <w:tc>
          <w:tcPr>
            <w:tcW w:w="2570"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按时完成规定的工作事项</w:t>
            </w:r>
          </w:p>
        </w:tc>
        <w:tc>
          <w:tcPr>
            <w:tcW w:w="2652"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规定的工作事项按时完成。</w:t>
            </w:r>
          </w:p>
        </w:tc>
      </w:tr>
      <w:tr>
        <w:tblPrEx>
          <w:tblCellMar>
            <w:top w:w="0" w:type="dxa"/>
            <w:left w:w="108" w:type="dxa"/>
            <w:bottom w:w="0" w:type="dxa"/>
            <w:right w:w="108" w:type="dxa"/>
          </w:tblCellMar>
        </w:tblPrEx>
        <w:trPr>
          <w:trHeight w:val="38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tcBorders>
              <w:top w:val="single" w:color="auto" w:sz="4" w:space="0"/>
              <w:left w:val="nil"/>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成本指标</w:t>
            </w:r>
          </w:p>
        </w:tc>
        <w:tc>
          <w:tcPr>
            <w:tcW w:w="1724" w:type="dxa"/>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：办公费</w:t>
            </w:r>
          </w:p>
        </w:tc>
        <w:tc>
          <w:tcPr>
            <w:tcW w:w="2570"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20</w:t>
            </w:r>
            <w:r>
              <w:rPr>
                <w:rFonts w:hint="eastAsia" w:ascii="宋体" w:hAnsi="宋体" w:cs="宋体"/>
                <w:color w:val="000000"/>
                <w:kern w:val="0"/>
                <w:sz w:val="18"/>
                <w:szCs w:val="18"/>
              </w:rPr>
              <w:t>万</w:t>
            </w:r>
          </w:p>
        </w:tc>
        <w:tc>
          <w:tcPr>
            <w:tcW w:w="2652"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20</w:t>
            </w:r>
            <w:r>
              <w:rPr>
                <w:rFonts w:hint="eastAsia" w:ascii="宋体" w:hAnsi="宋体" w:cs="宋体"/>
                <w:color w:val="000000"/>
                <w:kern w:val="0"/>
                <w:sz w:val="18"/>
                <w:szCs w:val="18"/>
              </w:rPr>
              <w:t>万</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项目效果指标</w:t>
            </w:r>
          </w:p>
        </w:tc>
        <w:tc>
          <w:tcPr>
            <w:tcW w:w="664"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经济效益</w:t>
            </w:r>
          </w:p>
        </w:tc>
        <w:tc>
          <w:tcPr>
            <w:tcW w:w="172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：严格成本控制，提高诉非调解效益</w:t>
            </w:r>
          </w:p>
        </w:tc>
        <w:tc>
          <w:tcPr>
            <w:tcW w:w="2570"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保障纪检机构高效运行，成本控制不得突破</w:t>
            </w:r>
            <w:r>
              <w:rPr>
                <w:rFonts w:ascii="宋体" w:hAnsi="宋体" w:cs="宋体"/>
                <w:color w:val="000000"/>
                <w:kern w:val="0"/>
                <w:sz w:val="18"/>
                <w:szCs w:val="18"/>
              </w:rPr>
              <w:t>20</w:t>
            </w:r>
            <w:r>
              <w:rPr>
                <w:rFonts w:hint="eastAsia" w:ascii="宋体" w:hAnsi="宋体" w:cs="宋体"/>
                <w:color w:val="000000"/>
                <w:kern w:val="0"/>
                <w:sz w:val="18"/>
                <w:szCs w:val="18"/>
              </w:rPr>
              <w:t>万元。</w:t>
            </w:r>
          </w:p>
        </w:tc>
        <w:tc>
          <w:tcPr>
            <w:tcW w:w="2652"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在保障纪检机构高效运行的情况下，本年成本为</w:t>
            </w:r>
            <w:r>
              <w:rPr>
                <w:rFonts w:ascii="宋体" w:hAnsi="宋体" w:cs="宋体"/>
                <w:color w:val="000000"/>
                <w:kern w:val="0"/>
                <w:sz w:val="18"/>
                <w:szCs w:val="18"/>
              </w:rPr>
              <w:t>20</w:t>
            </w:r>
            <w:r>
              <w:rPr>
                <w:rFonts w:hint="eastAsia" w:ascii="宋体" w:hAnsi="宋体" w:cs="宋体"/>
                <w:color w:val="000000"/>
                <w:kern w:val="0"/>
                <w:sz w:val="18"/>
                <w:szCs w:val="18"/>
              </w:rPr>
              <w:t>万元。</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社会效益</w:t>
            </w:r>
          </w:p>
        </w:tc>
        <w:tc>
          <w:tcPr>
            <w:tcW w:w="172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：推动相关工作顺利推进</w:t>
            </w:r>
          </w:p>
        </w:tc>
        <w:tc>
          <w:tcPr>
            <w:tcW w:w="2570"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及时发现问题，促进有关方面加强管理，建立健全相关制度。</w:t>
            </w:r>
          </w:p>
        </w:tc>
        <w:tc>
          <w:tcPr>
            <w:tcW w:w="2652"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项目管理进一步加强，相关制度得到完善。</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生态效益</w:t>
            </w:r>
          </w:p>
        </w:tc>
        <w:tc>
          <w:tcPr>
            <w:tcW w:w="172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：坚持绿色发展理念</w:t>
            </w:r>
          </w:p>
        </w:tc>
        <w:tc>
          <w:tcPr>
            <w:tcW w:w="2570"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重点关注是否有效保障纪检机构开展工作</w:t>
            </w:r>
          </w:p>
        </w:tc>
        <w:tc>
          <w:tcPr>
            <w:tcW w:w="2652"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有效保障了派驻纪检机构的工作顺利开展。</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可持续影响</w:t>
            </w:r>
          </w:p>
        </w:tc>
        <w:tc>
          <w:tcPr>
            <w:tcW w:w="172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：促进相关政策落地落实</w:t>
            </w:r>
          </w:p>
        </w:tc>
        <w:tc>
          <w:tcPr>
            <w:tcW w:w="2570"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通过派驻纪检机构，及时反馈相关信息，揭示问题，分析原因，提出建议</w:t>
            </w:r>
          </w:p>
        </w:tc>
        <w:tc>
          <w:tcPr>
            <w:tcW w:w="2652"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hint="eastAsia" w:ascii="宋体" w:hAnsi="宋体" w:cs="宋体"/>
                <w:color w:val="000000"/>
                <w:kern w:val="0"/>
                <w:sz w:val="18"/>
                <w:szCs w:val="18"/>
              </w:rPr>
              <w:t>严格落实相关政策</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restart"/>
            <w:tcBorders>
              <w:top w:val="single" w:color="auto" w:sz="4" w:space="0"/>
              <w:left w:val="single" w:color="auto" w:sz="4" w:space="0"/>
              <w:bottom w:val="nil"/>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满意度</w:t>
            </w:r>
          </w:p>
        </w:tc>
        <w:tc>
          <w:tcPr>
            <w:tcW w:w="664"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满意度指标</w:t>
            </w:r>
          </w:p>
        </w:tc>
        <w:tc>
          <w:tcPr>
            <w:tcW w:w="172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1</w:t>
            </w:r>
            <w:r>
              <w:rPr>
                <w:rFonts w:hint="eastAsia" w:ascii="宋体" w:hAnsi="宋体" w:cs="宋体"/>
                <w:color w:val="000000"/>
                <w:kern w:val="0"/>
                <w:sz w:val="18"/>
                <w:szCs w:val="18"/>
              </w:rPr>
              <w:t>：上级检察院满意度</w:t>
            </w:r>
          </w:p>
        </w:tc>
        <w:tc>
          <w:tcPr>
            <w:tcW w:w="257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96%</w:t>
            </w:r>
          </w:p>
        </w:tc>
        <w:tc>
          <w:tcPr>
            <w:tcW w:w="2652" w:type="dxa"/>
            <w:vMerge w:val="restart"/>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99%</w:t>
            </w:r>
          </w:p>
        </w:tc>
      </w:tr>
      <w:tr>
        <w:tblPrEx>
          <w:tblCellMar>
            <w:top w:w="0" w:type="dxa"/>
            <w:left w:w="108" w:type="dxa"/>
            <w:bottom w:w="0" w:type="dxa"/>
            <w:right w:w="108" w:type="dxa"/>
          </w:tblCellMar>
        </w:tblPrEx>
        <w:trPr>
          <w:trHeight w:val="44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1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57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c>
          <w:tcPr>
            <w:tcW w:w="26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18"/>
                <w:szCs w:val="18"/>
              </w:rPr>
            </w:pPr>
          </w:p>
        </w:tc>
      </w:tr>
      <w:tr>
        <w:tblPrEx>
          <w:tblCellMar>
            <w:top w:w="0" w:type="dxa"/>
            <w:left w:w="108" w:type="dxa"/>
            <w:bottom w:w="0" w:type="dxa"/>
            <w:right w:w="108" w:type="dxa"/>
          </w:tblCellMar>
        </w:tblPrEx>
        <w:trPr>
          <w:trHeight w:val="389" w:hRule="atLeast"/>
        </w:trPr>
        <w:tc>
          <w:tcPr>
            <w:tcW w:w="1231" w:type="dxa"/>
            <w:vMerge w:val="continue"/>
            <w:tcBorders>
              <w:top w:val="nil"/>
              <w:left w:val="single" w:color="auto" w:sz="4" w:space="0"/>
              <w:bottom w:val="nil"/>
              <w:right w:val="single" w:color="auto" w:sz="4" w:space="0"/>
            </w:tcBorders>
            <w:vAlign w:val="center"/>
          </w:tcPr>
          <w:p>
            <w:pPr>
              <w:widowControl/>
              <w:jc w:val="left"/>
              <w:rPr>
                <w:rFonts w:ascii="宋体" w:cs="宋体"/>
                <w:color w:val="000000"/>
                <w:kern w:val="0"/>
                <w:sz w:val="18"/>
                <w:szCs w:val="18"/>
              </w:rPr>
            </w:pPr>
          </w:p>
        </w:tc>
        <w:tc>
          <w:tcPr>
            <w:tcW w:w="730"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color w:val="000000"/>
                <w:kern w:val="0"/>
                <w:sz w:val="18"/>
                <w:szCs w:val="18"/>
              </w:rPr>
            </w:pPr>
          </w:p>
        </w:tc>
        <w:tc>
          <w:tcPr>
            <w:tcW w:w="66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cs="宋体"/>
                <w:color w:val="000000"/>
                <w:kern w:val="0"/>
                <w:sz w:val="18"/>
                <w:szCs w:val="18"/>
              </w:rPr>
            </w:pPr>
          </w:p>
        </w:tc>
        <w:tc>
          <w:tcPr>
            <w:tcW w:w="1724" w:type="dxa"/>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 xml:space="preserve"> </w:t>
            </w:r>
            <w:r>
              <w:rPr>
                <w:rFonts w:hint="eastAsia" w:ascii="宋体" w:hAnsi="宋体" w:cs="宋体"/>
                <w:color w:val="000000"/>
                <w:kern w:val="0"/>
                <w:sz w:val="18"/>
                <w:szCs w:val="18"/>
              </w:rPr>
              <w:t>指标</w:t>
            </w:r>
            <w:r>
              <w:rPr>
                <w:rFonts w:ascii="宋体" w:hAnsi="宋体" w:cs="宋体"/>
                <w:color w:val="000000"/>
                <w:kern w:val="0"/>
                <w:sz w:val="18"/>
                <w:szCs w:val="18"/>
              </w:rPr>
              <w:t>2</w:t>
            </w:r>
            <w:r>
              <w:rPr>
                <w:rFonts w:hint="eastAsia" w:ascii="宋体" w:hAnsi="宋体" w:cs="宋体"/>
                <w:color w:val="000000"/>
                <w:kern w:val="0"/>
                <w:sz w:val="18"/>
                <w:szCs w:val="18"/>
              </w:rPr>
              <w:t>：相关部门和单位及群众满意度</w:t>
            </w:r>
          </w:p>
        </w:tc>
        <w:tc>
          <w:tcPr>
            <w:tcW w:w="257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96%</w:t>
            </w:r>
          </w:p>
        </w:tc>
        <w:tc>
          <w:tcPr>
            <w:tcW w:w="2652" w:type="dxa"/>
            <w:tcBorders>
              <w:top w:val="nil"/>
              <w:left w:val="nil"/>
              <w:bottom w:val="single" w:color="auto" w:sz="4" w:space="0"/>
              <w:right w:val="single" w:color="auto" w:sz="4" w:space="0"/>
            </w:tcBorders>
            <w:vAlign w:val="center"/>
          </w:tcPr>
          <w:p>
            <w:pPr>
              <w:widowControl/>
              <w:jc w:val="left"/>
              <w:rPr>
                <w:rFonts w:ascii="宋体" w:cs="宋体"/>
                <w:color w:val="000000"/>
                <w:kern w:val="0"/>
                <w:sz w:val="18"/>
                <w:szCs w:val="18"/>
              </w:rPr>
            </w:pPr>
            <w:r>
              <w:rPr>
                <w:rFonts w:ascii="宋体" w:hAnsi="宋体" w:cs="宋体"/>
                <w:color w:val="000000"/>
                <w:kern w:val="0"/>
                <w:sz w:val="18"/>
                <w:szCs w:val="18"/>
              </w:rPr>
              <w:t>99%</w:t>
            </w:r>
          </w:p>
        </w:tc>
      </w:tr>
    </w:tbl>
    <w:p>
      <w:pPr>
        <w:spacing w:line="580" w:lineRule="exact"/>
        <w:ind w:left="630"/>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ind w:left="630"/>
        <w:rPr>
          <w:rFonts w:ascii="仿宋" w:hAnsi="仿宋" w:eastAsia="仿宋" w:cs="仿宋_GB2312"/>
          <w:sz w:val="32"/>
          <w:szCs w:val="32"/>
        </w:rPr>
      </w:pPr>
      <w:r>
        <w:rPr>
          <w:rFonts w:ascii="仿宋" w:hAnsi="仿宋" w:eastAsia="仿宋" w:cs="楷体_GB2312"/>
          <w:sz w:val="32"/>
          <w:szCs w:val="32"/>
        </w:rPr>
        <w:t>2.</w:t>
      </w:r>
      <w:r>
        <w:rPr>
          <w:rFonts w:hint="eastAsia" w:ascii="仿宋" w:hAnsi="仿宋" w:eastAsia="仿宋" w:cs="楷体_GB2312"/>
          <w:sz w:val="32"/>
          <w:szCs w:val="32"/>
        </w:rPr>
        <w:t>部门绩效评价结果。</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本部门按要求对</w:t>
      </w:r>
      <w:r>
        <w:rPr>
          <w:rFonts w:ascii="仿宋" w:hAnsi="仿宋" w:eastAsia="仿宋" w:cs="仿宋_GB2312"/>
          <w:sz w:val="32"/>
          <w:szCs w:val="32"/>
        </w:rPr>
        <w:t>2019</w:t>
      </w:r>
      <w:r>
        <w:rPr>
          <w:rFonts w:hint="eastAsia" w:ascii="仿宋" w:hAnsi="仿宋" w:eastAsia="仿宋" w:cs="仿宋_GB2312"/>
          <w:sz w:val="32"/>
          <w:szCs w:val="32"/>
        </w:rPr>
        <w:t>年部门整体支出绩效评价情况开展自评，《渠县人民检察院</w:t>
      </w:r>
      <w:r>
        <w:rPr>
          <w:rFonts w:ascii="仿宋" w:hAnsi="仿宋" w:eastAsia="仿宋" w:cs="仿宋_GB2312"/>
          <w:sz w:val="32"/>
          <w:szCs w:val="32"/>
        </w:rPr>
        <w:t>2019</w:t>
      </w:r>
      <w:r>
        <w:rPr>
          <w:rFonts w:hint="eastAsia" w:ascii="仿宋" w:hAnsi="仿宋" w:eastAsia="仿宋" w:cs="仿宋_GB2312"/>
          <w:sz w:val="32"/>
          <w:szCs w:val="32"/>
        </w:rPr>
        <w:t>年部门整体支出绩效评价报告》见附件。</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本部门自行组织对司法警察法定工作日之外加班补贴、司法警察值勤岗位津贴、专用设备维修（护）费、派驻纪检机构工作经费</w:t>
      </w:r>
      <w:r>
        <w:rPr>
          <w:rFonts w:ascii="仿宋" w:hAnsi="仿宋" w:eastAsia="仿宋" w:cs="仿宋_GB2312"/>
          <w:sz w:val="32"/>
          <w:szCs w:val="32"/>
        </w:rPr>
        <w:t>4</w:t>
      </w:r>
      <w:r>
        <w:rPr>
          <w:rFonts w:hint="eastAsia" w:ascii="仿宋" w:hAnsi="仿宋" w:eastAsia="仿宋" w:cs="仿宋_GB2312"/>
          <w:sz w:val="32"/>
          <w:szCs w:val="32"/>
        </w:rPr>
        <w:t>个项目开展了绩效评价，《渠县人民检察院</w:t>
      </w:r>
      <w:r>
        <w:rPr>
          <w:rFonts w:ascii="仿宋" w:hAnsi="仿宋" w:eastAsia="仿宋" w:cs="仿宋_GB2312"/>
          <w:sz w:val="32"/>
          <w:szCs w:val="32"/>
        </w:rPr>
        <w:t>2019</w:t>
      </w:r>
      <w:r>
        <w:rPr>
          <w:rFonts w:hint="eastAsia" w:ascii="仿宋" w:hAnsi="仿宋" w:eastAsia="仿宋" w:cs="仿宋_GB2312"/>
          <w:sz w:val="32"/>
          <w:szCs w:val="32"/>
        </w:rPr>
        <w:t>年项目支出绩效评价报告》见附件。</w:t>
      </w:r>
    </w:p>
    <w:p>
      <w:pPr>
        <w:spacing w:line="580" w:lineRule="exact"/>
        <w:ind w:firstLine="643" w:firstLineChars="200"/>
        <w:rPr>
          <w:rFonts w:ascii="仿宋_GB2312" w:eastAsia="仿宋_GB2312"/>
          <w:b/>
          <w:color w:val="000000"/>
          <w:sz w:val="32"/>
          <w:szCs w:val="32"/>
        </w:rPr>
      </w:pP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pStyle w:val="2"/>
        <w:jc w:val="center"/>
        <w:rPr>
          <w:rFonts w:ascii="黑体" w:hAnsi="黑体" w:eastAsia="黑体"/>
        </w:rPr>
      </w:pPr>
      <w:bookmarkStart w:id="110" w:name="_Toc15396613"/>
      <w:bookmarkStart w:id="111" w:name="_Toc50622831"/>
      <w:bookmarkStart w:id="112" w:name="_Toc50621939"/>
      <w:bookmarkStart w:id="113" w:name="_Toc15377225"/>
      <w:r>
        <w:rPr>
          <w:rFonts w:hint="eastAsia" w:ascii="黑体" w:hAnsi="黑体" w:eastAsia="黑体"/>
        </w:rPr>
        <w:t>第三部分</w:t>
      </w:r>
      <w:r>
        <w:rPr>
          <w:rFonts w:ascii="黑体" w:hAnsi="黑体" w:eastAsia="黑体"/>
        </w:rPr>
        <w:t xml:space="preserve"> </w:t>
      </w:r>
      <w:r>
        <w:rPr>
          <w:rFonts w:hint="eastAsia" w:ascii="黑体" w:hAnsi="黑体" w:eastAsia="黑体"/>
        </w:rPr>
        <w:t>名词解释</w:t>
      </w:r>
      <w:bookmarkEnd w:id="110"/>
      <w:bookmarkEnd w:id="111"/>
      <w:bookmarkEnd w:id="112"/>
      <w:bookmarkEnd w:id="113"/>
    </w:p>
    <w:p>
      <w:pPr>
        <w:spacing w:line="600" w:lineRule="exact"/>
        <w:jc w:val="left"/>
        <w:rPr>
          <w:rFonts w:ascii="宋体"/>
          <w:b/>
          <w:color w:val="000000"/>
          <w:sz w:val="44"/>
          <w:szCs w:val="44"/>
        </w:rPr>
      </w:pPr>
    </w:p>
    <w:p>
      <w:pPr>
        <w:pStyle w:val="33"/>
        <w:spacing w:line="560" w:lineRule="exact"/>
        <w:ind w:firstLine="640" w:firstLineChars="200"/>
        <w:rPr>
          <w:rFonts w:hAnsi="仿宋"/>
          <w:sz w:val="32"/>
          <w:szCs w:val="32"/>
        </w:rPr>
      </w:pPr>
      <w:r>
        <w:rPr>
          <w:rFonts w:hAnsi="仿宋"/>
          <w:sz w:val="32"/>
          <w:szCs w:val="32"/>
        </w:rPr>
        <w:t>1.</w:t>
      </w:r>
      <w:r>
        <w:rPr>
          <w:rFonts w:hint="eastAsia" w:hAnsi="仿宋"/>
          <w:sz w:val="32"/>
          <w:szCs w:val="32"/>
        </w:rPr>
        <w:t>财政拨款收入：指单位从同级财政部门取得的财政预算资金。</w:t>
      </w:r>
    </w:p>
    <w:p>
      <w:pPr>
        <w:pStyle w:val="33"/>
        <w:spacing w:line="560" w:lineRule="exact"/>
        <w:ind w:firstLine="640" w:firstLineChars="200"/>
        <w:rPr>
          <w:rFonts w:hAnsi="仿宋"/>
          <w:sz w:val="32"/>
          <w:szCs w:val="32"/>
        </w:rPr>
      </w:pPr>
      <w:r>
        <w:rPr>
          <w:rFonts w:hAnsi="仿宋"/>
          <w:sz w:val="32"/>
          <w:szCs w:val="32"/>
        </w:rPr>
        <w:t>2.</w:t>
      </w:r>
      <w:r>
        <w:rPr>
          <w:rFonts w:hint="eastAsia" w:hAnsi="仿宋"/>
          <w:sz w:val="32"/>
          <w:szCs w:val="32"/>
        </w:rPr>
        <w:t>事业收入：指事业单位开展专业业务活动及辅助活动取得的收入。</w:t>
      </w:r>
    </w:p>
    <w:p>
      <w:pPr>
        <w:pStyle w:val="33"/>
        <w:spacing w:line="560" w:lineRule="exact"/>
        <w:ind w:firstLine="640" w:firstLineChars="200"/>
        <w:rPr>
          <w:rFonts w:hAnsi="仿宋"/>
          <w:sz w:val="32"/>
          <w:szCs w:val="32"/>
        </w:rPr>
      </w:pPr>
      <w:r>
        <w:rPr>
          <w:rFonts w:hAnsi="仿宋"/>
          <w:sz w:val="32"/>
          <w:szCs w:val="32"/>
        </w:rPr>
        <w:t>3.</w:t>
      </w:r>
      <w:r>
        <w:rPr>
          <w:rFonts w:hint="eastAsia" w:hAnsi="仿宋"/>
          <w:sz w:val="32"/>
          <w:szCs w:val="32"/>
        </w:rPr>
        <w:t>经营收入：指事业单位在专业业务活动及其辅助活动之外开展非独立核算经营活动取得的收入。</w:t>
      </w:r>
    </w:p>
    <w:p>
      <w:pPr>
        <w:pStyle w:val="33"/>
        <w:spacing w:line="560" w:lineRule="exact"/>
        <w:ind w:firstLine="640" w:firstLineChars="200"/>
        <w:rPr>
          <w:rFonts w:hAnsi="仿宋"/>
          <w:sz w:val="32"/>
          <w:szCs w:val="32"/>
        </w:rPr>
      </w:pPr>
      <w:r>
        <w:rPr>
          <w:rFonts w:hAnsi="仿宋"/>
          <w:sz w:val="32"/>
          <w:szCs w:val="32"/>
        </w:rPr>
        <w:t>4.</w:t>
      </w:r>
      <w:r>
        <w:rPr>
          <w:rFonts w:hint="eastAsia" w:hAnsi="仿宋"/>
          <w:sz w:val="32"/>
          <w:szCs w:val="32"/>
        </w:rPr>
        <w:t>其他收入：指单位取得的除上述收入以外的各项收入。</w:t>
      </w:r>
    </w:p>
    <w:p>
      <w:pPr>
        <w:pStyle w:val="33"/>
        <w:spacing w:line="560" w:lineRule="exact"/>
        <w:ind w:firstLine="640" w:firstLineChars="200"/>
        <w:rPr>
          <w:rFonts w:hAnsi="仿宋"/>
          <w:sz w:val="32"/>
          <w:szCs w:val="32"/>
        </w:rPr>
      </w:pPr>
      <w:r>
        <w:rPr>
          <w:rFonts w:hAnsi="仿宋"/>
          <w:sz w:val="32"/>
          <w:szCs w:val="32"/>
        </w:rPr>
        <w:t>5.</w:t>
      </w:r>
      <w:r>
        <w:rPr>
          <w:rFonts w:hint="eastAsia" w:hAnsi="仿宋"/>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3"/>
        <w:spacing w:line="560" w:lineRule="exact"/>
        <w:ind w:firstLine="640" w:firstLineChars="200"/>
        <w:rPr>
          <w:rFonts w:hAnsi="仿宋"/>
          <w:sz w:val="32"/>
          <w:szCs w:val="32"/>
        </w:rPr>
      </w:pPr>
      <w:r>
        <w:rPr>
          <w:rFonts w:hAnsi="仿宋"/>
          <w:sz w:val="32"/>
          <w:szCs w:val="32"/>
        </w:rPr>
        <w:t>6.</w:t>
      </w:r>
      <w:r>
        <w:rPr>
          <w:rFonts w:hint="eastAsia" w:hAnsi="仿宋"/>
          <w:sz w:val="32"/>
          <w:szCs w:val="32"/>
        </w:rPr>
        <w:t>年初结转和结余：指以前年度尚未完成、结转到本年按有关规定继续使用的资金。</w:t>
      </w:r>
    </w:p>
    <w:p>
      <w:pPr>
        <w:pStyle w:val="33"/>
        <w:spacing w:line="560" w:lineRule="exact"/>
        <w:ind w:firstLine="640" w:firstLineChars="200"/>
        <w:rPr>
          <w:rFonts w:hAnsi="仿宋"/>
          <w:sz w:val="32"/>
          <w:szCs w:val="32"/>
        </w:rPr>
      </w:pPr>
      <w:r>
        <w:rPr>
          <w:rFonts w:hAnsi="仿宋"/>
          <w:sz w:val="32"/>
          <w:szCs w:val="32"/>
        </w:rPr>
        <w:t>7.</w:t>
      </w:r>
      <w:r>
        <w:rPr>
          <w:rFonts w:hint="eastAsia" w:hAnsi="仿宋"/>
          <w:sz w:val="32"/>
          <w:szCs w:val="32"/>
        </w:rPr>
        <w:t>结余分配：指事业单位按照事业单位会计制度的规定从非财政补助结余中分配的事业基金和职工福利基金等。</w:t>
      </w:r>
    </w:p>
    <w:p>
      <w:pPr>
        <w:pStyle w:val="33"/>
        <w:spacing w:line="560" w:lineRule="exact"/>
        <w:ind w:firstLine="640" w:firstLineChars="200"/>
        <w:rPr>
          <w:rFonts w:hAnsi="仿宋"/>
          <w:sz w:val="32"/>
          <w:szCs w:val="32"/>
        </w:rPr>
      </w:pPr>
      <w:r>
        <w:rPr>
          <w:rFonts w:hAnsi="仿宋"/>
          <w:sz w:val="32"/>
          <w:szCs w:val="32"/>
        </w:rPr>
        <w:t>8</w:t>
      </w:r>
      <w:r>
        <w:rPr>
          <w:rFonts w:hint="eastAsia" w:hAnsi="仿宋"/>
          <w:sz w:val="32"/>
          <w:szCs w:val="32"/>
        </w:rPr>
        <w:t>、年末结转和结余：指单位按有关规定结转到下年或以后年度继续使用的资金。</w:t>
      </w:r>
    </w:p>
    <w:p>
      <w:pPr>
        <w:ind w:firstLine="640" w:firstLineChars="200"/>
        <w:rPr>
          <w:rFonts w:ascii="仿宋" w:hAnsi="仿宋" w:eastAsia="仿宋"/>
          <w:color w:val="000000"/>
          <w:sz w:val="32"/>
          <w:szCs w:val="32"/>
        </w:rPr>
      </w:pPr>
      <w:r>
        <w:rPr>
          <w:rFonts w:ascii="仿宋" w:hAnsi="仿宋" w:eastAsia="仿宋"/>
          <w:color w:val="000000"/>
          <w:sz w:val="32"/>
          <w:szCs w:val="32"/>
        </w:rPr>
        <w:t>9.</w:t>
      </w:r>
      <w:r>
        <w:rPr>
          <w:rFonts w:hint="eastAsia" w:ascii="仿宋" w:hAnsi="仿宋" w:eastAsia="仿宋"/>
          <w:color w:val="000000"/>
          <w:sz w:val="32"/>
          <w:szCs w:val="32"/>
        </w:rPr>
        <w:t>公共安全（类）检察（款）行政运行（项）：指反映行政单位的基本支出。</w:t>
      </w:r>
    </w:p>
    <w:p>
      <w:pPr>
        <w:ind w:firstLine="640" w:firstLineChars="200"/>
        <w:rPr>
          <w:rFonts w:ascii="仿宋" w:hAnsi="仿宋" w:eastAsia="仿宋"/>
          <w:color w:val="000000"/>
          <w:sz w:val="32"/>
          <w:szCs w:val="32"/>
        </w:rPr>
      </w:pPr>
      <w:r>
        <w:rPr>
          <w:rFonts w:ascii="仿宋" w:hAnsi="仿宋" w:eastAsia="仿宋"/>
          <w:color w:val="000000"/>
          <w:sz w:val="32"/>
          <w:szCs w:val="32"/>
        </w:rPr>
        <w:t>10.</w:t>
      </w:r>
      <w:r>
        <w:rPr>
          <w:rFonts w:hint="eastAsia" w:ascii="仿宋" w:hAnsi="仿宋" w:eastAsia="仿宋"/>
          <w:color w:val="000000"/>
          <w:sz w:val="32"/>
          <w:szCs w:val="32"/>
        </w:rPr>
        <w:t>公共安全（类）检察（款）一般行政管理事务（项）：指反映行政单位未单独设置项级科目的其他项目支出。</w:t>
      </w:r>
    </w:p>
    <w:p>
      <w:pPr>
        <w:ind w:firstLine="640" w:firstLineChars="200"/>
        <w:rPr>
          <w:rFonts w:ascii="仿宋" w:hAnsi="仿宋" w:eastAsia="仿宋"/>
          <w:color w:val="000000"/>
          <w:sz w:val="32"/>
          <w:szCs w:val="32"/>
        </w:rPr>
      </w:pPr>
      <w:r>
        <w:rPr>
          <w:rFonts w:ascii="仿宋" w:hAnsi="仿宋" w:eastAsia="仿宋"/>
          <w:color w:val="000000"/>
          <w:sz w:val="32"/>
          <w:szCs w:val="32"/>
        </w:rPr>
        <w:t>11.</w:t>
      </w:r>
      <w:r>
        <w:rPr>
          <w:rFonts w:hint="eastAsia" w:ascii="仿宋" w:hAnsi="仿宋" w:eastAsia="仿宋"/>
          <w:color w:val="000000"/>
          <w:sz w:val="32"/>
          <w:szCs w:val="32"/>
        </w:rPr>
        <w:t>公共安全（类）检察（款）其他检察支出（项）：指反映上述项目之外其他用于检察方面的支出。</w:t>
      </w:r>
    </w:p>
    <w:p>
      <w:pPr>
        <w:ind w:firstLine="640" w:firstLineChars="200"/>
        <w:rPr>
          <w:rFonts w:ascii="仿宋" w:hAnsi="仿宋" w:eastAsia="仿宋"/>
          <w:color w:val="000000"/>
          <w:sz w:val="32"/>
          <w:szCs w:val="32"/>
        </w:rPr>
      </w:pPr>
      <w:r>
        <w:rPr>
          <w:rFonts w:ascii="仿宋" w:hAnsi="仿宋" w:eastAsia="仿宋"/>
          <w:color w:val="000000"/>
          <w:sz w:val="32"/>
          <w:szCs w:val="32"/>
        </w:rPr>
        <w:t>12.</w:t>
      </w:r>
      <w:r>
        <w:rPr>
          <w:rFonts w:hint="eastAsia" w:ascii="仿宋" w:hAnsi="仿宋" w:eastAsia="仿宋"/>
          <w:color w:val="000000"/>
          <w:sz w:val="32"/>
          <w:szCs w:val="32"/>
        </w:rPr>
        <w:t>社会保障和就业（类）行政事业单位离退休（款）机关事业单位基本养老保险缴费（项）：指机关事业单位基本养老保险缴费支出。</w:t>
      </w:r>
    </w:p>
    <w:p>
      <w:pPr>
        <w:ind w:firstLine="640" w:firstLineChars="200"/>
        <w:rPr>
          <w:rFonts w:ascii="仿宋" w:hAnsi="仿宋" w:eastAsia="仿宋"/>
          <w:color w:val="000000"/>
          <w:sz w:val="32"/>
          <w:szCs w:val="32"/>
        </w:rPr>
      </w:pPr>
      <w:r>
        <w:rPr>
          <w:rFonts w:ascii="仿宋" w:hAnsi="仿宋" w:eastAsia="仿宋"/>
          <w:color w:val="000000"/>
          <w:sz w:val="32"/>
          <w:szCs w:val="32"/>
        </w:rPr>
        <w:t>13.</w:t>
      </w:r>
      <w:r>
        <w:rPr>
          <w:rFonts w:hint="eastAsia" w:ascii="仿宋" w:hAnsi="仿宋" w:eastAsia="仿宋"/>
          <w:color w:val="000000"/>
          <w:sz w:val="32"/>
          <w:szCs w:val="32"/>
        </w:rPr>
        <w:t>社会保障和就业（类）行政事业单位离退休（款）机关事业单位职业年金缴费（项）：指机关事业单位职业年金缴费支出。</w:t>
      </w:r>
    </w:p>
    <w:p>
      <w:pPr>
        <w:ind w:firstLine="640" w:firstLineChars="200"/>
        <w:rPr>
          <w:rFonts w:ascii="仿宋" w:hAnsi="仿宋" w:eastAsia="仿宋"/>
          <w:color w:val="000000"/>
          <w:sz w:val="32"/>
          <w:szCs w:val="32"/>
        </w:rPr>
      </w:pPr>
      <w:r>
        <w:rPr>
          <w:rFonts w:ascii="仿宋" w:hAnsi="仿宋" w:eastAsia="仿宋"/>
          <w:color w:val="000000"/>
          <w:sz w:val="32"/>
          <w:szCs w:val="32"/>
        </w:rPr>
        <w:t>14.</w:t>
      </w:r>
      <w:r>
        <w:rPr>
          <w:rFonts w:hint="eastAsia" w:ascii="仿宋" w:hAnsi="仿宋" w:eastAsia="仿宋"/>
          <w:color w:val="000000"/>
          <w:sz w:val="32"/>
          <w:szCs w:val="32"/>
        </w:rPr>
        <w:t>医疗卫生与计划生育（类）行政事业单位医疗（款）行政单位医疗（项）：指反映财政部门安排的行政单位基本医疗保险缴费经费。</w:t>
      </w:r>
    </w:p>
    <w:p>
      <w:pPr>
        <w:ind w:firstLine="640" w:firstLineChars="200"/>
        <w:rPr>
          <w:rFonts w:ascii="仿宋" w:hAnsi="仿宋" w:eastAsia="仿宋"/>
          <w:color w:val="000000"/>
          <w:sz w:val="32"/>
          <w:szCs w:val="32"/>
        </w:rPr>
      </w:pPr>
      <w:r>
        <w:rPr>
          <w:rFonts w:ascii="仿宋" w:hAnsi="仿宋" w:eastAsia="仿宋"/>
          <w:color w:val="000000"/>
          <w:sz w:val="32"/>
          <w:szCs w:val="32"/>
        </w:rPr>
        <w:t>15.</w:t>
      </w:r>
      <w:r>
        <w:rPr>
          <w:rFonts w:hint="eastAsia" w:ascii="仿宋" w:hAnsi="仿宋" w:eastAsia="仿宋"/>
          <w:color w:val="000000"/>
          <w:sz w:val="32"/>
          <w:szCs w:val="32"/>
        </w:rPr>
        <w:t>住房保障（类）住房改革（款）住房公积金（项）：指反映行政事业单位按人力资源和社会保障部、财政部规定的基本工资和津补贴以及规定比例为职工缴纳的住房公积金。</w:t>
      </w:r>
    </w:p>
    <w:p>
      <w:pPr>
        <w:ind w:firstLine="640" w:firstLineChars="200"/>
        <w:rPr>
          <w:rFonts w:ascii="仿宋" w:hAnsi="仿宋" w:eastAsia="仿宋"/>
          <w:color w:val="000000"/>
          <w:sz w:val="32"/>
          <w:szCs w:val="32"/>
        </w:rPr>
      </w:pPr>
      <w:r>
        <w:rPr>
          <w:rFonts w:ascii="仿宋" w:hAnsi="仿宋" w:eastAsia="仿宋"/>
          <w:color w:val="000000"/>
          <w:sz w:val="32"/>
          <w:szCs w:val="32"/>
        </w:rPr>
        <w:t>16.</w:t>
      </w:r>
      <w:r>
        <w:rPr>
          <w:rFonts w:hint="eastAsia" w:ascii="仿宋" w:hAnsi="仿宋" w:eastAsia="仿宋"/>
          <w:color w:val="000000"/>
          <w:sz w:val="32"/>
          <w:szCs w:val="32"/>
        </w:rPr>
        <w:t>基本支出：指为保障机构正常运转、完成日常工作任务而发生的人员支出和公用支出。</w:t>
      </w:r>
    </w:p>
    <w:p>
      <w:pPr>
        <w:ind w:firstLine="640" w:firstLineChars="200"/>
        <w:rPr>
          <w:rFonts w:ascii="仿宋" w:hAnsi="仿宋" w:eastAsia="仿宋"/>
          <w:color w:val="000000"/>
          <w:sz w:val="32"/>
          <w:szCs w:val="32"/>
        </w:rPr>
      </w:pPr>
      <w:r>
        <w:rPr>
          <w:rFonts w:ascii="仿宋" w:hAnsi="仿宋" w:eastAsia="仿宋"/>
          <w:color w:val="000000"/>
          <w:sz w:val="32"/>
          <w:szCs w:val="32"/>
        </w:rPr>
        <w:t>17.</w:t>
      </w:r>
      <w:r>
        <w:rPr>
          <w:rFonts w:hint="eastAsia" w:ascii="仿宋" w:hAnsi="仿宋" w:eastAsia="仿宋"/>
          <w:color w:val="000000"/>
          <w:sz w:val="32"/>
          <w:szCs w:val="32"/>
        </w:rPr>
        <w:t>项目支出：指在基本支出之外为完成特定行政任务和事业发展目标所发生的支出。</w:t>
      </w:r>
    </w:p>
    <w:p>
      <w:pPr>
        <w:ind w:firstLine="640" w:firstLineChars="200"/>
        <w:rPr>
          <w:rFonts w:ascii="仿宋" w:hAnsi="仿宋" w:eastAsia="仿宋"/>
          <w:color w:val="000000"/>
          <w:sz w:val="32"/>
          <w:szCs w:val="32"/>
        </w:rPr>
      </w:pPr>
      <w:r>
        <w:rPr>
          <w:rFonts w:ascii="仿宋" w:hAnsi="仿宋" w:eastAsia="仿宋"/>
          <w:color w:val="000000"/>
          <w:sz w:val="32"/>
          <w:szCs w:val="32"/>
        </w:rPr>
        <w:t>18.</w:t>
      </w:r>
      <w:r>
        <w:rPr>
          <w:rFonts w:hint="eastAsia" w:ascii="仿宋" w:hAnsi="仿宋" w:eastAsia="仿宋"/>
          <w:color w:val="000000"/>
          <w:sz w:val="32"/>
          <w:szCs w:val="32"/>
        </w:rPr>
        <w:t>经营支出：指事业单位在专业业务活动及其辅助活动之外开展非独立核算经营活动发生的支出。</w:t>
      </w:r>
    </w:p>
    <w:p>
      <w:pPr>
        <w:pStyle w:val="33"/>
        <w:spacing w:line="560" w:lineRule="exact"/>
        <w:ind w:firstLine="640" w:firstLineChars="200"/>
        <w:rPr>
          <w:rFonts w:hAnsi="仿宋"/>
          <w:sz w:val="32"/>
          <w:szCs w:val="32"/>
        </w:rPr>
      </w:pPr>
      <w:r>
        <w:rPr>
          <w:rFonts w:hAnsi="仿宋"/>
          <w:sz w:val="32"/>
          <w:szCs w:val="32"/>
        </w:rPr>
        <w:t>19.</w:t>
      </w:r>
      <w:r>
        <w:rPr>
          <w:rFonts w:hint="eastAsia" w:hAnsi="仿宋"/>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仿宋" w:hAnsi="仿宋" w:eastAsia="仿宋"/>
          <w:b/>
          <w:color w:val="000000"/>
          <w:sz w:val="32"/>
          <w:szCs w:val="32"/>
        </w:rPr>
      </w:pPr>
      <w:r>
        <w:rPr>
          <w:rFonts w:ascii="仿宋" w:hAnsi="仿宋" w:eastAsia="仿宋"/>
          <w:sz w:val="32"/>
          <w:szCs w:val="32"/>
        </w:rPr>
        <w:t>20.</w:t>
      </w:r>
      <w:r>
        <w:rPr>
          <w:rFonts w:hint="eastAsia" w:ascii="仿宋" w:hAnsi="仿宋" w:eastAsia="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
        <w:jc w:val="center"/>
        <w:rPr>
          <w:rStyle w:val="23"/>
          <w:rFonts w:ascii="黑体" w:hAnsi="黑体" w:eastAsia="黑体"/>
          <w:b/>
          <w:bCs w:val="0"/>
        </w:rPr>
      </w:pPr>
      <w:bookmarkStart w:id="114" w:name="_Toc15377226"/>
      <w:r>
        <w:rPr>
          <w:rFonts w:ascii="宋体"/>
          <w:color w:val="000000"/>
        </w:rPr>
        <w:br w:type="page"/>
      </w:r>
      <w:bookmarkStart w:id="115" w:name="_Toc50622832"/>
      <w:bookmarkStart w:id="116" w:name="_Toc50621940"/>
      <w:bookmarkStart w:id="117" w:name="_Toc15396614"/>
      <w:r>
        <w:rPr>
          <w:rFonts w:hint="eastAsia" w:ascii="黑体" w:hAnsi="黑体" w:eastAsia="黑体"/>
          <w:color w:val="000000"/>
        </w:rPr>
        <w:t>第</w:t>
      </w:r>
      <w:r>
        <w:rPr>
          <w:rFonts w:hint="eastAsia" w:ascii="黑体" w:hAnsi="黑体" w:eastAsia="黑体"/>
        </w:rPr>
        <w:t>四部分</w:t>
      </w:r>
      <w:r>
        <w:rPr>
          <w:rFonts w:ascii="黑体" w:hAnsi="黑体" w:eastAsia="黑体"/>
        </w:rPr>
        <w:t xml:space="preserve"> </w:t>
      </w:r>
      <w:r>
        <w:rPr>
          <w:rFonts w:hint="eastAsia" w:ascii="黑体" w:hAnsi="黑体" w:eastAsia="黑体"/>
        </w:rPr>
        <w:t>附件</w:t>
      </w:r>
      <w:bookmarkEnd w:id="115"/>
      <w:bookmarkEnd w:id="116"/>
      <w:bookmarkEnd w:id="117"/>
    </w:p>
    <w:p>
      <w:pPr>
        <w:pStyle w:val="3"/>
        <w:rPr>
          <w:rFonts w:ascii="黑体" w:hAnsi="黑体" w:eastAsia="黑体" w:cs="方正小标宋简体"/>
        </w:rPr>
      </w:pPr>
      <w:bookmarkStart w:id="118" w:name="_Toc50622833"/>
      <w:bookmarkStart w:id="119" w:name="_Toc50621941"/>
      <w:r>
        <w:rPr>
          <w:rFonts w:hint="eastAsia" w:ascii="黑体" w:hAnsi="黑体" w:eastAsia="黑体"/>
        </w:rPr>
        <w:t>附件</w:t>
      </w:r>
      <w:r>
        <w:rPr>
          <w:rFonts w:ascii="黑体" w:hAnsi="黑体" w:eastAsia="黑体"/>
        </w:rPr>
        <w:t>1</w:t>
      </w:r>
      <w:bookmarkEnd w:id="118"/>
      <w:bookmarkEnd w:id="119"/>
    </w:p>
    <w:p>
      <w:pPr>
        <w:spacing w:line="580" w:lineRule="exact"/>
        <w:jc w:val="center"/>
        <w:rPr>
          <w:rFonts w:ascii="方正小标宋简体" w:hAnsi="方正小标宋简体" w:eastAsia="方正小标宋简体" w:cs="方正小标宋简体"/>
          <w:sz w:val="44"/>
          <w:szCs w:val="44"/>
        </w:rPr>
      </w:pPr>
    </w:p>
    <w:p>
      <w:pPr>
        <w:ind w:firstLine="880" w:firstLineChars="200"/>
        <w:jc w:val="center"/>
        <w:rPr>
          <w:rFonts w:ascii="黑体" w:hAnsi="黑体" w:eastAsia="黑体" w:cs="宋体"/>
          <w:bCs/>
          <w:kern w:val="0"/>
          <w:sz w:val="44"/>
          <w:szCs w:val="44"/>
          <w:shd w:val="clear" w:color="auto" w:fill="FFFFFF"/>
        </w:rPr>
      </w:pPr>
      <w:r>
        <w:rPr>
          <w:rFonts w:hint="eastAsia" w:ascii="黑体" w:hAnsi="黑体" w:eastAsia="黑体" w:cs="宋体"/>
          <w:bCs/>
          <w:kern w:val="0"/>
          <w:sz w:val="44"/>
          <w:szCs w:val="44"/>
          <w:shd w:val="clear" w:color="auto" w:fill="FFFFFF"/>
        </w:rPr>
        <w:t>渠县人民检察院</w:t>
      </w:r>
      <w:r>
        <w:rPr>
          <w:rFonts w:ascii="黑体" w:hAnsi="黑体" w:eastAsia="黑体" w:cs="宋体"/>
          <w:bCs/>
          <w:kern w:val="0"/>
          <w:sz w:val="44"/>
          <w:szCs w:val="44"/>
          <w:shd w:val="clear" w:color="auto" w:fill="FFFFFF"/>
        </w:rPr>
        <w:t>2019</w:t>
      </w:r>
      <w:r>
        <w:rPr>
          <w:rFonts w:hint="eastAsia" w:ascii="黑体" w:hAnsi="黑体" w:eastAsia="黑体" w:cs="宋体"/>
          <w:bCs/>
          <w:kern w:val="0"/>
          <w:sz w:val="44"/>
          <w:szCs w:val="44"/>
          <w:shd w:val="clear" w:color="auto" w:fill="FFFFFF"/>
        </w:rPr>
        <w:t>年部门整体支出绩效评价报告</w:t>
      </w:r>
    </w:p>
    <w:p>
      <w:pPr>
        <w:spacing w:beforeLines="100"/>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一、部门概况</w:t>
      </w:r>
    </w:p>
    <w:p>
      <w:pPr>
        <w:ind w:firstLine="640" w:firstLineChars="200"/>
        <w:jc w:val="left"/>
        <w:rPr>
          <w:rFonts w:ascii="仿宋" w:hAnsi="仿宋" w:eastAsia="仿宋" w:cs="宋体"/>
          <w:kern w:val="0"/>
          <w:sz w:val="32"/>
          <w:szCs w:val="32"/>
        </w:rPr>
      </w:pPr>
      <w:r>
        <w:rPr>
          <w:rFonts w:ascii="仿宋" w:hAnsi="仿宋" w:eastAsia="仿宋" w:cs="宋体"/>
          <w:kern w:val="0"/>
          <w:sz w:val="32"/>
          <w:szCs w:val="32"/>
        </w:rPr>
        <w:t>(</w:t>
      </w:r>
      <w:r>
        <w:rPr>
          <w:rFonts w:hint="eastAsia" w:ascii="仿宋" w:hAnsi="仿宋" w:eastAsia="仿宋" w:cs="宋体"/>
          <w:kern w:val="0"/>
          <w:sz w:val="32"/>
          <w:szCs w:val="32"/>
        </w:rPr>
        <w:t>一</w:t>
      </w:r>
      <w:r>
        <w:rPr>
          <w:rFonts w:ascii="仿宋" w:hAnsi="仿宋" w:eastAsia="仿宋" w:cs="宋体"/>
          <w:kern w:val="0"/>
          <w:sz w:val="32"/>
          <w:szCs w:val="32"/>
        </w:rPr>
        <w:t>)</w:t>
      </w:r>
      <w:r>
        <w:rPr>
          <w:rFonts w:hint="eastAsia" w:ascii="仿宋" w:hAnsi="仿宋" w:eastAsia="仿宋" w:cs="宋体"/>
          <w:kern w:val="0"/>
          <w:sz w:val="32"/>
          <w:szCs w:val="32"/>
        </w:rPr>
        <w:t>机构职能</w:t>
      </w:r>
    </w:p>
    <w:p>
      <w:pPr>
        <w:snapToGrid w:val="0"/>
        <w:spacing w:line="520" w:lineRule="exact"/>
        <w:ind w:firstLine="640" w:firstLineChars="200"/>
        <w:rPr>
          <w:rFonts w:ascii="仿宋" w:hAnsi="仿宋" w:eastAsia="仿宋" w:cs="宋体"/>
          <w:sz w:val="32"/>
          <w:szCs w:val="32"/>
        </w:rPr>
      </w:pPr>
      <w:r>
        <w:rPr>
          <w:rFonts w:hint="eastAsia" w:ascii="仿宋" w:hAnsi="仿宋" w:eastAsia="仿宋" w:cs="宋体"/>
          <w:sz w:val="32"/>
          <w:szCs w:val="32"/>
        </w:rPr>
        <w:t>渠县人民检察院主要职责是切实履行法律监督职能，认真贯彻执行检察机关的工作方针、政策、法律、司法解释；对背叛国家、分裂国家案以及破坏国家的政策、法律、政令统一实施的重大犯罪案件，行使检察权；对公安机关和国家安全机关、监狱侦查的案件进行审查，决定是否逮捕、起诉或者不起诉，对刑事案件提起公诉，支持公诉；对公安机关的侦查活动是否合法实行监督；对人民法院的刑事、民事审判活动、行政诉讼是否合法实行监督；在履行职责中发现生态环境和资源保护、国有资产保护、国有土地使用权出让等领域负有监督管理职责的行政机关违法行使职权或者不作为，造成国家和社会公共利益受到侵害，公民、法人和其他社会组织由于没有直接利害关系，没有也无法提起诉讼的，可以向人民法院提起行政公益诉讼。对刑事案件判决、裁定的执法和看守所的活动是否合法实行监督。</w:t>
      </w:r>
    </w:p>
    <w:p>
      <w:pPr>
        <w:ind w:firstLine="640" w:firstLineChars="200"/>
        <w:rPr>
          <w:rFonts w:ascii="仿宋" w:hAnsi="仿宋" w:eastAsia="仿宋" w:cs="宋体"/>
          <w:kern w:val="0"/>
          <w:sz w:val="32"/>
          <w:szCs w:val="32"/>
        </w:rPr>
      </w:pPr>
      <w:r>
        <w:rPr>
          <w:rFonts w:ascii="仿宋" w:hAnsi="仿宋" w:eastAsia="仿宋" w:cs="宋体"/>
          <w:kern w:val="0"/>
          <w:sz w:val="32"/>
          <w:szCs w:val="32"/>
        </w:rPr>
        <w:t>(</w:t>
      </w:r>
      <w:r>
        <w:rPr>
          <w:rFonts w:hint="eastAsia" w:ascii="仿宋" w:hAnsi="仿宋" w:eastAsia="仿宋" w:cs="宋体"/>
          <w:kern w:val="0"/>
          <w:sz w:val="32"/>
          <w:szCs w:val="32"/>
        </w:rPr>
        <w:t>二</w:t>
      </w:r>
      <w:r>
        <w:rPr>
          <w:rFonts w:ascii="仿宋" w:hAnsi="仿宋" w:eastAsia="仿宋" w:cs="宋体"/>
          <w:kern w:val="0"/>
          <w:sz w:val="32"/>
          <w:szCs w:val="32"/>
        </w:rPr>
        <w:t>)</w:t>
      </w:r>
      <w:r>
        <w:rPr>
          <w:rFonts w:hint="eastAsia" w:ascii="仿宋" w:hAnsi="仿宋" w:eastAsia="仿宋" w:cs="宋体"/>
          <w:kern w:val="0"/>
          <w:sz w:val="32"/>
          <w:szCs w:val="32"/>
        </w:rPr>
        <w:t>机构组成</w:t>
      </w:r>
    </w:p>
    <w:p>
      <w:pPr>
        <w:ind w:firstLine="640" w:firstLineChars="200"/>
        <w:rPr>
          <w:rFonts w:ascii="仿宋" w:hAnsi="仿宋" w:eastAsia="仿宋" w:cs="宋体"/>
          <w:sz w:val="32"/>
          <w:szCs w:val="32"/>
        </w:rPr>
      </w:pPr>
      <w:r>
        <w:rPr>
          <w:rFonts w:hint="eastAsia" w:ascii="仿宋" w:hAnsi="仿宋" w:eastAsia="仿宋" w:cs="宋体"/>
          <w:sz w:val="32"/>
          <w:szCs w:val="32"/>
        </w:rPr>
        <w:t>渠县人民检察院是国家的法律监督机关，内设</w:t>
      </w:r>
      <w:r>
        <w:rPr>
          <w:rFonts w:ascii="仿宋" w:hAnsi="仿宋" w:eastAsia="仿宋" w:cs="宋体"/>
          <w:sz w:val="32"/>
          <w:szCs w:val="32"/>
        </w:rPr>
        <w:t>14</w:t>
      </w:r>
      <w:r>
        <w:rPr>
          <w:rFonts w:hint="eastAsia" w:ascii="仿宋" w:hAnsi="仿宋" w:eastAsia="仿宋" w:cs="宋体"/>
          <w:sz w:val="32"/>
          <w:szCs w:val="32"/>
        </w:rPr>
        <w:t>个行政科室，为财政拨款预算单位。</w:t>
      </w:r>
    </w:p>
    <w:p>
      <w:pPr>
        <w:ind w:firstLine="640" w:firstLineChars="200"/>
        <w:rPr>
          <w:rFonts w:ascii="仿宋" w:hAnsi="仿宋" w:eastAsia="仿宋" w:cs="宋体"/>
          <w:kern w:val="0"/>
          <w:sz w:val="32"/>
          <w:szCs w:val="32"/>
        </w:rPr>
      </w:pPr>
      <w:r>
        <w:rPr>
          <w:rFonts w:ascii="仿宋" w:hAnsi="仿宋" w:eastAsia="仿宋" w:cs="宋体"/>
          <w:kern w:val="0"/>
          <w:sz w:val="32"/>
          <w:szCs w:val="32"/>
        </w:rPr>
        <w:t xml:space="preserve"> (</w:t>
      </w:r>
      <w:r>
        <w:rPr>
          <w:rFonts w:hint="eastAsia" w:ascii="仿宋" w:hAnsi="仿宋" w:eastAsia="仿宋" w:cs="宋体"/>
          <w:kern w:val="0"/>
          <w:sz w:val="32"/>
          <w:szCs w:val="32"/>
        </w:rPr>
        <w:t>三</w:t>
      </w:r>
      <w:r>
        <w:rPr>
          <w:rFonts w:ascii="仿宋" w:hAnsi="仿宋" w:eastAsia="仿宋" w:cs="宋体"/>
          <w:kern w:val="0"/>
          <w:sz w:val="32"/>
          <w:szCs w:val="32"/>
        </w:rPr>
        <w:t>)</w:t>
      </w:r>
      <w:r>
        <w:rPr>
          <w:rFonts w:hint="eastAsia" w:ascii="仿宋" w:hAnsi="仿宋" w:eastAsia="仿宋" w:cs="宋体"/>
          <w:kern w:val="0"/>
          <w:sz w:val="32"/>
          <w:szCs w:val="32"/>
        </w:rPr>
        <w:t>人员概况</w:t>
      </w:r>
      <w:r>
        <w:rPr>
          <w:rFonts w:ascii="仿宋" w:hAnsi="仿宋" w:eastAsia="仿宋" w:cs="宋体"/>
          <w:kern w:val="0"/>
          <w:sz w:val="32"/>
          <w:szCs w:val="32"/>
        </w:rPr>
        <w:t xml:space="preserve"> </w:t>
      </w:r>
    </w:p>
    <w:p>
      <w:pPr>
        <w:tabs>
          <w:tab w:val="left" w:pos="720"/>
          <w:tab w:val="left" w:pos="3600"/>
        </w:tabs>
        <w:ind w:firstLine="640" w:firstLineChars="200"/>
        <w:jc w:val="left"/>
        <w:rPr>
          <w:rFonts w:ascii="仿宋" w:hAnsi="仿宋" w:eastAsia="仿宋" w:cs="宋体"/>
          <w:sz w:val="32"/>
          <w:szCs w:val="32"/>
        </w:rPr>
      </w:pPr>
      <w:r>
        <w:rPr>
          <w:rFonts w:hint="eastAsia" w:ascii="仿宋" w:hAnsi="仿宋" w:eastAsia="仿宋" w:cs="宋体"/>
          <w:sz w:val="32"/>
          <w:szCs w:val="32"/>
        </w:rPr>
        <w:t>渠县人民检察院编制总数</w:t>
      </w:r>
      <w:r>
        <w:rPr>
          <w:rFonts w:ascii="仿宋" w:hAnsi="仿宋" w:eastAsia="仿宋" w:cs="宋体"/>
          <w:sz w:val="32"/>
          <w:szCs w:val="32"/>
        </w:rPr>
        <w:t>92</w:t>
      </w:r>
      <w:r>
        <w:rPr>
          <w:rFonts w:hint="eastAsia" w:ascii="仿宋" w:hAnsi="仿宋" w:eastAsia="仿宋" w:cs="宋体"/>
          <w:sz w:val="32"/>
          <w:szCs w:val="32"/>
        </w:rPr>
        <w:t>人，其中政法编制</w:t>
      </w:r>
      <w:r>
        <w:rPr>
          <w:rFonts w:ascii="仿宋" w:hAnsi="仿宋" w:eastAsia="仿宋" w:cs="宋体"/>
          <w:sz w:val="32"/>
          <w:szCs w:val="32"/>
        </w:rPr>
        <w:t>75</w:t>
      </w:r>
      <w:r>
        <w:rPr>
          <w:rFonts w:hint="eastAsia" w:ascii="仿宋" w:hAnsi="仿宋" w:eastAsia="仿宋" w:cs="宋体"/>
          <w:sz w:val="32"/>
          <w:szCs w:val="32"/>
        </w:rPr>
        <w:t>人，事业编制</w:t>
      </w:r>
      <w:r>
        <w:rPr>
          <w:rFonts w:ascii="仿宋" w:hAnsi="仿宋" w:eastAsia="仿宋" w:cs="宋体"/>
          <w:sz w:val="32"/>
          <w:szCs w:val="32"/>
        </w:rPr>
        <w:t>0</w:t>
      </w:r>
      <w:r>
        <w:rPr>
          <w:rFonts w:hint="eastAsia" w:ascii="仿宋" w:hAnsi="仿宋" w:eastAsia="仿宋" w:cs="宋体"/>
          <w:sz w:val="32"/>
          <w:szCs w:val="32"/>
        </w:rPr>
        <w:t>人，工勤编制</w:t>
      </w:r>
      <w:r>
        <w:rPr>
          <w:rFonts w:ascii="仿宋" w:hAnsi="仿宋" w:eastAsia="仿宋" w:cs="宋体"/>
          <w:sz w:val="32"/>
          <w:szCs w:val="32"/>
        </w:rPr>
        <w:t>17</w:t>
      </w:r>
      <w:r>
        <w:rPr>
          <w:rFonts w:hint="eastAsia" w:ascii="仿宋" w:hAnsi="仿宋" w:eastAsia="仿宋" w:cs="宋体"/>
          <w:sz w:val="32"/>
          <w:szCs w:val="32"/>
        </w:rPr>
        <w:t>名。实际财政供养人员</w:t>
      </w:r>
      <w:r>
        <w:rPr>
          <w:rFonts w:ascii="仿宋" w:hAnsi="仿宋" w:eastAsia="仿宋" w:cs="宋体"/>
          <w:sz w:val="32"/>
          <w:szCs w:val="32"/>
        </w:rPr>
        <w:t>150</w:t>
      </w:r>
      <w:r>
        <w:rPr>
          <w:rFonts w:hint="eastAsia" w:ascii="仿宋" w:hAnsi="仿宋" w:eastAsia="仿宋" w:cs="宋体"/>
          <w:sz w:val="32"/>
          <w:szCs w:val="32"/>
        </w:rPr>
        <w:t>人，其中在职</w:t>
      </w:r>
      <w:r>
        <w:rPr>
          <w:rFonts w:ascii="仿宋" w:hAnsi="仿宋" w:eastAsia="仿宋" w:cs="宋体"/>
          <w:sz w:val="32"/>
          <w:szCs w:val="32"/>
        </w:rPr>
        <w:t>78</w:t>
      </w:r>
      <w:r>
        <w:rPr>
          <w:rFonts w:hint="eastAsia" w:ascii="仿宋" w:hAnsi="仿宋" w:eastAsia="仿宋" w:cs="宋体"/>
          <w:sz w:val="32"/>
          <w:szCs w:val="32"/>
        </w:rPr>
        <w:t>人，离休</w:t>
      </w:r>
      <w:r>
        <w:rPr>
          <w:rFonts w:ascii="仿宋" w:hAnsi="仿宋" w:eastAsia="仿宋" w:cs="宋体"/>
          <w:sz w:val="32"/>
          <w:szCs w:val="32"/>
        </w:rPr>
        <w:t>0</w:t>
      </w:r>
      <w:r>
        <w:rPr>
          <w:rFonts w:hint="eastAsia" w:ascii="仿宋" w:hAnsi="仿宋" w:eastAsia="仿宋" w:cs="宋体"/>
          <w:sz w:val="32"/>
          <w:szCs w:val="32"/>
        </w:rPr>
        <w:t>人，退休</w:t>
      </w:r>
      <w:r>
        <w:rPr>
          <w:rFonts w:ascii="仿宋" w:hAnsi="仿宋" w:eastAsia="仿宋" w:cs="宋体"/>
          <w:sz w:val="32"/>
          <w:szCs w:val="32"/>
        </w:rPr>
        <w:t>72</w:t>
      </w:r>
      <w:r>
        <w:rPr>
          <w:rFonts w:hint="eastAsia" w:ascii="仿宋" w:hAnsi="仿宋" w:eastAsia="仿宋" w:cs="宋体"/>
          <w:sz w:val="32"/>
          <w:szCs w:val="32"/>
        </w:rPr>
        <w:t>人（已转由社保局发放退休金）</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黑体" w:hAnsi="黑体" w:eastAsia="黑体" w:cs="宋体"/>
          <w:kern w:val="0"/>
          <w:sz w:val="32"/>
          <w:szCs w:val="32"/>
        </w:rPr>
        <w:t>二、部门财政资金收支情况</w:t>
      </w:r>
      <w:r>
        <w:rPr>
          <w:rFonts w:ascii="黑体" w:hAnsi="黑体" w:eastAsia="黑体"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（一）部门财政资金收入情况。</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2019</w:t>
      </w:r>
      <w:r>
        <w:rPr>
          <w:rFonts w:hint="eastAsia" w:ascii="仿宋" w:hAnsi="仿宋" w:eastAsia="仿宋" w:cs="宋体"/>
          <w:kern w:val="0"/>
          <w:sz w:val="32"/>
          <w:szCs w:val="32"/>
        </w:rPr>
        <w:t>年度年初预算安排</w:t>
      </w:r>
      <w:r>
        <w:rPr>
          <w:rFonts w:ascii="仿宋" w:hAnsi="仿宋" w:eastAsia="仿宋" w:cs="宋体"/>
          <w:kern w:val="0"/>
          <w:sz w:val="32"/>
          <w:szCs w:val="32"/>
        </w:rPr>
        <w:t>1254</w:t>
      </w:r>
      <w:r>
        <w:rPr>
          <w:rFonts w:hint="eastAsia" w:ascii="仿宋" w:hAnsi="仿宋" w:eastAsia="仿宋" w:cs="宋体"/>
          <w:kern w:val="0"/>
          <w:sz w:val="32"/>
          <w:szCs w:val="32"/>
        </w:rPr>
        <w:t>万元，追加预算</w:t>
      </w:r>
      <w:r>
        <w:rPr>
          <w:rFonts w:ascii="仿宋" w:hAnsi="仿宋" w:eastAsia="仿宋" w:cs="宋体"/>
          <w:kern w:val="0"/>
          <w:sz w:val="32"/>
          <w:szCs w:val="32"/>
        </w:rPr>
        <w:t>1440.49</w:t>
      </w:r>
      <w:r>
        <w:rPr>
          <w:rFonts w:hint="eastAsia" w:ascii="仿宋" w:hAnsi="仿宋" w:eastAsia="仿宋" w:cs="宋体"/>
          <w:kern w:val="0"/>
          <w:sz w:val="32"/>
          <w:szCs w:val="32"/>
        </w:rPr>
        <w:t>万元，全年财政收入拨款</w:t>
      </w:r>
      <w:r>
        <w:rPr>
          <w:rFonts w:ascii="仿宋" w:hAnsi="仿宋" w:eastAsia="仿宋" w:cs="宋体"/>
          <w:kern w:val="0"/>
          <w:sz w:val="32"/>
          <w:szCs w:val="32"/>
        </w:rPr>
        <w:t>2694.49</w:t>
      </w:r>
      <w:r>
        <w:rPr>
          <w:rFonts w:hint="eastAsia" w:ascii="仿宋" w:hAnsi="仿宋" w:eastAsia="仿宋" w:cs="宋体"/>
          <w:kern w:val="0"/>
          <w:sz w:val="32"/>
          <w:szCs w:val="32"/>
        </w:rPr>
        <w:t>万元。</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hint="eastAsia" w:ascii="仿宋" w:hAnsi="仿宋" w:eastAsia="仿宋" w:cs="宋体"/>
          <w:kern w:val="0"/>
          <w:sz w:val="32"/>
          <w:szCs w:val="32"/>
        </w:rPr>
        <w:t>　</w:t>
      </w:r>
      <w:r>
        <w:rPr>
          <w:rFonts w:ascii="仿宋" w:hAnsi="仿宋" w:eastAsia="仿宋" w:cs="宋体"/>
          <w:kern w:val="0"/>
          <w:sz w:val="32"/>
          <w:szCs w:val="32"/>
        </w:rPr>
        <w:t xml:space="preserve">  (</w:t>
      </w:r>
      <w:r>
        <w:rPr>
          <w:rFonts w:hint="eastAsia" w:ascii="仿宋" w:hAnsi="仿宋" w:eastAsia="仿宋" w:cs="宋体"/>
          <w:kern w:val="0"/>
          <w:sz w:val="32"/>
          <w:szCs w:val="32"/>
        </w:rPr>
        <w:t>二）部门财政资金支出情况。</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sz w:val="32"/>
          <w:szCs w:val="32"/>
        </w:rPr>
        <w:t>2019</w:t>
      </w:r>
      <w:r>
        <w:rPr>
          <w:rFonts w:hint="eastAsia" w:ascii="仿宋" w:hAnsi="仿宋" w:eastAsia="仿宋" w:cs="宋体"/>
          <w:sz w:val="32"/>
          <w:szCs w:val="32"/>
        </w:rPr>
        <w:t>年，渠县人民检察院预算收入为</w:t>
      </w:r>
      <w:r>
        <w:rPr>
          <w:rFonts w:ascii="仿宋" w:hAnsi="仿宋" w:eastAsia="仿宋" w:cs="宋体"/>
          <w:sz w:val="32"/>
          <w:szCs w:val="32"/>
        </w:rPr>
        <w:t>2694.49</w:t>
      </w:r>
      <w:r>
        <w:rPr>
          <w:rFonts w:hint="eastAsia" w:ascii="仿宋" w:hAnsi="仿宋" w:eastAsia="仿宋" w:cs="宋体"/>
          <w:sz w:val="32"/>
          <w:szCs w:val="32"/>
        </w:rPr>
        <w:t>万元，支出为</w:t>
      </w:r>
      <w:r>
        <w:rPr>
          <w:rFonts w:ascii="仿宋" w:hAnsi="仿宋" w:eastAsia="仿宋" w:cs="宋体"/>
          <w:sz w:val="32"/>
          <w:szCs w:val="32"/>
        </w:rPr>
        <w:t>1905.49</w:t>
      </w:r>
      <w:r>
        <w:rPr>
          <w:rFonts w:hint="eastAsia" w:ascii="仿宋" w:hAnsi="仿宋" w:eastAsia="仿宋" w:cs="宋体"/>
          <w:sz w:val="32"/>
          <w:szCs w:val="32"/>
        </w:rPr>
        <w:t>万元，年末结转</w:t>
      </w:r>
      <w:r>
        <w:rPr>
          <w:rFonts w:ascii="仿宋" w:hAnsi="仿宋" w:eastAsia="仿宋" w:cs="宋体"/>
          <w:sz w:val="32"/>
          <w:szCs w:val="32"/>
        </w:rPr>
        <w:t>789</w:t>
      </w:r>
      <w:r>
        <w:rPr>
          <w:rFonts w:hint="eastAsia" w:ascii="仿宋" w:hAnsi="仿宋" w:eastAsia="仿宋" w:cs="宋体"/>
          <w:sz w:val="32"/>
          <w:szCs w:val="32"/>
        </w:rPr>
        <w:t>万元。</w:t>
      </w:r>
    </w:p>
    <w:p>
      <w:pPr>
        <w:tabs>
          <w:tab w:val="left" w:pos="720"/>
          <w:tab w:val="left" w:pos="3600"/>
        </w:tabs>
        <w:ind w:firstLine="640" w:firstLineChars="200"/>
        <w:jc w:val="left"/>
        <w:rPr>
          <w:rFonts w:ascii="仿宋" w:hAnsi="仿宋" w:eastAsia="仿宋" w:cs="宋体"/>
          <w:sz w:val="32"/>
          <w:szCs w:val="32"/>
        </w:rPr>
      </w:pPr>
      <w:r>
        <w:rPr>
          <w:rFonts w:hint="eastAsia" w:ascii="仿宋" w:hAnsi="仿宋" w:eastAsia="仿宋" w:cs="宋体"/>
          <w:sz w:val="32"/>
          <w:szCs w:val="32"/>
        </w:rPr>
        <w:t>其中：</w:t>
      </w:r>
    </w:p>
    <w:p>
      <w:pPr>
        <w:tabs>
          <w:tab w:val="left" w:pos="720"/>
          <w:tab w:val="left" w:pos="3600"/>
        </w:tabs>
        <w:ind w:firstLine="640" w:firstLineChars="200"/>
        <w:jc w:val="left"/>
        <w:rPr>
          <w:rFonts w:ascii="仿宋" w:hAnsi="仿宋" w:eastAsia="仿宋" w:cs="宋体"/>
          <w:sz w:val="32"/>
          <w:szCs w:val="32"/>
        </w:rPr>
      </w:pPr>
      <w:r>
        <w:rPr>
          <w:rFonts w:ascii="仿宋" w:hAnsi="仿宋" w:eastAsia="仿宋" w:cs="宋体"/>
          <w:sz w:val="32"/>
          <w:szCs w:val="32"/>
        </w:rPr>
        <w:t>1.</w:t>
      </w:r>
      <w:r>
        <w:rPr>
          <w:rFonts w:hint="eastAsia" w:ascii="仿宋" w:hAnsi="仿宋" w:eastAsia="仿宋" w:cs="宋体"/>
          <w:sz w:val="32"/>
          <w:szCs w:val="32"/>
        </w:rPr>
        <w:t>公共安全（类）检察（款）行政运行（项）</w:t>
      </w:r>
      <w:r>
        <w:rPr>
          <w:rFonts w:ascii="仿宋" w:hAnsi="仿宋" w:eastAsia="仿宋" w:cs="宋体"/>
          <w:sz w:val="32"/>
          <w:szCs w:val="32"/>
        </w:rPr>
        <w:t xml:space="preserve">: </w:t>
      </w:r>
      <w:r>
        <w:rPr>
          <w:rFonts w:hint="eastAsia" w:ascii="仿宋" w:hAnsi="仿宋" w:eastAsia="仿宋" w:cs="宋体"/>
          <w:sz w:val="32"/>
          <w:szCs w:val="32"/>
        </w:rPr>
        <w:t>支出决算为</w:t>
      </w:r>
      <w:r>
        <w:rPr>
          <w:rFonts w:ascii="仿宋" w:hAnsi="仿宋" w:eastAsia="仿宋" w:cs="宋体"/>
          <w:sz w:val="32"/>
          <w:szCs w:val="32"/>
        </w:rPr>
        <w:t>1048.55</w:t>
      </w:r>
      <w:r>
        <w:rPr>
          <w:rFonts w:hint="eastAsia" w:ascii="仿宋" w:hAnsi="仿宋" w:eastAsia="仿宋" w:cs="宋体"/>
          <w:sz w:val="32"/>
          <w:szCs w:val="32"/>
        </w:rPr>
        <w:t>万元，完成预算</w:t>
      </w:r>
      <w:r>
        <w:rPr>
          <w:rFonts w:ascii="仿宋" w:hAnsi="仿宋" w:eastAsia="仿宋" w:cs="宋体"/>
          <w:sz w:val="32"/>
          <w:szCs w:val="32"/>
        </w:rPr>
        <w:t>100%</w:t>
      </w:r>
      <w:r>
        <w:rPr>
          <w:rFonts w:hint="eastAsia" w:ascii="仿宋" w:hAnsi="仿宋" w:eastAsia="仿宋" w:cs="宋体"/>
          <w:sz w:val="32"/>
          <w:szCs w:val="32"/>
        </w:rPr>
        <w:t>。</w:t>
      </w:r>
    </w:p>
    <w:p>
      <w:pPr>
        <w:tabs>
          <w:tab w:val="left" w:pos="720"/>
          <w:tab w:val="left" w:pos="3600"/>
        </w:tabs>
        <w:ind w:firstLine="640" w:firstLineChars="200"/>
        <w:jc w:val="left"/>
        <w:rPr>
          <w:rFonts w:ascii="仿宋" w:hAnsi="仿宋" w:eastAsia="仿宋" w:cs="宋体"/>
          <w:sz w:val="32"/>
          <w:szCs w:val="32"/>
        </w:rPr>
      </w:pPr>
      <w:r>
        <w:rPr>
          <w:rFonts w:ascii="仿宋" w:hAnsi="仿宋" w:eastAsia="仿宋" w:cs="宋体"/>
          <w:sz w:val="32"/>
          <w:szCs w:val="32"/>
        </w:rPr>
        <w:t>2.</w:t>
      </w:r>
      <w:r>
        <w:rPr>
          <w:rFonts w:hint="eastAsia" w:ascii="仿宋" w:hAnsi="仿宋" w:eastAsia="仿宋" w:cs="宋体"/>
          <w:sz w:val="32"/>
          <w:szCs w:val="32"/>
        </w:rPr>
        <w:t>公共安全（类）检察（款）一般行政管理事务（项）</w:t>
      </w:r>
      <w:r>
        <w:rPr>
          <w:rFonts w:ascii="仿宋" w:hAnsi="仿宋" w:eastAsia="仿宋" w:cs="宋体"/>
          <w:sz w:val="32"/>
          <w:szCs w:val="32"/>
        </w:rPr>
        <w:t xml:space="preserve">: </w:t>
      </w:r>
      <w:r>
        <w:rPr>
          <w:rFonts w:hint="eastAsia" w:ascii="仿宋" w:hAnsi="仿宋" w:eastAsia="仿宋" w:cs="宋体"/>
          <w:sz w:val="32"/>
          <w:szCs w:val="32"/>
        </w:rPr>
        <w:t>支出决算为</w:t>
      </w:r>
      <w:r>
        <w:rPr>
          <w:rFonts w:ascii="仿宋" w:hAnsi="仿宋" w:eastAsia="仿宋" w:cs="宋体"/>
          <w:sz w:val="32"/>
          <w:szCs w:val="32"/>
        </w:rPr>
        <w:t>34</w:t>
      </w:r>
      <w:r>
        <w:rPr>
          <w:rFonts w:hint="eastAsia" w:ascii="仿宋" w:hAnsi="仿宋" w:eastAsia="仿宋" w:cs="宋体"/>
          <w:sz w:val="32"/>
          <w:szCs w:val="32"/>
        </w:rPr>
        <w:t>万元，完成预算</w:t>
      </w:r>
      <w:r>
        <w:rPr>
          <w:rFonts w:ascii="仿宋" w:hAnsi="仿宋" w:eastAsia="仿宋" w:cs="宋体"/>
          <w:sz w:val="32"/>
          <w:szCs w:val="32"/>
        </w:rPr>
        <w:t>100%</w:t>
      </w:r>
      <w:r>
        <w:rPr>
          <w:rFonts w:hint="eastAsia" w:ascii="仿宋" w:hAnsi="仿宋" w:eastAsia="仿宋" w:cs="宋体"/>
          <w:sz w:val="32"/>
          <w:szCs w:val="32"/>
        </w:rPr>
        <w:t>。</w:t>
      </w:r>
    </w:p>
    <w:p>
      <w:pPr>
        <w:tabs>
          <w:tab w:val="left" w:pos="720"/>
          <w:tab w:val="left" w:pos="3600"/>
        </w:tabs>
        <w:ind w:firstLine="640" w:firstLineChars="200"/>
        <w:jc w:val="left"/>
        <w:rPr>
          <w:rFonts w:ascii="仿宋" w:hAnsi="仿宋" w:eastAsia="仿宋" w:cs="宋体"/>
          <w:sz w:val="32"/>
          <w:szCs w:val="32"/>
        </w:rPr>
      </w:pPr>
      <w:r>
        <w:rPr>
          <w:rFonts w:ascii="仿宋" w:hAnsi="仿宋" w:eastAsia="仿宋" w:cs="宋体"/>
          <w:sz w:val="32"/>
          <w:szCs w:val="32"/>
        </w:rPr>
        <w:t>3.</w:t>
      </w:r>
      <w:r>
        <w:rPr>
          <w:rFonts w:hint="eastAsia" w:ascii="仿宋" w:hAnsi="仿宋" w:eastAsia="仿宋" w:cs="宋体"/>
          <w:sz w:val="32"/>
          <w:szCs w:val="32"/>
        </w:rPr>
        <w:t>公共安全（类）检察（款）其他检察支出（项）</w:t>
      </w:r>
      <w:r>
        <w:rPr>
          <w:rFonts w:ascii="仿宋" w:hAnsi="仿宋" w:eastAsia="仿宋" w:cs="宋体"/>
          <w:sz w:val="32"/>
          <w:szCs w:val="32"/>
        </w:rPr>
        <w:t xml:space="preserve">: </w:t>
      </w:r>
      <w:r>
        <w:rPr>
          <w:rFonts w:hint="eastAsia" w:ascii="仿宋" w:hAnsi="仿宋" w:eastAsia="仿宋" w:cs="宋体"/>
          <w:sz w:val="32"/>
          <w:szCs w:val="32"/>
        </w:rPr>
        <w:t>支出决算为</w:t>
      </w:r>
      <w:r>
        <w:rPr>
          <w:rFonts w:ascii="仿宋" w:hAnsi="仿宋" w:eastAsia="仿宋" w:cs="宋体"/>
          <w:sz w:val="32"/>
          <w:szCs w:val="32"/>
        </w:rPr>
        <w:t>631</w:t>
      </w:r>
      <w:r>
        <w:rPr>
          <w:rFonts w:hint="eastAsia" w:ascii="仿宋" w:hAnsi="仿宋" w:eastAsia="仿宋" w:cs="宋体"/>
          <w:sz w:val="32"/>
          <w:szCs w:val="32"/>
        </w:rPr>
        <w:t>万元，完成预算</w:t>
      </w:r>
      <w:r>
        <w:rPr>
          <w:rFonts w:ascii="仿宋" w:hAnsi="仿宋" w:eastAsia="仿宋" w:cs="宋体"/>
          <w:sz w:val="32"/>
          <w:szCs w:val="32"/>
        </w:rPr>
        <w:t>100%</w:t>
      </w:r>
      <w:r>
        <w:rPr>
          <w:rFonts w:hint="eastAsia" w:ascii="仿宋" w:hAnsi="仿宋" w:eastAsia="仿宋" w:cs="宋体"/>
          <w:sz w:val="32"/>
          <w:szCs w:val="32"/>
        </w:rPr>
        <w:t>。</w:t>
      </w:r>
    </w:p>
    <w:p>
      <w:pPr>
        <w:tabs>
          <w:tab w:val="left" w:pos="720"/>
          <w:tab w:val="left" w:pos="3600"/>
        </w:tabs>
        <w:ind w:firstLine="640" w:firstLineChars="200"/>
        <w:jc w:val="left"/>
        <w:rPr>
          <w:rFonts w:ascii="仿宋" w:hAnsi="仿宋" w:eastAsia="仿宋" w:cs="宋体"/>
          <w:sz w:val="32"/>
          <w:szCs w:val="32"/>
        </w:rPr>
      </w:pPr>
      <w:r>
        <w:rPr>
          <w:rFonts w:ascii="仿宋" w:hAnsi="仿宋" w:eastAsia="仿宋" w:cs="宋体"/>
          <w:sz w:val="32"/>
          <w:szCs w:val="32"/>
        </w:rPr>
        <w:t>4.</w:t>
      </w:r>
      <w:r>
        <w:rPr>
          <w:rFonts w:hint="eastAsia" w:ascii="仿宋" w:hAnsi="仿宋" w:eastAsia="仿宋" w:cs="宋体"/>
          <w:sz w:val="32"/>
          <w:szCs w:val="32"/>
        </w:rPr>
        <w:t>社会保障和就业（类）行政事业单位离退休（款）机关事业单位基本养老保险缴费（项）</w:t>
      </w:r>
      <w:r>
        <w:rPr>
          <w:rFonts w:ascii="仿宋" w:hAnsi="仿宋" w:eastAsia="仿宋" w:cs="宋体"/>
          <w:sz w:val="32"/>
          <w:szCs w:val="32"/>
        </w:rPr>
        <w:t xml:space="preserve">: </w:t>
      </w:r>
      <w:r>
        <w:rPr>
          <w:rFonts w:hint="eastAsia" w:ascii="仿宋" w:hAnsi="仿宋" w:eastAsia="仿宋" w:cs="宋体"/>
          <w:sz w:val="32"/>
          <w:szCs w:val="32"/>
        </w:rPr>
        <w:t>支出决算为</w:t>
      </w:r>
      <w:r>
        <w:rPr>
          <w:rFonts w:ascii="仿宋" w:hAnsi="仿宋" w:eastAsia="仿宋" w:cs="宋体"/>
          <w:sz w:val="32"/>
          <w:szCs w:val="32"/>
        </w:rPr>
        <w:t>133.21</w:t>
      </w:r>
      <w:r>
        <w:rPr>
          <w:rFonts w:hint="eastAsia" w:ascii="仿宋" w:hAnsi="仿宋" w:eastAsia="仿宋" w:cs="宋体"/>
          <w:sz w:val="32"/>
          <w:szCs w:val="32"/>
        </w:rPr>
        <w:t>万元，完成预算</w:t>
      </w:r>
      <w:r>
        <w:rPr>
          <w:rFonts w:ascii="仿宋" w:hAnsi="仿宋" w:eastAsia="仿宋" w:cs="宋体"/>
          <w:sz w:val="32"/>
          <w:szCs w:val="32"/>
        </w:rPr>
        <w:t>100%</w:t>
      </w:r>
      <w:r>
        <w:rPr>
          <w:rFonts w:hint="eastAsia" w:ascii="仿宋" w:hAnsi="仿宋" w:eastAsia="仿宋" w:cs="宋体"/>
          <w:sz w:val="32"/>
          <w:szCs w:val="32"/>
        </w:rPr>
        <w:t>。</w:t>
      </w:r>
    </w:p>
    <w:p>
      <w:pPr>
        <w:tabs>
          <w:tab w:val="left" w:pos="720"/>
          <w:tab w:val="left" w:pos="3600"/>
        </w:tabs>
        <w:ind w:firstLine="640" w:firstLineChars="200"/>
        <w:jc w:val="left"/>
        <w:rPr>
          <w:rFonts w:ascii="仿宋" w:hAnsi="仿宋" w:eastAsia="仿宋" w:cs="宋体"/>
          <w:sz w:val="32"/>
          <w:szCs w:val="32"/>
        </w:rPr>
      </w:pPr>
      <w:r>
        <w:rPr>
          <w:rFonts w:ascii="仿宋" w:hAnsi="仿宋" w:eastAsia="仿宋" w:cs="宋体"/>
          <w:sz w:val="32"/>
          <w:szCs w:val="32"/>
        </w:rPr>
        <w:t>5.</w:t>
      </w:r>
      <w:r>
        <w:rPr>
          <w:rFonts w:hint="eastAsia" w:ascii="仿宋" w:hAnsi="仿宋" w:eastAsia="仿宋" w:cs="宋体"/>
          <w:sz w:val="32"/>
          <w:szCs w:val="32"/>
        </w:rPr>
        <w:t>社会保障和就业（类）行政事业单位离退休（款）机关事业单位职业年金缴费（项）</w:t>
      </w:r>
      <w:r>
        <w:rPr>
          <w:rFonts w:ascii="仿宋" w:hAnsi="仿宋" w:eastAsia="仿宋" w:cs="宋体"/>
          <w:sz w:val="32"/>
          <w:szCs w:val="32"/>
        </w:rPr>
        <w:t xml:space="preserve">: </w:t>
      </w:r>
      <w:r>
        <w:rPr>
          <w:rFonts w:hint="eastAsia" w:ascii="仿宋" w:hAnsi="仿宋" w:eastAsia="仿宋" w:cs="宋体"/>
          <w:sz w:val="32"/>
          <w:szCs w:val="32"/>
        </w:rPr>
        <w:t>支出决算为</w:t>
      </w:r>
      <w:r>
        <w:rPr>
          <w:rFonts w:ascii="仿宋" w:hAnsi="仿宋" w:eastAsia="仿宋" w:cs="宋体"/>
          <w:sz w:val="32"/>
          <w:szCs w:val="32"/>
        </w:rPr>
        <w:t>1.57</w:t>
      </w:r>
      <w:r>
        <w:rPr>
          <w:rFonts w:hint="eastAsia" w:ascii="仿宋" w:hAnsi="仿宋" w:eastAsia="仿宋" w:cs="宋体"/>
          <w:sz w:val="32"/>
          <w:szCs w:val="32"/>
        </w:rPr>
        <w:t>万元，完成预算</w:t>
      </w:r>
      <w:r>
        <w:rPr>
          <w:rFonts w:ascii="仿宋" w:hAnsi="仿宋" w:eastAsia="仿宋" w:cs="宋体"/>
          <w:sz w:val="32"/>
          <w:szCs w:val="32"/>
        </w:rPr>
        <w:t>100%</w:t>
      </w:r>
      <w:r>
        <w:rPr>
          <w:rFonts w:hint="eastAsia" w:ascii="仿宋" w:hAnsi="仿宋" w:eastAsia="仿宋" w:cs="宋体"/>
          <w:sz w:val="32"/>
          <w:szCs w:val="32"/>
        </w:rPr>
        <w:t>。</w:t>
      </w:r>
    </w:p>
    <w:p>
      <w:pPr>
        <w:tabs>
          <w:tab w:val="left" w:pos="720"/>
          <w:tab w:val="left" w:pos="3600"/>
        </w:tabs>
        <w:ind w:firstLine="640" w:firstLineChars="200"/>
        <w:jc w:val="left"/>
        <w:rPr>
          <w:rFonts w:ascii="仿宋" w:hAnsi="仿宋" w:eastAsia="仿宋" w:cs="宋体"/>
          <w:sz w:val="32"/>
          <w:szCs w:val="32"/>
        </w:rPr>
      </w:pPr>
      <w:r>
        <w:rPr>
          <w:rFonts w:ascii="仿宋" w:hAnsi="仿宋" w:eastAsia="仿宋" w:cs="宋体"/>
          <w:sz w:val="32"/>
          <w:szCs w:val="32"/>
        </w:rPr>
        <w:t>6.</w:t>
      </w:r>
      <w:r>
        <w:rPr>
          <w:rFonts w:hint="eastAsia" w:ascii="仿宋" w:hAnsi="仿宋" w:eastAsia="仿宋" w:cs="宋体"/>
          <w:sz w:val="32"/>
          <w:szCs w:val="32"/>
        </w:rPr>
        <w:t>医疗卫生与计划生育（类）行政事业单位医疗（款）行政单位医疗（项）</w:t>
      </w:r>
      <w:r>
        <w:rPr>
          <w:rFonts w:ascii="仿宋" w:hAnsi="仿宋" w:eastAsia="仿宋" w:cs="宋体"/>
          <w:sz w:val="32"/>
          <w:szCs w:val="32"/>
        </w:rPr>
        <w:t>:</w:t>
      </w:r>
      <w:r>
        <w:rPr>
          <w:rFonts w:hint="eastAsia" w:ascii="仿宋" w:hAnsi="仿宋" w:eastAsia="仿宋" w:cs="宋体"/>
          <w:sz w:val="32"/>
          <w:szCs w:val="32"/>
        </w:rPr>
        <w:t>支出决算为</w:t>
      </w:r>
      <w:r>
        <w:rPr>
          <w:rFonts w:ascii="仿宋" w:hAnsi="仿宋" w:eastAsia="仿宋" w:cs="宋体"/>
          <w:sz w:val="32"/>
          <w:szCs w:val="32"/>
        </w:rPr>
        <w:t>43.29</w:t>
      </w:r>
      <w:r>
        <w:rPr>
          <w:rFonts w:hint="eastAsia" w:ascii="仿宋" w:hAnsi="仿宋" w:eastAsia="仿宋" w:cs="宋体"/>
          <w:sz w:val="32"/>
          <w:szCs w:val="32"/>
        </w:rPr>
        <w:t>万元，完成预算</w:t>
      </w:r>
      <w:r>
        <w:rPr>
          <w:rFonts w:ascii="仿宋" w:hAnsi="仿宋" w:eastAsia="仿宋" w:cs="宋体"/>
          <w:sz w:val="32"/>
          <w:szCs w:val="32"/>
        </w:rPr>
        <w:t>100%</w:t>
      </w:r>
      <w:r>
        <w:rPr>
          <w:rFonts w:hint="eastAsia" w:ascii="仿宋" w:hAnsi="仿宋" w:eastAsia="仿宋" w:cs="宋体"/>
          <w:sz w:val="32"/>
          <w:szCs w:val="32"/>
        </w:rPr>
        <w:t>。</w:t>
      </w:r>
    </w:p>
    <w:p>
      <w:pPr>
        <w:ind w:firstLine="640" w:firstLineChars="200"/>
        <w:rPr>
          <w:rFonts w:ascii="仿宋" w:hAnsi="仿宋" w:eastAsia="仿宋" w:cs="宋体"/>
          <w:kern w:val="0"/>
          <w:sz w:val="32"/>
          <w:szCs w:val="32"/>
          <w:highlight w:val="yellow"/>
        </w:rPr>
      </w:pPr>
      <w:r>
        <w:rPr>
          <w:rFonts w:ascii="仿宋" w:hAnsi="仿宋" w:eastAsia="仿宋" w:cs="宋体"/>
          <w:sz w:val="32"/>
          <w:szCs w:val="32"/>
        </w:rPr>
        <w:t>7.</w:t>
      </w:r>
      <w:r>
        <w:rPr>
          <w:rFonts w:hint="eastAsia" w:ascii="仿宋" w:hAnsi="仿宋" w:eastAsia="仿宋" w:cs="宋体"/>
          <w:sz w:val="32"/>
          <w:szCs w:val="32"/>
        </w:rPr>
        <w:t>住房保障（类）住房改革（款）住房公积金（项）</w:t>
      </w:r>
      <w:r>
        <w:rPr>
          <w:rFonts w:ascii="仿宋" w:hAnsi="仿宋" w:eastAsia="仿宋" w:cs="宋体"/>
          <w:sz w:val="32"/>
          <w:szCs w:val="32"/>
        </w:rPr>
        <w:t>:</w:t>
      </w:r>
      <w:r>
        <w:rPr>
          <w:rFonts w:hint="eastAsia" w:ascii="仿宋" w:hAnsi="仿宋" w:eastAsia="仿宋" w:cs="宋体"/>
          <w:sz w:val="32"/>
          <w:szCs w:val="32"/>
        </w:rPr>
        <w:t>支出决算为</w:t>
      </w:r>
      <w:r>
        <w:rPr>
          <w:rFonts w:ascii="仿宋" w:hAnsi="仿宋" w:eastAsia="仿宋" w:cs="宋体"/>
          <w:sz w:val="32"/>
          <w:szCs w:val="32"/>
        </w:rPr>
        <w:t>13.87</w:t>
      </w:r>
      <w:r>
        <w:rPr>
          <w:rFonts w:hint="eastAsia" w:ascii="仿宋" w:hAnsi="仿宋" w:eastAsia="仿宋" w:cs="宋体"/>
          <w:sz w:val="32"/>
          <w:szCs w:val="32"/>
        </w:rPr>
        <w:t>万元，完成预算</w:t>
      </w:r>
      <w:r>
        <w:rPr>
          <w:rFonts w:ascii="仿宋" w:hAnsi="仿宋" w:eastAsia="仿宋" w:cs="宋体"/>
          <w:sz w:val="32"/>
          <w:szCs w:val="32"/>
        </w:rPr>
        <w:t>100%</w:t>
      </w:r>
      <w:r>
        <w:rPr>
          <w:rFonts w:hint="eastAsia" w:ascii="仿宋" w:hAnsi="仿宋" w:eastAsia="仿宋" w:cs="宋体"/>
          <w:sz w:val="32"/>
          <w:szCs w:val="32"/>
        </w:rPr>
        <w:t>。</w:t>
      </w:r>
      <w:r>
        <w:rPr>
          <w:rFonts w:ascii="宋体" w:cs="宋体"/>
          <w:kern w:val="0"/>
          <w:sz w:val="32"/>
          <w:szCs w:val="32"/>
        </w:rPr>
        <w:br w:type="textWrapping"/>
      </w:r>
      <w:r>
        <w:rPr>
          <w:rFonts w:hint="eastAsia" w:ascii="宋体" w:hAnsi="宋体" w:cs="宋体"/>
          <w:kern w:val="0"/>
          <w:sz w:val="32"/>
          <w:szCs w:val="32"/>
        </w:rPr>
        <w:t>　</w:t>
      </w:r>
      <w:r>
        <w:rPr>
          <w:rFonts w:ascii="宋体" w:hAnsi="宋体" w:cs="宋体"/>
          <w:kern w:val="0"/>
          <w:sz w:val="32"/>
          <w:szCs w:val="32"/>
        </w:rPr>
        <w:t xml:space="preserve">  </w:t>
      </w:r>
      <w:r>
        <w:rPr>
          <w:rFonts w:hint="eastAsia" w:ascii="黑体" w:hAnsi="黑体" w:eastAsia="黑体" w:cs="宋体"/>
          <w:kern w:val="0"/>
          <w:sz w:val="32"/>
          <w:szCs w:val="32"/>
        </w:rPr>
        <w:t>三、部门财政支出管理情况</w:t>
      </w:r>
      <w:r>
        <w:rPr>
          <w:rFonts w:ascii="黑体" w:hAnsi="黑体" w:eastAsia="黑体" w:cs="宋体"/>
          <w:kern w:val="0"/>
          <w:sz w:val="32"/>
          <w:szCs w:val="32"/>
        </w:rPr>
        <w:t xml:space="preserve"> </w:t>
      </w:r>
      <w:r>
        <w:rPr>
          <w:rFonts w:ascii="宋体" w:cs="宋体"/>
          <w:kern w:val="0"/>
          <w:sz w:val="32"/>
          <w:szCs w:val="32"/>
        </w:rPr>
        <w:br w:type="textWrapping"/>
      </w:r>
      <w:r>
        <w:rPr>
          <w:rFonts w:ascii="宋体" w:hAnsi="宋体" w:cs="宋体"/>
          <w:kern w:val="0"/>
          <w:sz w:val="32"/>
          <w:szCs w:val="32"/>
        </w:rPr>
        <w:t xml:space="preserve">   </w:t>
      </w:r>
      <w:r>
        <w:rPr>
          <w:rFonts w:hint="eastAsia" w:ascii="仿宋" w:hAnsi="仿宋" w:eastAsia="仿宋" w:cs="宋体"/>
          <w:kern w:val="0"/>
          <w:sz w:val="32"/>
          <w:szCs w:val="32"/>
        </w:rPr>
        <w:t>（一）部门预算管理。</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1</w:t>
      </w:r>
      <w:r>
        <w:rPr>
          <w:rFonts w:hint="eastAsia" w:ascii="仿宋" w:hAnsi="仿宋" w:eastAsia="仿宋" w:cs="宋体"/>
          <w:kern w:val="0"/>
          <w:sz w:val="32"/>
          <w:szCs w:val="32"/>
        </w:rPr>
        <w:t>、预算编制</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w:t>
      </w:r>
      <w:r>
        <w:rPr>
          <w:rFonts w:ascii="仿宋" w:hAnsi="仿宋" w:eastAsia="仿宋" w:cs="宋体"/>
          <w:kern w:val="0"/>
          <w:sz w:val="32"/>
          <w:szCs w:val="32"/>
        </w:rPr>
        <w:t>1</w:t>
      </w:r>
      <w:r>
        <w:rPr>
          <w:rFonts w:hint="eastAsia" w:ascii="仿宋" w:hAnsi="仿宋" w:eastAsia="仿宋" w:cs="宋体"/>
          <w:kern w:val="0"/>
          <w:sz w:val="32"/>
          <w:szCs w:val="32"/>
        </w:rPr>
        <w:t>）目标制定。严格按照县财政局部门预算编制通知和有关要求，</w:t>
      </w:r>
      <w:r>
        <w:rPr>
          <w:rFonts w:hint="eastAsia" w:ascii="仿宋" w:hAnsi="仿宋" w:eastAsia="仿宋" w:cs="宋体"/>
          <w:sz w:val="32"/>
          <w:szCs w:val="32"/>
        </w:rPr>
        <w:t>认真贯彻落实党的各项政策，中央、省、市相关会议精神</w:t>
      </w:r>
      <w:r>
        <w:rPr>
          <w:rFonts w:ascii="仿宋" w:hAnsi="仿宋" w:eastAsia="仿宋" w:cs="宋体"/>
          <w:sz w:val="32"/>
          <w:szCs w:val="32"/>
        </w:rPr>
        <w:t>,</w:t>
      </w:r>
      <w:r>
        <w:rPr>
          <w:rFonts w:hint="eastAsia" w:ascii="仿宋" w:hAnsi="仿宋" w:eastAsia="仿宋" w:cs="宋体"/>
          <w:sz w:val="32"/>
          <w:szCs w:val="32"/>
        </w:rPr>
        <w:t>顺应人民群众对公共安全</w:t>
      </w:r>
      <w:r>
        <w:rPr>
          <w:rFonts w:ascii="仿宋" w:hAnsi="仿宋" w:eastAsia="仿宋" w:cs="宋体"/>
          <w:sz w:val="32"/>
          <w:szCs w:val="32"/>
        </w:rPr>
        <w:t>,</w:t>
      </w:r>
      <w:r>
        <w:rPr>
          <w:rFonts w:hint="eastAsia" w:ascii="仿宋" w:hAnsi="仿宋" w:eastAsia="仿宋" w:cs="宋体"/>
          <w:sz w:val="32"/>
          <w:szCs w:val="32"/>
        </w:rPr>
        <w:t>反腐倡廉、司法公正、权益保障的新期待</w:t>
      </w:r>
      <w:r>
        <w:rPr>
          <w:rFonts w:ascii="仿宋" w:hAnsi="仿宋" w:eastAsia="仿宋" w:cs="宋体"/>
          <w:sz w:val="32"/>
          <w:szCs w:val="32"/>
        </w:rPr>
        <w:t>,</w:t>
      </w:r>
      <w:r>
        <w:rPr>
          <w:rFonts w:hint="eastAsia" w:ascii="仿宋" w:hAnsi="仿宋" w:eastAsia="仿宋" w:cs="宋体"/>
          <w:sz w:val="32"/>
          <w:szCs w:val="32"/>
        </w:rPr>
        <w:t>以强化法律监督、强化自身监督、强化队伍建设为总要求</w:t>
      </w:r>
      <w:r>
        <w:rPr>
          <w:rFonts w:ascii="仿宋" w:hAnsi="仿宋" w:eastAsia="仿宋" w:cs="宋体"/>
          <w:sz w:val="32"/>
          <w:szCs w:val="32"/>
        </w:rPr>
        <w:t>,</w:t>
      </w:r>
      <w:r>
        <w:rPr>
          <w:rFonts w:hint="eastAsia" w:ascii="仿宋" w:hAnsi="仿宋" w:eastAsia="仿宋" w:cs="宋体"/>
          <w:sz w:val="32"/>
          <w:szCs w:val="32"/>
        </w:rPr>
        <w:t>坚持有法必依</w:t>
      </w:r>
      <w:r>
        <w:rPr>
          <w:rFonts w:ascii="仿宋" w:hAnsi="仿宋" w:eastAsia="仿宋" w:cs="宋体"/>
          <w:sz w:val="32"/>
          <w:szCs w:val="32"/>
        </w:rPr>
        <w:t>,</w:t>
      </w:r>
      <w:r>
        <w:rPr>
          <w:rFonts w:hint="eastAsia" w:ascii="仿宋" w:hAnsi="仿宋" w:eastAsia="仿宋" w:cs="宋体"/>
          <w:sz w:val="32"/>
          <w:szCs w:val="32"/>
        </w:rPr>
        <w:t>执法必严</w:t>
      </w:r>
      <w:r>
        <w:rPr>
          <w:rFonts w:ascii="仿宋" w:hAnsi="仿宋" w:eastAsia="仿宋" w:cs="宋体"/>
          <w:sz w:val="32"/>
          <w:szCs w:val="32"/>
        </w:rPr>
        <w:t>,</w:t>
      </w:r>
      <w:r>
        <w:rPr>
          <w:rFonts w:hint="eastAsia" w:ascii="仿宋" w:hAnsi="仿宋" w:eastAsia="仿宋" w:cs="宋体"/>
          <w:sz w:val="32"/>
          <w:szCs w:val="32"/>
        </w:rPr>
        <w:t>违法必究</w:t>
      </w:r>
      <w:r>
        <w:rPr>
          <w:rFonts w:ascii="仿宋" w:hAnsi="仿宋" w:eastAsia="仿宋" w:cs="宋体"/>
          <w:sz w:val="32"/>
          <w:szCs w:val="32"/>
        </w:rPr>
        <w:t>,</w:t>
      </w:r>
      <w:r>
        <w:rPr>
          <w:rFonts w:hint="eastAsia" w:ascii="仿宋" w:hAnsi="仿宋" w:eastAsia="仿宋" w:cs="宋体"/>
          <w:sz w:val="32"/>
          <w:szCs w:val="32"/>
        </w:rPr>
        <w:t>全力推进平安渠县</w:t>
      </w:r>
      <w:r>
        <w:rPr>
          <w:rFonts w:ascii="仿宋" w:hAnsi="仿宋" w:eastAsia="仿宋" w:cs="宋体"/>
          <w:sz w:val="32"/>
          <w:szCs w:val="32"/>
        </w:rPr>
        <w:t>,</w:t>
      </w:r>
      <w:r>
        <w:rPr>
          <w:rFonts w:hint="eastAsia" w:ascii="仿宋" w:hAnsi="仿宋" w:eastAsia="仿宋" w:cs="宋体"/>
          <w:sz w:val="32"/>
          <w:szCs w:val="32"/>
        </w:rPr>
        <w:t>法制渠县建设</w:t>
      </w:r>
      <w:r>
        <w:rPr>
          <w:rFonts w:ascii="仿宋" w:hAnsi="仿宋" w:eastAsia="仿宋" w:cs="宋体"/>
          <w:sz w:val="32"/>
          <w:szCs w:val="32"/>
        </w:rPr>
        <w:t>,</w:t>
      </w:r>
      <w:r>
        <w:rPr>
          <w:rFonts w:hint="eastAsia" w:ascii="仿宋" w:hAnsi="仿宋" w:eastAsia="仿宋" w:cs="宋体"/>
          <w:sz w:val="32"/>
          <w:szCs w:val="32"/>
        </w:rPr>
        <w:t>大力提升执法能力素质和执法公信力。</w:t>
      </w:r>
    </w:p>
    <w:p>
      <w:pPr>
        <w:widowControl/>
        <w:adjustRightInd w:val="0"/>
        <w:snapToGrid w:val="0"/>
        <w:spacing w:line="580" w:lineRule="exact"/>
        <w:ind w:firstLine="640" w:firstLineChars="200"/>
        <w:contextualSpacing/>
        <w:jc w:val="left"/>
        <w:rPr>
          <w:rFonts w:ascii="仿宋" w:hAnsi="仿宋" w:eastAsia="仿宋" w:cs="宋体"/>
          <w:kern w:val="0"/>
          <w:sz w:val="32"/>
          <w:szCs w:val="32"/>
        </w:rPr>
      </w:pPr>
      <w:r>
        <w:rPr>
          <w:rFonts w:hint="eastAsia" w:ascii="仿宋" w:hAnsi="仿宋" w:eastAsia="仿宋" w:cs="宋体"/>
          <w:kern w:val="0"/>
          <w:sz w:val="32"/>
          <w:szCs w:val="32"/>
        </w:rPr>
        <w:t>（</w:t>
      </w:r>
      <w:r>
        <w:rPr>
          <w:rFonts w:ascii="仿宋" w:hAnsi="仿宋" w:eastAsia="仿宋" w:cs="宋体"/>
          <w:kern w:val="0"/>
          <w:sz w:val="32"/>
          <w:szCs w:val="32"/>
        </w:rPr>
        <w:t>2</w:t>
      </w:r>
      <w:r>
        <w:rPr>
          <w:rFonts w:hint="eastAsia" w:ascii="仿宋" w:hAnsi="仿宋" w:eastAsia="仿宋" w:cs="宋体"/>
          <w:kern w:val="0"/>
          <w:sz w:val="32"/>
          <w:szCs w:val="32"/>
        </w:rPr>
        <w:t>）目标完成。</w:t>
      </w:r>
      <w:r>
        <w:rPr>
          <w:rFonts w:ascii="仿宋" w:hAnsi="仿宋" w:eastAsia="仿宋" w:cs="宋体"/>
          <w:kern w:val="0"/>
          <w:sz w:val="32"/>
          <w:szCs w:val="32"/>
        </w:rPr>
        <w:t>2019</w:t>
      </w:r>
      <w:r>
        <w:rPr>
          <w:rFonts w:hint="eastAsia" w:ascii="仿宋" w:hAnsi="仿宋" w:eastAsia="仿宋" w:cs="宋体"/>
          <w:kern w:val="0"/>
          <w:sz w:val="32"/>
          <w:szCs w:val="32"/>
        </w:rPr>
        <w:t>年年初预算绩效目标项目</w:t>
      </w:r>
      <w:r>
        <w:rPr>
          <w:rFonts w:ascii="仿宋" w:hAnsi="仿宋" w:eastAsia="仿宋" w:cs="宋体"/>
          <w:kern w:val="0"/>
          <w:sz w:val="32"/>
          <w:szCs w:val="32"/>
        </w:rPr>
        <w:t>4</w:t>
      </w:r>
      <w:r>
        <w:rPr>
          <w:rFonts w:hint="eastAsia" w:ascii="仿宋" w:hAnsi="仿宋" w:eastAsia="仿宋" w:cs="宋体"/>
          <w:kern w:val="0"/>
          <w:sz w:val="32"/>
          <w:szCs w:val="32"/>
        </w:rPr>
        <w:t>个，预算调整绩效目标项目</w:t>
      </w:r>
      <w:r>
        <w:rPr>
          <w:rFonts w:ascii="仿宋" w:hAnsi="仿宋" w:eastAsia="仿宋" w:cs="宋体"/>
          <w:kern w:val="0"/>
          <w:sz w:val="32"/>
          <w:szCs w:val="32"/>
        </w:rPr>
        <w:t>0</w:t>
      </w:r>
      <w:r>
        <w:rPr>
          <w:rFonts w:hint="eastAsia" w:ascii="仿宋" w:hAnsi="仿宋" w:eastAsia="仿宋" w:cs="宋体"/>
          <w:kern w:val="0"/>
          <w:sz w:val="32"/>
          <w:szCs w:val="32"/>
        </w:rPr>
        <w:t>个，当年完成项目</w:t>
      </w:r>
      <w:r>
        <w:rPr>
          <w:rFonts w:ascii="仿宋" w:hAnsi="仿宋" w:eastAsia="仿宋" w:cs="宋体"/>
          <w:kern w:val="0"/>
          <w:sz w:val="32"/>
          <w:szCs w:val="32"/>
        </w:rPr>
        <w:t>4</w:t>
      </w:r>
      <w:r>
        <w:rPr>
          <w:rFonts w:hint="eastAsia" w:ascii="仿宋" w:hAnsi="仿宋" w:eastAsia="仿宋" w:cs="宋体"/>
          <w:kern w:val="0"/>
          <w:sz w:val="32"/>
          <w:szCs w:val="32"/>
        </w:rPr>
        <w:t>个，实际完成情况均符合预期绩效目标，完成率</w:t>
      </w:r>
      <w:r>
        <w:rPr>
          <w:rFonts w:ascii="仿宋" w:hAnsi="仿宋" w:eastAsia="仿宋" w:cs="宋体"/>
          <w:kern w:val="0"/>
          <w:sz w:val="32"/>
          <w:szCs w:val="32"/>
        </w:rPr>
        <w:t>100%</w:t>
      </w:r>
      <w:r>
        <w:rPr>
          <w:rFonts w:hint="eastAsia" w:ascii="仿宋" w:hAnsi="仿宋" w:eastAsia="仿宋" w:cs="宋体"/>
          <w:kern w:val="0"/>
          <w:sz w:val="32"/>
          <w:szCs w:val="32"/>
        </w:rPr>
        <w:t>。</w:t>
      </w:r>
      <w:r>
        <w:rPr>
          <w:rFonts w:ascii="仿宋" w:hAnsi="仿宋" w:eastAsia="仿宋" w:cs="宋体"/>
          <w:kern w:val="0"/>
          <w:sz w:val="32"/>
          <w:szCs w:val="32"/>
        </w:rPr>
        <w:t xml:space="preserve"> </w:t>
      </w:r>
    </w:p>
    <w:p>
      <w:pPr>
        <w:widowControl/>
        <w:adjustRightInd w:val="0"/>
        <w:snapToGrid w:val="0"/>
        <w:spacing w:line="580" w:lineRule="exact"/>
        <w:ind w:firstLine="640" w:firstLineChars="200"/>
        <w:contextualSpacing/>
        <w:jc w:val="left"/>
        <w:rPr>
          <w:rFonts w:ascii="仿宋" w:hAnsi="仿宋" w:eastAsia="仿宋"/>
          <w:color w:val="000000"/>
          <w:kern w:val="0"/>
          <w:sz w:val="40"/>
          <w:szCs w:val="44"/>
        </w:rPr>
      </w:pPr>
      <w:r>
        <w:rPr>
          <w:rFonts w:hint="eastAsia" w:ascii="仿宋" w:hAnsi="仿宋" w:eastAsia="仿宋" w:cs="宋体"/>
          <w:kern w:val="0"/>
          <w:sz w:val="32"/>
          <w:szCs w:val="32"/>
        </w:rPr>
        <w:t>（</w:t>
      </w:r>
      <w:r>
        <w:rPr>
          <w:rFonts w:ascii="仿宋" w:hAnsi="仿宋" w:eastAsia="仿宋" w:cs="宋体"/>
          <w:kern w:val="0"/>
          <w:sz w:val="32"/>
          <w:szCs w:val="32"/>
        </w:rPr>
        <w:t>3</w:t>
      </w:r>
      <w:r>
        <w:rPr>
          <w:rFonts w:hint="eastAsia" w:ascii="仿宋" w:hAnsi="仿宋" w:eastAsia="仿宋" w:cs="宋体"/>
          <w:kern w:val="0"/>
          <w:sz w:val="32"/>
          <w:szCs w:val="32"/>
        </w:rPr>
        <w:t>）编制准确。</w:t>
      </w:r>
      <w:r>
        <w:rPr>
          <w:rFonts w:ascii="仿宋" w:hAnsi="仿宋" w:eastAsia="仿宋" w:cs="宋体"/>
          <w:kern w:val="0"/>
          <w:sz w:val="32"/>
          <w:szCs w:val="32"/>
        </w:rPr>
        <w:t>2019</w:t>
      </w:r>
      <w:r>
        <w:rPr>
          <w:rFonts w:hint="eastAsia" w:ascii="仿宋" w:hAnsi="仿宋" w:eastAsia="仿宋" w:cs="宋体"/>
          <w:kern w:val="0"/>
          <w:sz w:val="32"/>
          <w:szCs w:val="32"/>
        </w:rPr>
        <w:t>年度编制部门预算总额</w:t>
      </w:r>
      <w:r>
        <w:rPr>
          <w:rFonts w:ascii="仿宋" w:hAnsi="仿宋" w:eastAsia="仿宋" w:cs="宋体"/>
          <w:kern w:val="0"/>
          <w:sz w:val="32"/>
          <w:szCs w:val="32"/>
        </w:rPr>
        <w:t>1905.49</w:t>
      </w:r>
      <w:r>
        <w:rPr>
          <w:rFonts w:hint="eastAsia" w:ascii="仿宋" w:hAnsi="仿宋" w:eastAsia="仿宋" w:cs="宋体"/>
          <w:kern w:val="0"/>
          <w:sz w:val="32"/>
          <w:szCs w:val="32"/>
        </w:rPr>
        <w:t>万元</w:t>
      </w:r>
      <w:r>
        <w:rPr>
          <w:rFonts w:ascii="仿宋" w:hAnsi="仿宋" w:eastAsia="仿宋" w:cs="宋体"/>
          <w:kern w:val="0"/>
          <w:sz w:val="32"/>
          <w:szCs w:val="32"/>
        </w:rPr>
        <w:t>,</w:t>
      </w:r>
      <w:r>
        <w:rPr>
          <w:rFonts w:hint="eastAsia" w:ascii="仿宋" w:hAnsi="仿宋" w:eastAsia="仿宋" w:cs="宋体"/>
          <w:kern w:val="0"/>
          <w:sz w:val="32"/>
          <w:szCs w:val="32"/>
        </w:rPr>
        <w:t>支出决算数完成预算的</w:t>
      </w:r>
      <w:r>
        <w:rPr>
          <w:rFonts w:ascii="仿宋" w:hAnsi="仿宋" w:eastAsia="仿宋" w:cs="宋体"/>
          <w:kern w:val="0"/>
          <w:sz w:val="32"/>
          <w:szCs w:val="32"/>
        </w:rPr>
        <w:t>100%</w:t>
      </w:r>
      <w:r>
        <w:rPr>
          <w:rFonts w:hint="eastAsia" w:ascii="仿宋" w:hAnsi="仿宋" w:eastAsia="仿宋" w:cs="宋体"/>
          <w:kern w:val="0"/>
          <w:sz w:val="32"/>
          <w:szCs w:val="32"/>
        </w:rPr>
        <w:t>。</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2.</w:t>
      </w:r>
      <w:r>
        <w:rPr>
          <w:rFonts w:hint="eastAsia" w:ascii="仿宋" w:hAnsi="仿宋" w:eastAsia="仿宋" w:cs="宋体"/>
          <w:kern w:val="0"/>
          <w:sz w:val="32"/>
          <w:szCs w:val="32"/>
        </w:rPr>
        <w:t>预算执行</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w:t>
      </w:r>
      <w:r>
        <w:rPr>
          <w:rFonts w:ascii="仿宋" w:hAnsi="仿宋" w:eastAsia="仿宋" w:cs="宋体"/>
          <w:kern w:val="0"/>
          <w:sz w:val="32"/>
          <w:szCs w:val="32"/>
        </w:rPr>
        <w:t>1</w:t>
      </w:r>
      <w:r>
        <w:rPr>
          <w:rFonts w:hint="eastAsia" w:ascii="仿宋" w:hAnsi="仿宋" w:eastAsia="仿宋" w:cs="宋体"/>
          <w:kern w:val="0"/>
          <w:sz w:val="32"/>
          <w:szCs w:val="32"/>
        </w:rPr>
        <w:t>）支出控制。</w:t>
      </w:r>
      <w:r>
        <w:rPr>
          <w:rFonts w:ascii="仿宋" w:hAnsi="仿宋" w:eastAsia="仿宋" w:cs="宋体"/>
          <w:kern w:val="0"/>
          <w:sz w:val="32"/>
          <w:szCs w:val="32"/>
        </w:rPr>
        <w:t>2019</w:t>
      </w:r>
      <w:r>
        <w:rPr>
          <w:rFonts w:hint="eastAsia" w:ascii="仿宋" w:hAnsi="仿宋" w:eastAsia="仿宋" w:cs="宋体"/>
          <w:kern w:val="0"/>
          <w:sz w:val="32"/>
          <w:szCs w:val="32"/>
        </w:rPr>
        <w:t>年按财政年初下达的资金计划进度申请资金拨付，资金使用效果良好，财政资金得到有效利用，达到了预期目标。</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w:t>
      </w:r>
      <w:r>
        <w:rPr>
          <w:rFonts w:ascii="仿宋" w:hAnsi="仿宋" w:eastAsia="仿宋" w:cs="宋体"/>
          <w:kern w:val="0"/>
          <w:sz w:val="32"/>
          <w:szCs w:val="32"/>
        </w:rPr>
        <w:t>2</w:t>
      </w:r>
      <w:r>
        <w:rPr>
          <w:rFonts w:hint="eastAsia" w:ascii="仿宋" w:hAnsi="仿宋" w:eastAsia="仿宋" w:cs="宋体"/>
          <w:kern w:val="0"/>
          <w:sz w:val="32"/>
          <w:szCs w:val="32"/>
        </w:rPr>
        <w:t>）动态调整。自实行对绩效目标实现程度和预算执行进度实行“双监控”以来，我单位无支付业务异常提示和部门绩效监控调整取消预算情况。</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hint="eastAsia" w:ascii="仿宋" w:hAnsi="仿宋" w:eastAsia="仿宋" w:cs="宋体"/>
          <w:kern w:val="0"/>
          <w:sz w:val="32"/>
          <w:szCs w:val="32"/>
        </w:rPr>
        <w:t>　</w:t>
      </w:r>
      <w:r>
        <w:rPr>
          <w:rFonts w:ascii="仿宋" w:hAnsi="仿宋" w:eastAsia="仿宋" w:cs="宋体"/>
          <w:kern w:val="0"/>
          <w:sz w:val="32"/>
          <w:szCs w:val="32"/>
        </w:rPr>
        <w:t xml:space="preserve">  </w:t>
      </w:r>
      <w:r>
        <w:rPr>
          <w:rFonts w:hint="eastAsia" w:ascii="仿宋" w:hAnsi="仿宋" w:eastAsia="仿宋" w:cs="宋体"/>
          <w:kern w:val="0"/>
          <w:sz w:val="32"/>
          <w:szCs w:val="32"/>
        </w:rPr>
        <w:t>（</w:t>
      </w:r>
      <w:r>
        <w:rPr>
          <w:rFonts w:ascii="仿宋" w:hAnsi="仿宋" w:eastAsia="仿宋" w:cs="宋体"/>
          <w:kern w:val="0"/>
          <w:sz w:val="32"/>
          <w:szCs w:val="32"/>
        </w:rPr>
        <w:t>3</w:t>
      </w:r>
      <w:r>
        <w:rPr>
          <w:rFonts w:hint="eastAsia" w:ascii="仿宋" w:hAnsi="仿宋" w:eastAsia="仿宋" w:cs="宋体"/>
          <w:kern w:val="0"/>
          <w:sz w:val="32"/>
          <w:szCs w:val="32"/>
        </w:rPr>
        <w:t>）执行进度。</w:t>
      </w:r>
      <w:r>
        <w:rPr>
          <w:rFonts w:ascii="仿宋" w:hAnsi="仿宋" w:eastAsia="仿宋" w:cs="宋体"/>
          <w:sz w:val="32"/>
          <w:szCs w:val="32"/>
        </w:rPr>
        <w:t>2019</w:t>
      </w:r>
      <w:r>
        <w:rPr>
          <w:rFonts w:hint="eastAsia" w:ascii="仿宋" w:hAnsi="仿宋" w:eastAsia="仿宋" w:cs="宋体"/>
          <w:sz w:val="32"/>
          <w:szCs w:val="32"/>
        </w:rPr>
        <w:t>年，上半年执行力度相对偏弱，下半年基本达到了实际支出进度。</w:t>
      </w:r>
      <w:r>
        <w:rPr>
          <w:rFonts w:ascii="仿宋" w:hAnsi="仿宋" w:eastAsia="仿宋" w:cs="宋体"/>
          <w:kern w:val="0"/>
          <w:sz w:val="32"/>
          <w:szCs w:val="32"/>
        </w:rPr>
        <w:br w:type="textWrapping"/>
      </w:r>
      <w:r>
        <w:rPr>
          <w:rFonts w:ascii="仿宋" w:hAnsi="仿宋" w:eastAsia="仿宋" w:cs="宋体"/>
          <w:kern w:val="0"/>
          <w:sz w:val="32"/>
          <w:szCs w:val="32"/>
        </w:rPr>
        <w:t xml:space="preserve">    3.</w:t>
      </w:r>
      <w:r>
        <w:rPr>
          <w:rFonts w:hint="eastAsia" w:ascii="仿宋" w:hAnsi="仿宋" w:eastAsia="仿宋" w:cs="宋体"/>
          <w:kern w:val="0"/>
          <w:sz w:val="32"/>
          <w:szCs w:val="32"/>
        </w:rPr>
        <w:t>完成结果</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w:t>
      </w:r>
      <w:r>
        <w:rPr>
          <w:rFonts w:ascii="仿宋" w:hAnsi="仿宋" w:eastAsia="仿宋" w:cs="宋体"/>
          <w:kern w:val="0"/>
          <w:sz w:val="32"/>
          <w:szCs w:val="32"/>
        </w:rPr>
        <w:t>1</w:t>
      </w:r>
      <w:r>
        <w:rPr>
          <w:rFonts w:hint="eastAsia" w:ascii="仿宋" w:hAnsi="仿宋" w:eastAsia="仿宋" w:cs="宋体"/>
          <w:kern w:val="0"/>
          <w:sz w:val="32"/>
          <w:szCs w:val="32"/>
        </w:rPr>
        <w:t>）预算完成。</w:t>
      </w:r>
      <w:r>
        <w:rPr>
          <w:rFonts w:ascii="仿宋" w:hAnsi="仿宋" w:eastAsia="仿宋" w:cs="宋体"/>
          <w:kern w:val="0"/>
          <w:sz w:val="32"/>
          <w:szCs w:val="32"/>
        </w:rPr>
        <w:t>2019</w:t>
      </w:r>
      <w:r>
        <w:rPr>
          <w:rFonts w:hint="eastAsia" w:ascii="仿宋" w:hAnsi="仿宋" w:eastAsia="仿宋" w:cs="宋体"/>
          <w:kern w:val="0"/>
          <w:sz w:val="32"/>
          <w:szCs w:val="32"/>
        </w:rPr>
        <w:t>年一般公共预算财政拨款收入</w:t>
      </w:r>
      <w:r>
        <w:rPr>
          <w:rFonts w:ascii="仿宋" w:hAnsi="仿宋" w:eastAsia="仿宋" w:cs="宋体"/>
          <w:kern w:val="0"/>
          <w:sz w:val="32"/>
          <w:szCs w:val="32"/>
        </w:rPr>
        <w:t>2694.49</w:t>
      </w:r>
      <w:r>
        <w:rPr>
          <w:rFonts w:hint="eastAsia" w:ascii="仿宋" w:hAnsi="仿宋" w:eastAsia="仿宋" w:cs="宋体"/>
          <w:kern w:val="0"/>
          <w:sz w:val="32"/>
          <w:szCs w:val="32"/>
        </w:rPr>
        <w:t>万元，一般公共预算财政拨款支出决算数为</w:t>
      </w:r>
      <w:r>
        <w:rPr>
          <w:rFonts w:ascii="仿宋" w:hAnsi="仿宋" w:eastAsia="仿宋" w:cs="宋体"/>
          <w:kern w:val="0"/>
          <w:sz w:val="32"/>
          <w:szCs w:val="32"/>
        </w:rPr>
        <w:t>1905.49</w:t>
      </w:r>
      <w:r>
        <w:rPr>
          <w:rFonts w:hint="eastAsia" w:ascii="仿宋" w:hAnsi="仿宋" w:eastAsia="仿宋" w:cs="宋体"/>
          <w:kern w:val="0"/>
          <w:sz w:val="32"/>
          <w:szCs w:val="32"/>
        </w:rPr>
        <w:t>万元，完成预算</w:t>
      </w:r>
      <w:r>
        <w:rPr>
          <w:rFonts w:ascii="仿宋" w:hAnsi="仿宋" w:eastAsia="仿宋" w:cs="宋体"/>
          <w:kern w:val="0"/>
          <w:sz w:val="32"/>
          <w:szCs w:val="32"/>
        </w:rPr>
        <w:t>100%</w:t>
      </w:r>
      <w:r>
        <w:rPr>
          <w:rFonts w:hint="eastAsia" w:ascii="仿宋" w:hAnsi="仿宋" w:eastAsia="仿宋" w:cs="宋体"/>
          <w:kern w:val="0"/>
          <w:sz w:val="32"/>
          <w:szCs w:val="32"/>
        </w:rPr>
        <w:t>。</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w:t>
      </w:r>
      <w:r>
        <w:rPr>
          <w:rFonts w:ascii="仿宋" w:hAnsi="仿宋" w:eastAsia="仿宋" w:cs="宋体"/>
          <w:kern w:val="0"/>
          <w:sz w:val="32"/>
          <w:szCs w:val="32"/>
        </w:rPr>
        <w:t>2</w:t>
      </w:r>
      <w:r>
        <w:rPr>
          <w:rFonts w:hint="eastAsia" w:ascii="仿宋" w:hAnsi="仿宋" w:eastAsia="仿宋" w:cs="宋体"/>
          <w:kern w:val="0"/>
          <w:sz w:val="32"/>
          <w:szCs w:val="32"/>
        </w:rPr>
        <w:t>）违规记录。</w:t>
      </w:r>
      <w:r>
        <w:rPr>
          <w:rFonts w:ascii="仿宋" w:hAnsi="仿宋" w:eastAsia="仿宋" w:cs="宋体"/>
          <w:kern w:val="0"/>
          <w:sz w:val="32"/>
          <w:szCs w:val="32"/>
        </w:rPr>
        <w:t>2019</w:t>
      </w:r>
      <w:r>
        <w:rPr>
          <w:rFonts w:hint="eastAsia" w:ascii="仿宋" w:hAnsi="仿宋" w:eastAsia="仿宋" w:cs="宋体"/>
          <w:kern w:val="0"/>
          <w:sz w:val="32"/>
          <w:szCs w:val="32"/>
        </w:rPr>
        <w:t>年，无违规记录。</w:t>
      </w:r>
    </w:p>
    <w:p>
      <w:pPr>
        <w:ind w:firstLine="640" w:firstLineChars="200"/>
        <w:rPr>
          <w:rFonts w:ascii="仿宋" w:hAnsi="仿宋" w:eastAsia="仿宋" w:cs="宋体"/>
          <w:kern w:val="0"/>
          <w:sz w:val="32"/>
          <w:szCs w:val="32"/>
        </w:rPr>
      </w:pPr>
      <w:r>
        <w:rPr>
          <w:rFonts w:ascii="仿宋" w:hAnsi="仿宋" w:eastAsia="仿宋" w:cs="宋体"/>
          <w:kern w:val="0"/>
          <w:sz w:val="32"/>
          <w:szCs w:val="32"/>
        </w:rPr>
        <w:t>(</w:t>
      </w:r>
      <w:r>
        <w:rPr>
          <w:rFonts w:hint="eastAsia" w:ascii="仿宋" w:hAnsi="仿宋" w:eastAsia="仿宋" w:cs="宋体"/>
          <w:kern w:val="0"/>
          <w:sz w:val="32"/>
          <w:szCs w:val="32"/>
        </w:rPr>
        <w:t>三</w:t>
      </w:r>
      <w:r>
        <w:rPr>
          <w:rFonts w:ascii="仿宋" w:hAnsi="仿宋" w:eastAsia="仿宋" w:cs="宋体"/>
          <w:kern w:val="0"/>
          <w:sz w:val="32"/>
          <w:szCs w:val="32"/>
        </w:rPr>
        <w:t>)</w:t>
      </w:r>
      <w:r>
        <w:rPr>
          <w:rFonts w:hint="eastAsia" w:ascii="仿宋" w:hAnsi="仿宋" w:eastAsia="仿宋" w:cs="宋体"/>
          <w:kern w:val="0"/>
          <w:sz w:val="32"/>
          <w:szCs w:val="32"/>
        </w:rPr>
        <w:t>结果应用情况</w:t>
      </w:r>
    </w:p>
    <w:p>
      <w:pPr>
        <w:ind w:firstLine="640" w:firstLineChars="200"/>
        <w:rPr>
          <w:rFonts w:ascii="仿宋" w:hAnsi="仿宋" w:eastAsia="仿宋" w:cs="宋体"/>
          <w:kern w:val="0"/>
          <w:sz w:val="32"/>
          <w:szCs w:val="32"/>
        </w:rPr>
      </w:pPr>
      <w:r>
        <w:rPr>
          <w:rFonts w:ascii="仿宋" w:hAnsi="仿宋" w:eastAsia="仿宋" w:cs="宋体"/>
          <w:kern w:val="0"/>
          <w:sz w:val="32"/>
          <w:szCs w:val="32"/>
        </w:rPr>
        <w:t xml:space="preserve">1. </w:t>
      </w:r>
      <w:r>
        <w:rPr>
          <w:rFonts w:hint="eastAsia" w:ascii="仿宋" w:hAnsi="仿宋" w:eastAsia="仿宋" w:cs="宋体"/>
          <w:kern w:val="0"/>
          <w:sz w:val="32"/>
          <w:szCs w:val="32"/>
        </w:rPr>
        <w:t>自评质量。</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hint="eastAsia" w:ascii="仿宋" w:hAnsi="仿宋" w:eastAsia="仿宋" w:cs="宋体"/>
          <w:kern w:val="0"/>
          <w:sz w:val="32"/>
          <w:szCs w:val="32"/>
        </w:rPr>
        <w:t>　渠县人民检察院</w:t>
      </w:r>
      <w:r>
        <w:rPr>
          <w:rFonts w:ascii="仿宋" w:hAnsi="仿宋" w:eastAsia="仿宋" w:cs="宋体"/>
          <w:kern w:val="0"/>
          <w:sz w:val="32"/>
          <w:szCs w:val="32"/>
        </w:rPr>
        <w:t>2019</w:t>
      </w:r>
      <w:r>
        <w:rPr>
          <w:rFonts w:hint="eastAsia" w:ascii="仿宋" w:hAnsi="仿宋" w:eastAsia="仿宋" w:cs="宋体"/>
          <w:kern w:val="0"/>
          <w:sz w:val="32"/>
          <w:szCs w:val="32"/>
        </w:rPr>
        <w:t>年部门支出绩效评价得分</w:t>
      </w:r>
      <w:r>
        <w:rPr>
          <w:rFonts w:ascii="仿宋" w:hAnsi="仿宋" w:eastAsia="仿宋" w:cs="宋体"/>
          <w:kern w:val="0"/>
          <w:sz w:val="32"/>
          <w:szCs w:val="32"/>
        </w:rPr>
        <w:t>96</w:t>
      </w:r>
      <w:r>
        <w:rPr>
          <w:rFonts w:hint="eastAsia" w:ascii="仿宋" w:hAnsi="仿宋" w:eastAsia="仿宋" w:cs="宋体"/>
          <w:kern w:val="0"/>
          <w:sz w:val="32"/>
          <w:szCs w:val="32"/>
        </w:rPr>
        <w:t>分，详见下表。</w:t>
      </w:r>
    </w:p>
    <w:tbl>
      <w:tblPr>
        <w:tblStyle w:val="19"/>
        <w:tblW w:w="9272" w:type="dxa"/>
        <w:tblInd w:w="0" w:type="dxa"/>
        <w:tblLayout w:type="autofit"/>
        <w:tblCellMar>
          <w:top w:w="0" w:type="dxa"/>
          <w:left w:w="0" w:type="dxa"/>
          <w:bottom w:w="0" w:type="dxa"/>
          <w:right w:w="0" w:type="dxa"/>
        </w:tblCellMar>
      </w:tblPr>
      <w:tblGrid>
        <w:gridCol w:w="2239"/>
        <w:gridCol w:w="1802"/>
        <w:gridCol w:w="1641"/>
        <w:gridCol w:w="1787"/>
        <w:gridCol w:w="1803"/>
      </w:tblGrid>
      <w:tr>
        <w:tblPrEx>
          <w:tblCellMar>
            <w:top w:w="0" w:type="dxa"/>
            <w:left w:w="0" w:type="dxa"/>
            <w:bottom w:w="0" w:type="dxa"/>
            <w:right w:w="0" w:type="dxa"/>
          </w:tblCellMar>
        </w:tblPrEx>
        <w:trPr>
          <w:trHeight w:val="564" w:hRule="atLeast"/>
        </w:trPr>
        <w:tc>
          <w:tcPr>
            <w:tcW w:w="9271" w:type="dxa"/>
            <w:gridSpan w:val="5"/>
            <w:tcBorders>
              <w:top w:val="nil"/>
              <w:left w:val="nil"/>
              <w:bottom w:val="nil"/>
              <w:right w:val="nil"/>
            </w:tcBorders>
            <w:noWrap/>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2019</w:t>
            </w:r>
            <w:r>
              <w:rPr>
                <w:rFonts w:hint="eastAsia" w:ascii="宋体" w:hAnsi="宋体" w:cs="宋体"/>
                <w:kern w:val="0"/>
                <w:sz w:val="32"/>
                <w:szCs w:val="32"/>
              </w:rPr>
              <w:t>年度县级部门整体支出绩效评价指标体系</w:t>
            </w:r>
          </w:p>
        </w:tc>
      </w:tr>
      <w:tr>
        <w:tblPrEx>
          <w:tblCellMar>
            <w:top w:w="0" w:type="dxa"/>
            <w:left w:w="0" w:type="dxa"/>
            <w:bottom w:w="0" w:type="dxa"/>
            <w:right w:w="0" w:type="dxa"/>
          </w:tblCellMar>
        </w:tblPrEx>
        <w:trPr>
          <w:trHeight w:val="218" w:hRule="atLeast"/>
        </w:trPr>
        <w:tc>
          <w:tcPr>
            <w:tcW w:w="568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绩效指标</w:t>
            </w:r>
          </w:p>
        </w:tc>
        <w:tc>
          <w:tcPr>
            <w:tcW w:w="178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指标分值</w:t>
            </w:r>
          </w:p>
        </w:tc>
        <w:tc>
          <w:tcPr>
            <w:tcW w:w="0" w:type="auto"/>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实得分</w:t>
            </w:r>
          </w:p>
        </w:tc>
      </w:tr>
      <w:tr>
        <w:tblPrEx>
          <w:tblCellMar>
            <w:top w:w="0" w:type="dxa"/>
            <w:left w:w="0" w:type="dxa"/>
            <w:bottom w:w="0" w:type="dxa"/>
            <w:right w:w="0" w:type="dxa"/>
          </w:tblCellMar>
        </w:tblPrEx>
        <w:trPr>
          <w:trHeight w:val="701" w:hRule="atLeast"/>
        </w:trPr>
        <w:tc>
          <w:tcPr>
            <w:tcW w:w="223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一级指标</w:t>
            </w:r>
          </w:p>
        </w:tc>
        <w:tc>
          <w:tcPr>
            <w:tcW w:w="18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二级指标</w:t>
            </w:r>
          </w:p>
        </w:tc>
        <w:tc>
          <w:tcPr>
            <w:tcW w:w="164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三级指标</w:t>
            </w:r>
          </w:p>
        </w:tc>
        <w:tc>
          <w:tcPr>
            <w:tcW w:w="178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0" w:type="auto"/>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cs="宋体"/>
                <w:sz w:val="32"/>
                <w:szCs w:val="32"/>
              </w:rPr>
            </w:pPr>
          </w:p>
        </w:tc>
      </w:tr>
      <w:tr>
        <w:tblPrEx>
          <w:tblCellMar>
            <w:top w:w="0" w:type="dxa"/>
            <w:left w:w="0" w:type="dxa"/>
            <w:bottom w:w="0" w:type="dxa"/>
            <w:right w:w="0" w:type="dxa"/>
          </w:tblCellMar>
        </w:tblPrEx>
        <w:trPr>
          <w:trHeight w:val="701"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64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78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0" w:type="auto"/>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cs="宋体"/>
                <w:sz w:val="32"/>
                <w:szCs w:val="32"/>
              </w:rPr>
            </w:pPr>
          </w:p>
        </w:tc>
      </w:tr>
      <w:tr>
        <w:tblPrEx>
          <w:tblCellMar>
            <w:top w:w="0" w:type="dxa"/>
            <w:left w:w="0" w:type="dxa"/>
            <w:bottom w:w="0" w:type="dxa"/>
            <w:right w:w="0" w:type="dxa"/>
          </w:tblCellMar>
        </w:tblPrEx>
        <w:trPr>
          <w:trHeight w:val="478" w:hRule="atLeast"/>
        </w:trPr>
        <w:tc>
          <w:tcPr>
            <w:tcW w:w="223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部门预算（</w:t>
            </w:r>
            <w:r>
              <w:rPr>
                <w:rFonts w:ascii="宋体" w:hAnsi="宋体" w:cs="宋体"/>
                <w:kern w:val="0"/>
                <w:sz w:val="32"/>
                <w:szCs w:val="32"/>
              </w:rPr>
              <w:t>80</w:t>
            </w:r>
            <w:r>
              <w:rPr>
                <w:rFonts w:hint="eastAsia" w:ascii="宋体" w:hAnsi="宋体" w:cs="宋体"/>
                <w:kern w:val="0"/>
                <w:sz w:val="32"/>
                <w:szCs w:val="32"/>
              </w:rPr>
              <w:t>分）</w:t>
            </w:r>
          </w:p>
        </w:tc>
        <w:tc>
          <w:tcPr>
            <w:tcW w:w="18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预算编制（</w:t>
            </w:r>
            <w:r>
              <w:rPr>
                <w:rFonts w:ascii="宋体" w:hAnsi="宋体" w:cs="宋体"/>
                <w:kern w:val="0"/>
                <w:sz w:val="32"/>
                <w:szCs w:val="32"/>
              </w:rPr>
              <w:t>30</w:t>
            </w:r>
            <w:r>
              <w:rPr>
                <w:rFonts w:hint="eastAsia" w:ascii="宋体" w:hAnsi="宋体" w:cs="宋体"/>
                <w:kern w:val="0"/>
                <w:sz w:val="32"/>
                <w:szCs w:val="32"/>
              </w:rPr>
              <w:t>分）</w:t>
            </w: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目标制定</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10</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10</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目标完成</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10</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10</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编制准确</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10</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10</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预算执行（</w:t>
            </w:r>
            <w:r>
              <w:rPr>
                <w:rFonts w:ascii="宋体" w:hAnsi="宋体" w:cs="宋体"/>
                <w:kern w:val="0"/>
                <w:sz w:val="32"/>
                <w:szCs w:val="32"/>
              </w:rPr>
              <w:t>30</w:t>
            </w:r>
            <w:r>
              <w:rPr>
                <w:rFonts w:hint="eastAsia" w:ascii="宋体" w:hAnsi="宋体" w:cs="宋体"/>
                <w:kern w:val="0"/>
                <w:sz w:val="32"/>
                <w:szCs w:val="32"/>
              </w:rPr>
              <w:t>分）</w:t>
            </w: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支出控制</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10</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9</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动态调整</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10</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9</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执行进度</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10</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9</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完成结果（</w:t>
            </w:r>
            <w:r>
              <w:rPr>
                <w:rFonts w:ascii="宋体" w:hAnsi="宋体" w:cs="宋体"/>
                <w:kern w:val="0"/>
                <w:sz w:val="32"/>
                <w:szCs w:val="32"/>
              </w:rPr>
              <w:t>20</w:t>
            </w:r>
            <w:r>
              <w:rPr>
                <w:rFonts w:hint="eastAsia" w:ascii="宋体" w:hAnsi="宋体" w:cs="宋体"/>
                <w:kern w:val="0"/>
                <w:sz w:val="32"/>
                <w:szCs w:val="32"/>
              </w:rPr>
              <w:t>分）</w:t>
            </w: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预算完成</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10</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10</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违规记录</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10</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10</w:t>
            </w:r>
          </w:p>
        </w:tc>
      </w:tr>
      <w:tr>
        <w:tblPrEx>
          <w:tblCellMar>
            <w:top w:w="0" w:type="dxa"/>
            <w:left w:w="0" w:type="dxa"/>
            <w:bottom w:w="0" w:type="dxa"/>
            <w:right w:w="0" w:type="dxa"/>
          </w:tblCellMar>
        </w:tblPrEx>
        <w:trPr>
          <w:trHeight w:val="478" w:hRule="atLeast"/>
        </w:trPr>
        <w:tc>
          <w:tcPr>
            <w:tcW w:w="223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绩效结果应用（</w:t>
            </w:r>
            <w:r>
              <w:rPr>
                <w:rFonts w:ascii="宋体" w:hAnsi="宋体" w:cs="宋体"/>
                <w:kern w:val="0"/>
                <w:sz w:val="32"/>
                <w:szCs w:val="32"/>
              </w:rPr>
              <w:t>20</w:t>
            </w:r>
            <w:r>
              <w:rPr>
                <w:rFonts w:hint="eastAsia" w:ascii="宋体" w:hAnsi="宋体" w:cs="宋体"/>
                <w:kern w:val="0"/>
                <w:sz w:val="32"/>
                <w:szCs w:val="32"/>
              </w:rPr>
              <w:t>分）</w:t>
            </w:r>
          </w:p>
        </w:tc>
        <w:tc>
          <w:tcPr>
            <w:tcW w:w="180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自评质量（</w:t>
            </w:r>
            <w:r>
              <w:rPr>
                <w:rFonts w:ascii="宋体" w:hAnsi="宋体" w:cs="宋体"/>
                <w:kern w:val="0"/>
                <w:sz w:val="32"/>
                <w:szCs w:val="32"/>
              </w:rPr>
              <w:t>4</w:t>
            </w:r>
            <w:r>
              <w:rPr>
                <w:rFonts w:hint="eastAsia" w:ascii="宋体" w:hAnsi="宋体" w:cs="宋体"/>
                <w:kern w:val="0"/>
                <w:sz w:val="32"/>
                <w:szCs w:val="32"/>
              </w:rPr>
              <w:t>分）</w:t>
            </w: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自评准确</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4</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3</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信息公开（</w:t>
            </w:r>
            <w:r>
              <w:rPr>
                <w:rFonts w:ascii="宋体" w:hAnsi="宋体" w:cs="宋体"/>
                <w:kern w:val="0"/>
                <w:sz w:val="32"/>
                <w:szCs w:val="32"/>
              </w:rPr>
              <w:t>8</w:t>
            </w:r>
            <w:r>
              <w:rPr>
                <w:rFonts w:hint="eastAsia" w:ascii="宋体" w:hAnsi="宋体" w:cs="宋体"/>
                <w:kern w:val="0"/>
                <w:sz w:val="32"/>
                <w:szCs w:val="32"/>
              </w:rPr>
              <w:t>分）</w:t>
            </w: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目标公开</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4</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4</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自评公开</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4</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4</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整改反映（</w:t>
            </w:r>
            <w:r>
              <w:rPr>
                <w:rFonts w:ascii="宋体" w:hAnsi="宋体" w:cs="宋体"/>
                <w:kern w:val="0"/>
                <w:sz w:val="32"/>
                <w:szCs w:val="32"/>
              </w:rPr>
              <w:t>8</w:t>
            </w:r>
            <w:r>
              <w:rPr>
                <w:rFonts w:hint="eastAsia" w:ascii="宋体" w:hAnsi="宋体" w:cs="宋体"/>
                <w:kern w:val="0"/>
                <w:sz w:val="32"/>
                <w:szCs w:val="32"/>
              </w:rPr>
              <w:t>分）</w:t>
            </w: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结果整改</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4</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4</w:t>
            </w:r>
          </w:p>
        </w:tc>
      </w:tr>
      <w:tr>
        <w:tblPrEx>
          <w:tblCellMar>
            <w:top w:w="0" w:type="dxa"/>
            <w:left w:w="0" w:type="dxa"/>
            <w:bottom w:w="0" w:type="dxa"/>
            <w:right w:w="0" w:type="dxa"/>
          </w:tblCellMar>
        </w:tblPrEx>
        <w:trPr>
          <w:trHeight w:val="478" w:hRule="atLeast"/>
        </w:trPr>
        <w:tc>
          <w:tcPr>
            <w:tcW w:w="22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8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sz w:val="32"/>
                <w:szCs w:val="32"/>
              </w:rPr>
            </w:pPr>
          </w:p>
        </w:tc>
        <w:tc>
          <w:tcPr>
            <w:tcW w:w="16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hint="eastAsia" w:ascii="宋体" w:hAnsi="宋体" w:cs="宋体"/>
                <w:kern w:val="0"/>
                <w:sz w:val="32"/>
                <w:szCs w:val="32"/>
              </w:rPr>
              <w:t>应用反馈</w:t>
            </w:r>
          </w:p>
        </w:tc>
        <w:tc>
          <w:tcPr>
            <w:tcW w:w="17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sz w:val="32"/>
                <w:szCs w:val="32"/>
              </w:rPr>
            </w:pPr>
            <w:r>
              <w:rPr>
                <w:rFonts w:ascii="宋体" w:hAnsi="宋体" w:cs="宋体"/>
                <w:kern w:val="0"/>
                <w:sz w:val="32"/>
                <w:szCs w:val="32"/>
              </w:rPr>
              <w:t>4</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cs="宋体"/>
                <w:sz w:val="32"/>
                <w:szCs w:val="32"/>
              </w:rPr>
            </w:pPr>
            <w:r>
              <w:rPr>
                <w:rFonts w:ascii="宋体" w:hAnsi="宋体" w:cs="宋体"/>
                <w:sz w:val="32"/>
                <w:szCs w:val="32"/>
              </w:rPr>
              <w:t>4</w:t>
            </w:r>
          </w:p>
        </w:tc>
      </w:tr>
      <w:tr>
        <w:tblPrEx>
          <w:tblCellMar>
            <w:top w:w="0" w:type="dxa"/>
            <w:left w:w="0" w:type="dxa"/>
            <w:bottom w:w="0" w:type="dxa"/>
            <w:right w:w="0" w:type="dxa"/>
          </w:tblCellMar>
        </w:tblPrEx>
        <w:trPr>
          <w:trHeight w:val="579" w:hRule="atLeast"/>
        </w:trPr>
        <w:tc>
          <w:tcPr>
            <w:tcW w:w="9271"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sz w:val="32"/>
                <w:szCs w:val="32"/>
              </w:rPr>
            </w:pPr>
            <w:r>
              <w:rPr>
                <w:rFonts w:hint="eastAsia" w:ascii="宋体" w:hAnsi="宋体" w:cs="宋体"/>
                <w:kern w:val="0"/>
                <w:sz w:val="32"/>
                <w:szCs w:val="32"/>
              </w:rPr>
              <w:t>注：若某部门不存在某项评价内容或评价指标，则该评价内容或评价指标不计入该部门考核评价范围，即该部门评价总分＝不含该评价内容或指标的评价总分</w:t>
            </w:r>
            <w:r>
              <w:rPr>
                <w:rFonts w:ascii="宋体" w:hAnsi="宋体" w:cs="宋体"/>
                <w:kern w:val="0"/>
                <w:sz w:val="32"/>
                <w:szCs w:val="32"/>
              </w:rPr>
              <w:t>/</w:t>
            </w:r>
            <w:r>
              <w:rPr>
                <w:rFonts w:hint="eastAsia" w:ascii="宋体" w:hAnsi="宋体" w:cs="宋体"/>
                <w:kern w:val="0"/>
                <w:sz w:val="32"/>
                <w:szCs w:val="32"/>
              </w:rPr>
              <w:t>（</w:t>
            </w:r>
            <w:r>
              <w:rPr>
                <w:rFonts w:ascii="宋体" w:hAnsi="宋体" w:cs="宋体"/>
                <w:kern w:val="0"/>
                <w:sz w:val="32"/>
                <w:szCs w:val="32"/>
              </w:rPr>
              <w:t>100-</w:t>
            </w:r>
            <w:r>
              <w:rPr>
                <w:rFonts w:hint="eastAsia" w:ascii="宋体" w:hAnsi="宋体" w:cs="宋体"/>
                <w:kern w:val="0"/>
                <w:sz w:val="32"/>
                <w:szCs w:val="32"/>
              </w:rPr>
              <w:t>该评价内容或指标所占分值）</w:t>
            </w:r>
            <w:r>
              <w:rPr>
                <w:rFonts w:ascii="宋体" w:hAnsi="宋体" w:cs="宋体"/>
                <w:kern w:val="0"/>
                <w:sz w:val="32"/>
                <w:szCs w:val="32"/>
              </w:rPr>
              <w:t>*100</w:t>
            </w:r>
            <w:r>
              <w:rPr>
                <w:rFonts w:hint="eastAsia" w:ascii="宋体" w:hAnsi="宋体" w:cs="宋体"/>
                <w:kern w:val="0"/>
                <w:sz w:val="32"/>
                <w:szCs w:val="32"/>
              </w:rPr>
              <w:t>。</w:t>
            </w:r>
          </w:p>
        </w:tc>
      </w:tr>
    </w:tbl>
    <w:p>
      <w:pPr>
        <w:ind w:firstLine="640" w:firstLineChars="200"/>
        <w:rPr>
          <w:rFonts w:ascii="宋体" w:cs="宋体"/>
          <w:kern w:val="0"/>
          <w:sz w:val="32"/>
          <w:szCs w:val="32"/>
        </w:rPr>
      </w:pPr>
    </w:p>
    <w:p>
      <w:pPr>
        <w:widowControl/>
        <w:adjustRightInd w:val="0"/>
        <w:snapToGrid w:val="0"/>
        <w:spacing w:line="580" w:lineRule="exact"/>
        <w:ind w:firstLine="640" w:firstLineChars="200"/>
        <w:contextualSpacing/>
        <w:jc w:val="left"/>
        <w:rPr>
          <w:rFonts w:ascii="仿宋" w:hAnsi="仿宋" w:eastAsia="仿宋"/>
          <w:color w:val="000000"/>
          <w:kern w:val="0"/>
          <w:sz w:val="40"/>
          <w:szCs w:val="44"/>
        </w:rPr>
      </w:pPr>
      <w:r>
        <w:rPr>
          <w:rFonts w:ascii="仿宋" w:hAnsi="仿宋" w:eastAsia="仿宋" w:cs="宋体"/>
          <w:kern w:val="0"/>
          <w:sz w:val="32"/>
          <w:szCs w:val="32"/>
        </w:rPr>
        <w:t>2.</w:t>
      </w:r>
      <w:r>
        <w:rPr>
          <w:rFonts w:hint="eastAsia" w:ascii="仿宋" w:hAnsi="仿宋" w:eastAsia="仿宋" w:cs="宋体"/>
          <w:kern w:val="0"/>
          <w:sz w:val="32"/>
          <w:szCs w:val="32"/>
        </w:rPr>
        <w:t>信息公开</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w:t>
      </w:r>
      <w:r>
        <w:rPr>
          <w:rFonts w:ascii="仿宋" w:hAnsi="仿宋" w:eastAsia="仿宋" w:cs="宋体"/>
          <w:kern w:val="0"/>
          <w:sz w:val="32"/>
          <w:szCs w:val="32"/>
        </w:rPr>
        <w:t>1</w:t>
      </w:r>
      <w:r>
        <w:rPr>
          <w:rFonts w:hint="eastAsia" w:ascii="仿宋" w:hAnsi="仿宋" w:eastAsia="仿宋" w:cs="宋体"/>
          <w:kern w:val="0"/>
          <w:sz w:val="32"/>
          <w:szCs w:val="32"/>
        </w:rPr>
        <w:t>）目标公开。根据部门预决算公开要求，绩效目标已经同时向社会公开。</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w:t>
      </w:r>
      <w:r>
        <w:rPr>
          <w:rFonts w:ascii="仿宋" w:hAnsi="仿宋" w:eastAsia="仿宋" w:cs="宋体"/>
          <w:kern w:val="0"/>
          <w:sz w:val="32"/>
          <w:szCs w:val="32"/>
        </w:rPr>
        <w:t>2</w:t>
      </w:r>
      <w:r>
        <w:rPr>
          <w:rFonts w:hint="eastAsia" w:ascii="仿宋" w:hAnsi="仿宋" w:eastAsia="仿宋" w:cs="宋体"/>
          <w:kern w:val="0"/>
          <w:sz w:val="32"/>
          <w:szCs w:val="32"/>
        </w:rPr>
        <w:t>）自评公开。按照</w:t>
      </w:r>
      <w:r>
        <w:rPr>
          <w:rFonts w:ascii="仿宋" w:hAnsi="仿宋" w:eastAsia="仿宋" w:cs="宋体"/>
          <w:kern w:val="0"/>
          <w:sz w:val="32"/>
          <w:szCs w:val="32"/>
        </w:rPr>
        <w:t>2019</w:t>
      </w:r>
      <w:r>
        <w:rPr>
          <w:rFonts w:hint="eastAsia" w:ascii="仿宋" w:hAnsi="仿宋" w:eastAsia="仿宋" w:cs="宋体"/>
          <w:kern w:val="0"/>
          <w:sz w:val="32"/>
          <w:szCs w:val="32"/>
        </w:rPr>
        <w:t>年度决算公开要求，部门整体绩效自评情况与决算同时公开。</w:t>
      </w:r>
    </w:p>
    <w:p>
      <w:pPr>
        <w:ind w:firstLine="640" w:firstLineChars="200"/>
        <w:rPr>
          <w:rFonts w:ascii="仿宋" w:hAnsi="仿宋" w:eastAsia="仿宋" w:cs="宋体"/>
          <w:kern w:val="0"/>
          <w:sz w:val="32"/>
          <w:szCs w:val="32"/>
        </w:rPr>
      </w:pPr>
      <w:r>
        <w:rPr>
          <w:rFonts w:hint="eastAsia" w:ascii="黑体" w:hAnsi="黑体" w:eastAsia="黑体" w:cs="宋体"/>
          <w:kern w:val="0"/>
          <w:sz w:val="32"/>
          <w:szCs w:val="32"/>
        </w:rPr>
        <w:t>四、评价结论及建议</w:t>
      </w:r>
      <w:r>
        <w:rPr>
          <w:rFonts w:ascii="宋体" w:hAnsi="宋体" w:cs="宋体"/>
          <w:kern w:val="0"/>
          <w:sz w:val="32"/>
          <w:szCs w:val="32"/>
        </w:rPr>
        <w:t xml:space="preserve"> </w:t>
      </w:r>
      <w:r>
        <w:rPr>
          <w:rFonts w:ascii="宋体" w:hAnsi="宋体" w:cs="宋体"/>
          <w:kern w:val="0"/>
          <w:sz w:val="32"/>
          <w:szCs w:val="32"/>
        </w:rPr>
        <w:br w:type="textWrapping"/>
      </w:r>
      <w:r>
        <w:rPr>
          <w:rFonts w:ascii="宋体" w:hAnsi="宋体" w:cs="宋体"/>
          <w:kern w:val="0"/>
          <w:sz w:val="32"/>
          <w:szCs w:val="32"/>
        </w:rPr>
        <w:t xml:space="preserve">   </w:t>
      </w:r>
      <w:r>
        <w:rPr>
          <w:rFonts w:hint="eastAsia" w:ascii="仿宋" w:hAnsi="仿宋" w:eastAsia="仿宋" w:cs="宋体"/>
          <w:kern w:val="0"/>
          <w:sz w:val="32"/>
          <w:szCs w:val="32"/>
        </w:rPr>
        <w:t>（一）评价结论</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hint="eastAsia" w:ascii="仿宋" w:hAnsi="仿宋" w:eastAsia="仿宋" w:cs="宋体"/>
          <w:kern w:val="0"/>
          <w:sz w:val="32"/>
          <w:szCs w:val="32"/>
        </w:rPr>
        <w:t>　</w:t>
      </w:r>
      <w:r>
        <w:rPr>
          <w:rFonts w:ascii="仿宋" w:hAnsi="仿宋" w:eastAsia="仿宋" w:cs="宋体"/>
          <w:kern w:val="0"/>
          <w:sz w:val="32"/>
          <w:szCs w:val="32"/>
        </w:rPr>
        <w:t xml:space="preserve">  </w:t>
      </w:r>
      <w:r>
        <w:rPr>
          <w:rFonts w:hint="eastAsia" w:ascii="仿宋" w:hAnsi="仿宋" w:eastAsia="仿宋" w:cs="宋体"/>
          <w:kern w:val="0"/>
          <w:sz w:val="32"/>
          <w:szCs w:val="32"/>
        </w:rPr>
        <w:t>通过对</w:t>
      </w:r>
      <w:r>
        <w:rPr>
          <w:rFonts w:ascii="仿宋" w:hAnsi="仿宋" w:eastAsia="仿宋" w:cs="宋体"/>
          <w:kern w:val="0"/>
          <w:sz w:val="32"/>
          <w:szCs w:val="32"/>
        </w:rPr>
        <w:t>2019</w:t>
      </w:r>
      <w:r>
        <w:rPr>
          <w:rFonts w:hint="eastAsia" w:ascii="仿宋" w:hAnsi="仿宋" w:eastAsia="仿宋" w:cs="宋体"/>
          <w:kern w:val="0"/>
          <w:sz w:val="32"/>
          <w:szCs w:val="32"/>
        </w:rPr>
        <w:t>年年初预算在</w:t>
      </w:r>
      <w:r>
        <w:rPr>
          <w:rFonts w:ascii="仿宋" w:hAnsi="仿宋" w:eastAsia="仿宋" w:cs="宋体"/>
          <w:kern w:val="0"/>
          <w:sz w:val="32"/>
          <w:szCs w:val="32"/>
        </w:rPr>
        <w:t>6</w:t>
      </w:r>
      <w:r>
        <w:rPr>
          <w:rFonts w:hint="eastAsia" w:ascii="仿宋" w:hAnsi="仿宋" w:eastAsia="仿宋" w:cs="宋体"/>
          <w:kern w:val="0"/>
          <w:sz w:val="32"/>
          <w:szCs w:val="32"/>
        </w:rPr>
        <w:t>月末、</w:t>
      </w:r>
      <w:r>
        <w:rPr>
          <w:rFonts w:ascii="仿宋" w:hAnsi="仿宋" w:eastAsia="仿宋" w:cs="宋体"/>
          <w:kern w:val="0"/>
          <w:sz w:val="32"/>
          <w:szCs w:val="32"/>
        </w:rPr>
        <w:t>9</w:t>
      </w:r>
      <w:r>
        <w:rPr>
          <w:rFonts w:hint="eastAsia" w:ascii="仿宋" w:hAnsi="仿宋" w:eastAsia="仿宋" w:cs="宋体"/>
          <w:kern w:val="0"/>
          <w:sz w:val="32"/>
          <w:szCs w:val="32"/>
        </w:rPr>
        <w:t>月末和</w:t>
      </w:r>
      <w:r>
        <w:rPr>
          <w:rFonts w:ascii="仿宋" w:hAnsi="仿宋" w:eastAsia="仿宋" w:cs="宋体"/>
          <w:kern w:val="0"/>
          <w:sz w:val="32"/>
          <w:szCs w:val="32"/>
        </w:rPr>
        <w:t>12</w:t>
      </w:r>
      <w:r>
        <w:rPr>
          <w:rFonts w:hint="eastAsia" w:ascii="仿宋" w:hAnsi="仿宋" w:eastAsia="仿宋" w:cs="宋体"/>
          <w:kern w:val="0"/>
          <w:sz w:val="32"/>
          <w:szCs w:val="32"/>
        </w:rPr>
        <w:t>月末的执行进度进行自评和绩效分析，结论如下：</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1.</w:t>
      </w:r>
      <w:r>
        <w:rPr>
          <w:rFonts w:hint="eastAsia" w:ascii="仿宋" w:hAnsi="仿宋" w:eastAsia="仿宋" w:cs="宋体"/>
          <w:kern w:val="0"/>
          <w:sz w:val="32"/>
          <w:szCs w:val="32"/>
        </w:rPr>
        <w:t>基本支出方面：我院能按时间按进度完成各项支付，包含人员工资、医疗保险等社保支出、住房公积金、办公费等，确保了我单位的基本运转。</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2.</w:t>
      </w:r>
      <w:r>
        <w:rPr>
          <w:rFonts w:hint="eastAsia" w:ascii="仿宋" w:hAnsi="仿宋" w:eastAsia="仿宋" w:cs="宋体"/>
          <w:kern w:val="0"/>
          <w:sz w:val="32"/>
          <w:szCs w:val="32"/>
        </w:rPr>
        <w:t>项目支出方面：我院能按照项目的使用范围和用途进行支出，但在上半年资金执行进度相对缓慢，下半年使用情况良好。</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3.</w:t>
      </w:r>
      <w:r>
        <w:rPr>
          <w:rFonts w:hint="eastAsia" w:ascii="仿宋" w:hAnsi="仿宋" w:eastAsia="仿宋" w:cs="宋体"/>
          <w:kern w:val="0"/>
          <w:sz w:val="32"/>
          <w:szCs w:val="32"/>
        </w:rPr>
        <w:t>年中追加项目经费方面：均能按项目经费支出用途、范围及时使用。</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综上，我单位</w:t>
      </w:r>
      <w:r>
        <w:rPr>
          <w:rFonts w:ascii="仿宋" w:hAnsi="仿宋" w:eastAsia="仿宋" w:cs="宋体"/>
          <w:kern w:val="0"/>
          <w:sz w:val="32"/>
          <w:szCs w:val="32"/>
        </w:rPr>
        <w:t>2019</w:t>
      </w:r>
      <w:r>
        <w:rPr>
          <w:rFonts w:hint="eastAsia" w:ascii="仿宋" w:hAnsi="仿宋" w:eastAsia="仿宋" w:cs="宋体"/>
          <w:kern w:val="0"/>
          <w:sz w:val="32"/>
          <w:szCs w:val="32"/>
        </w:rPr>
        <w:t>年度财政资金收支符合财务管理制度，严格执行项目有关制度规定，目标完成情况良好，财政资金得到有效利用，达到了预期的目标。</w:t>
      </w:r>
      <w:r>
        <w:rPr>
          <w:rFonts w:ascii="仿宋" w:hAnsi="仿宋" w:eastAsia="仿宋" w:cs="宋体"/>
          <w:kern w:val="0"/>
          <w:sz w:val="32"/>
          <w:szCs w:val="32"/>
        </w:rPr>
        <w:t xml:space="preserve"> </w:t>
      </w:r>
      <w:r>
        <w:rPr>
          <w:rFonts w:ascii="仿宋" w:hAnsi="仿宋" w:eastAsia="仿宋" w:cs="宋体"/>
          <w:kern w:val="0"/>
          <w:sz w:val="32"/>
          <w:szCs w:val="32"/>
        </w:rPr>
        <w:br w:type="textWrapping"/>
      </w:r>
      <w:r>
        <w:rPr>
          <w:rFonts w:ascii="仿宋" w:hAnsi="仿宋" w:eastAsia="仿宋" w:cs="宋体"/>
          <w:kern w:val="0"/>
          <w:sz w:val="32"/>
          <w:szCs w:val="32"/>
        </w:rPr>
        <w:t xml:space="preserve">   </w:t>
      </w:r>
      <w:r>
        <w:rPr>
          <w:rFonts w:hint="eastAsia" w:ascii="仿宋" w:hAnsi="仿宋" w:eastAsia="仿宋" w:cs="宋体"/>
          <w:kern w:val="0"/>
          <w:sz w:val="32"/>
          <w:szCs w:val="32"/>
        </w:rPr>
        <w:t>（二）存在问题</w:t>
      </w:r>
      <w:r>
        <w:rPr>
          <w:rFonts w:ascii="仿宋" w:hAnsi="仿宋" w:eastAsia="仿宋" w:cs="宋体"/>
          <w:kern w:val="0"/>
          <w:sz w:val="32"/>
          <w:szCs w:val="32"/>
        </w:rPr>
        <w:t xml:space="preserve"> </w:t>
      </w:r>
    </w:p>
    <w:p>
      <w:pPr>
        <w:tabs>
          <w:tab w:val="left" w:pos="720"/>
          <w:tab w:val="left" w:pos="3600"/>
        </w:tabs>
        <w:ind w:firstLine="640" w:firstLineChars="200"/>
        <w:jc w:val="left"/>
        <w:rPr>
          <w:rFonts w:ascii="仿宋" w:hAnsi="仿宋" w:eastAsia="仿宋" w:cs="宋体"/>
          <w:sz w:val="32"/>
          <w:szCs w:val="32"/>
        </w:rPr>
      </w:pPr>
      <w:r>
        <w:rPr>
          <w:rFonts w:ascii="仿宋" w:hAnsi="仿宋" w:eastAsia="仿宋" w:cs="宋体"/>
          <w:sz w:val="32"/>
          <w:szCs w:val="32"/>
        </w:rPr>
        <w:t>1.</w:t>
      </w:r>
      <w:r>
        <w:rPr>
          <w:rFonts w:hint="eastAsia" w:ascii="仿宋" w:hAnsi="仿宋" w:eastAsia="仿宋" w:cs="宋体"/>
          <w:sz w:val="32"/>
          <w:szCs w:val="32"/>
        </w:rPr>
        <w:t>绩效意识比较薄弱，对预算绩效管理缺乏足够重视。</w:t>
      </w:r>
    </w:p>
    <w:p>
      <w:pPr>
        <w:widowControl/>
        <w:spacing w:line="520" w:lineRule="atLeast"/>
        <w:ind w:firstLine="640" w:firstLineChars="200"/>
        <w:jc w:val="left"/>
        <w:rPr>
          <w:rFonts w:ascii="仿宋" w:hAnsi="仿宋" w:eastAsia="仿宋" w:cs="宋体"/>
          <w:sz w:val="32"/>
          <w:szCs w:val="32"/>
        </w:rPr>
      </w:pPr>
      <w:r>
        <w:rPr>
          <w:rFonts w:ascii="仿宋" w:hAnsi="仿宋" w:eastAsia="仿宋" w:cs="宋体"/>
          <w:sz w:val="32"/>
          <w:szCs w:val="32"/>
        </w:rPr>
        <w:t>2.</w:t>
      </w:r>
      <w:r>
        <w:rPr>
          <w:rFonts w:hint="eastAsia" w:ascii="仿宋" w:hAnsi="仿宋" w:eastAsia="仿宋" w:cs="宋体"/>
          <w:sz w:val="32"/>
          <w:szCs w:val="32"/>
        </w:rPr>
        <w:t>专项行动过多，资金投入过少，造成各行动实施发展不平衡。</w:t>
      </w:r>
    </w:p>
    <w:p>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（三）改进建议</w:t>
      </w:r>
      <w:r>
        <w:rPr>
          <w:rFonts w:ascii="仿宋" w:hAnsi="仿宋" w:eastAsia="仿宋" w:cs="宋体"/>
          <w:kern w:val="0"/>
          <w:sz w:val="32"/>
          <w:szCs w:val="32"/>
        </w:rPr>
        <w:t xml:space="preserve"> </w:t>
      </w:r>
    </w:p>
    <w:p>
      <w:pPr>
        <w:ind w:firstLine="640" w:firstLineChars="200"/>
        <w:jc w:val="left"/>
        <w:rPr>
          <w:rFonts w:ascii="宋体" w:cs="宋体"/>
          <w:kern w:val="0"/>
          <w:sz w:val="32"/>
          <w:szCs w:val="32"/>
        </w:rPr>
      </w:pPr>
      <w:r>
        <w:rPr>
          <w:rFonts w:hint="eastAsia" w:ascii="仿宋" w:hAnsi="仿宋" w:eastAsia="仿宋" w:cs="宋体"/>
          <w:sz w:val="32"/>
          <w:szCs w:val="32"/>
          <w:lang w:val="zh-CN"/>
        </w:rPr>
        <w:t>进一步完善渠县检察院机关财务内部管理制度，会计核算及账务处理严格按照资金管理办法，评价项目严格执行财务管理制度、对开支及时进行财务处理、会计核算规范化</w:t>
      </w:r>
      <w:r>
        <w:rPr>
          <w:rFonts w:hint="eastAsia" w:ascii="仿宋" w:hAnsi="仿宋" w:eastAsia="仿宋" w:cs="宋体"/>
          <w:sz w:val="32"/>
          <w:szCs w:val="32"/>
        </w:rPr>
        <w:t>。严格控制其数量指标、质量指标、时效指标、成本指标、效益指标和满意度指标。</w:t>
      </w:r>
    </w:p>
    <w:p>
      <w:pPr>
        <w:widowControl/>
        <w:adjustRightInd w:val="0"/>
        <w:snapToGrid w:val="0"/>
        <w:spacing w:line="580" w:lineRule="exact"/>
        <w:ind w:firstLine="800" w:firstLineChars="200"/>
        <w:contextualSpacing/>
        <w:jc w:val="left"/>
        <w:rPr>
          <w:rFonts w:ascii="方正小标宋简体" w:hAnsi="宋体" w:eastAsia="方正小标宋简体"/>
          <w:color w:val="000000"/>
          <w:kern w:val="0"/>
          <w:sz w:val="40"/>
          <w:szCs w:val="44"/>
        </w:rPr>
      </w:pPr>
    </w:p>
    <w:p>
      <w:pPr>
        <w:spacing w:line="580" w:lineRule="exact"/>
        <w:rPr>
          <w:rFonts w:ascii="仿宋_GB2312" w:hAnsi="仿宋_GB2312" w:eastAsia="仿宋_GB2312" w:cs="仿宋_GB2312"/>
          <w:sz w:val="32"/>
          <w:szCs w:val="32"/>
        </w:rPr>
      </w:pPr>
    </w:p>
    <w:p>
      <w:pPr>
        <w:pStyle w:val="3"/>
        <w:rPr>
          <w:rFonts w:ascii="黑体" w:hAnsi="黑体" w:eastAsia="黑体" w:cs="仿宋_GB2312"/>
        </w:rPr>
      </w:pPr>
      <w:bookmarkStart w:id="120" w:name="_Toc50622834"/>
      <w:r>
        <w:rPr>
          <w:rFonts w:hint="eastAsia" w:ascii="黑体" w:hAnsi="黑体" w:eastAsia="黑体"/>
        </w:rPr>
        <w:t>附件</w:t>
      </w:r>
      <w:r>
        <w:rPr>
          <w:rFonts w:ascii="黑体" w:hAnsi="黑体" w:eastAsia="黑体"/>
        </w:rPr>
        <w:t>2</w:t>
      </w:r>
      <w:bookmarkEnd w:id="120"/>
    </w:p>
    <w:p>
      <w:pPr>
        <w:spacing w:line="580" w:lineRule="exact"/>
        <w:ind w:firstLine="640" w:firstLineChars="200"/>
        <w:rPr>
          <w:rFonts w:ascii="仿宋_GB2312" w:hAnsi="仿宋_GB2312" w:eastAsia="仿宋_GB2312" w:cs="仿宋_GB2312"/>
          <w:sz w:val="32"/>
          <w:szCs w:val="32"/>
        </w:rPr>
      </w:pPr>
    </w:p>
    <w:p>
      <w:pPr>
        <w:spacing w:line="600" w:lineRule="exact"/>
        <w:jc w:val="center"/>
        <w:rPr>
          <w:rFonts w:ascii="黑体" w:hAnsi="黑体" w:eastAsia="黑体"/>
          <w:color w:val="000000"/>
          <w:kern w:val="0"/>
          <w:sz w:val="44"/>
          <w:szCs w:val="44"/>
          <w:lang w:val="zh-CN"/>
        </w:rPr>
      </w:pPr>
      <w:r>
        <w:rPr>
          <w:rFonts w:hint="eastAsia" w:ascii="黑体" w:hAnsi="黑体" w:eastAsia="黑体"/>
          <w:color w:val="000000"/>
          <w:kern w:val="0"/>
          <w:sz w:val="44"/>
          <w:szCs w:val="44"/>
        </w:rPr>
        <w:t>渠县人民检察院</w:t>
      </w:r>
      <w:r>
        <w:rPr>
          <w:rFonts w:ascii="黑体" w:hAnsi="黑体" w:eastAsia="黑体"/>
          <w:color w:val="000000"/>
          <w:kern w:val="0"/>
          <w:sz w:val="44"/>
          <w:szCs w:val="44"/>
        </w:rPr>
        <w:t>2019</w:t>
      </w:r>
      <w:r>
        <w:rPr>
          <w:rFonts w:hint="eastAsia" w:ascii="黑体" w:hAnsi="黑体" w:eastAsia="黑体"/>
          <w:color w:val="000000"/>
          <w:kern w:val="0"/>
          <w:sz w:val="44"/>
          <w:szCs w:val="44"/>
        </w:rPr>
        <w:t>年项目</w:t>
      </w:r>
      <w:r>
        <w:rPr>
          <w:rFonts w:hint="eastAsia" w:ascii="黑体" w:hAnsi="黑体" w:eastAsia="黑体"/>
          <w:color w:val="000000"/>
          <w:kern w:val="0"/>
          <w:sz w:val="44"/>
          <w:szCs w:val="44"/>
          <w:lang w:val="zh-CN"/>
        </w:rPr>
        <w:t>绩效评价报告</w:t>
      </w:r>
    </w:p>
    <w:p>
      <w:pPr>
        <w:spacing w:line="600" w:lineRule="exact"/>
        <w:rPr>
          <w:rFonts w:ascii="宋体"/>
          <w:sz w:val="32"/>
          <w:szCs w:val="32"/>
          <w:lang w:val="zh-CN"/>
        </w:rPr>
      </w:pPr>
    </w:p>
    <w:p>
      <w:pPr>
        <w:spacing w:line="58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一、评价工作开展及项目情况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渠县人民检察院项目评价为年初制定实施方案，严格按照实施方案进行实施。评价方法为多渠道、多层面进行全面评价，对各项目的社会效益进行了深刻分析。</w:t>
      </w:r>
    </w:p>
    <w:p>
      <w:pPr>
        <w:spacing w:line="58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二、评价结论及绩效分析</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（一）评价结论</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我院加强绩效管理，认真设定预算绩效目标，对各项绩效指标进行细化和量化，预算执行中，积极开展绩效自评工作，提高了资金使用效益。</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（二）绩效分析</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1</w:t>
      </w:r>
      <w:r>
        <w:rPr>
          <w:rFonts w:hint="eastAsia" w:ascii="仿宋" w:hAnsi="仿宋" w:eastAsia="仿宋" w:cs="仿宋_GB2312"/>
          <w:sz w:val="32"/>
          <w:szCs w:val="32"/>
        </w:rPr>
        <w:t>、项目决策</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本部门项目实施的必要性和可行性为打击各类刑事犯罪，加强检察监督，保障检察业务工作的顺利开展，为依法治县、建设平安和谐渠县作出更大贡献。</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2</w:t>
      </w:r>
      <w:r>
        <w:rPr>
          <w:rFonts w:hint="eastAsia" w:ascii="仿宋" w:hAnsi="仿宋" w:eastAsia="仿宋" w:cs="仿宋_GB2312"/>
          <w:sz w:val="32"/>
          <w:szCs w:val="32"/>
        </w:rPr>
        <w:t>、项目管理</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资金分配情况，司法警察法定工作日之外加班补贴</w:t>
      </w:r>
      <w:r>
        <w:rPr>
          <w:rFonts w:ascii="仿宋" w:hAnsi="仿宋" w:eastAsia="仿宋" w:cs="仿宋_GB2312"/>
          <w:sz w:val="32"/>
          <w:szCs w:val="32"/>
        </w:rPr>
        <w:t>7.668</w:t>
      </w:r>
      <w:r>
        <w:rPr>
          <w:rFonts w:hint="eastAsia" w:ascii="仿宋" w:hAnsi="仿宋" w:eastAsia="仿宋" w:cs="仿宋_GB2312"/>
          <w:sz w:val="32"/>
          <w:szCs w:val="32"/>
        </w:rPr>
        <w:t>万元、司法警察值勤岗位津贴</w:t>
      </w:r>
      <w:r>
        <w:rPr>
          <w:rFonts w:ascii="仿宋" w:hAnsi="仿宋" w:eastAsia="仿宋" w:cs="仿宋_GB2312"/>
          <w:sz w:val="32"/>
          <w:szCs w:val="32"/>
        </w:rPr>
        <w:t>9.504</w:t>
      </w:r>
      <w:r>
        <w:rPr>
          <w:rFonts w:hint="eastAsia" w:ascii="仿宋" w:hAnsi="仿宋" w:eastAsia="仿宋" w:cs="仿宋_GB2312"/>
          <w:sz w:val="32"/>
          <w:szCs w:val="32"/>
        </w:rPr>
        <w:t>万元，专用设备维修（护）费</w:t>
      </w:r>
      <w:r>
        <w:rPr>
          <w:rFonts w:ascii="仿宋" w:hAnsi="仿宋" w:eastAsia="仿宋" w:cs="仿宋_GB2312"/>
          <w:sz w:val="32"/>
          <w:szCs w:val="32"/>
        </w:rPr>
        <w:t>10</w:t>
      </w:r>
      <w:r>
        <w:rPr>
          <w:rFonts w:hint="eastAsia" w:ascii="仿宋" w:hAnsi="仿宋" w:eastAsia="仿宋" w:cs="仿宋_GB2312"/>
          <w:sz w:val="32"/>
          <w:szCs w:val="32"/>
        </w:rPr>
        <w:t>万元，派驻纪检机构工作经费</w:t>
      </w:r>
      <w:r>
        <w:rPr>
          <w:rFonts w:ascii="仿宋" w:hAnsi="仿宋" w:eastAsia="仿宋" w:cs="仿宋_GB2312"/>
          <w:sz w:val="32"/>
          <w:szCs w:val="32"/>
        </w:rPr>
        <w:t>20</w:t>
      </w:r>
      <w:r>
        <w:rPr>
          <w:rFonts w:hint="eastAsia" w:ascii="仿宋" w:hAnsi="仿宋" w:eastAsia="仿宋" w:cs="仿宋_GB2312"/>
          <w:sz w:val="32"/>
          <w:szCs w:val="32"/>
        </w:rPr>
        <w:t>万元。</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资金使用情况，司法警察法定工作日之外加班补贴</w:t>
      </w:r>
      <w:r>
        <w:rPr>
          <w:rFonts w:ascii="仿宋" w:hAnsi="仿宋" w:eastAsia="仿宋" w:cs="仿宋_GB2312"/>
          <w:sz w:val="32"/>
          <w:szCs w:val="32"/>
        </w:rPr>
        <w:t>7.668</w:t>
      </w:r>
      <w:r>
        <w:rPr>
          <w:rFonts w:hint="eastAsia" w:ascii="仿宋" w:hAnsi="仿宋" w:eastAsia="仿宋" w:cs="仿宋_GB2312"/>
          <w:sz w:val="32"/>
          <w:szCs w:val="32"/>
        </w:rPr>
        <w:t>万元、司法警察值勤岗位津贴</w:t>
      </w:r>
      <w:r>
        <w:rPr>
          <w:rFonts w:ascii="仿宋" w:hAnsi="仿宋" w:eastAsia="仿宋" w:cs="仿宋_GB2312"/>
          <w:sz w:val="32"/>
          <w:szCs w:val="32"/>
        </w:rPr>
        <w:t>9.504</w:t>
      </w:r>
      <w:r>
        <w:rPr>
          <w:rFonts w:hint="eastAsia" w:ascii="仿宋" w:hAnsi="仿宋" w:eastAsia="仿宋" w:cs="仿宋_GB2312"/>
          <w:sz w:val="32"/>
          <w:szCs w:val="32"/>
        </w:rPr>
        <w:t>万元，做到了专款专用，按时足额发放；专用设备维修（护）费</w:t>
      </w:r>
      <w:r>
        <w:rPr>
          <w:rFonts w:ascii="仿宋" w:hAnsi="仿宋" w:eastAsia="仿宋" w:cs="仿宋_GB2312"/>
          <w:sz w:val="32"/>
          <w:szCs w:val="32"/>
        </w:rPr>
        <w:t>10</w:t>
      </w:r>
      <w:r>
        <w:rPr>
          <w:rFonts w:hint="eastAsia" w:ascii="仿宋" w:hAnsi="仿宋" w:eastAsia="仿宋" w:cs="仿宋_GB2312"/>
          <w:sz w:val="32"/>
          <w:szCs w:val="32"/>
        </w:rPr>
        <w:t>万元、派驻纪检机构工作经费</w:t>
      </w:r>
      <w:r>
        <w:rPr>
          <w:rFonts w:ascii="仿宋" w:hAnsi="仿宋" w:eastAsia="仿宋" w:cs="仿宋_GB2312"/>
          <w:sz w:val="32"/>
          <w:szCs w:val="32"/>
        </w:rPr>
        <w:t>20</w:t>
      </w:r>
      <w:r>
        <w:rPr>
          <w:rFonts w:hint="eastAsia" w:ascii="仿宋" w:hAnsi="仿宋" w:eastAsia="仿宋" w:cs="仿宋_GB2312"/>
          <w:sz w:val="32"/>
          <w:szCs w:val="32"/>
        </w:rPr>
        <w:t>万元做到了专款专用，无任何违规现象。</w:t>
      </w:r>
    </w:p>
    <w:p>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3</w:t>
      </w:r>
      <w:r>
        <w:rPr>
          <w:rFonts w:hint="eastAsia" w:ascii="仿宋" w:hAnsi="仿宋" w:eastAsia="仿宋" w:cs="仿宋_GB2312"/>
          <w:sz w:val="32"/>
          <w:szCs w:val="32"/>
        </w:rPr>
        <w:t>、项目绩效</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项目目标完成情况，本年度项目全面完成。</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项目效益情况，围绕大局，打击了各类刑事犯罪，加强了检察监督，保障了检察业务工作的顺利开展，为依法治县、建设平安和谐渠县作出了更大贡献。</w:t>
      </w:r>
    </w:p>
    <w:p>
      <w:pPr>
        <w:spacing w:line="58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三、存在主要问题</w:t>
      </w:r>
    </w:p>
    <w:p>
      <w:pPr>
        <w:tabs>
          <w:tab w:val="left" w:pos="312"/>
        </w:tabs>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项目经费严重不足。</w:t>
      </w:r>
      <w:r>
        <w:rPr>
          <w:rFonts w:hint="eastAsia" w:ascii="仿宋" w:hAnsi="仿宋" w:eastAsia="仿宋" w:cs="仿宋_GB2312"/>
          <w:sz w:val="32"/>
          <w:szCs w:val="32"/>
          <w:lang w:val="zh-CN"/>
        </w:rPr>
        <w:t>在经费使用上计划性较差，不能完全按照计划及时间进度完成计划，只能完成年度计划</w:t>
      </w:r>
      <w:r>
        <w:rPr>
          <w:rFonts w:hint="eastAsia" w:ascii="仿宋" w:hAnsi="仿宋" w:eastAsia="仿宋" w:cs="仿宋_GB2312"/>
          <w:sz w:val="32"/>
          <w:szCs w:val="32"/>
        </w:rPr>
        <w:t>。</w:t>
      </w:r>
    </w:p>
    <w:p>
      <w:pPr>
        <w:spacing w:line="58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四、相关措施建议</w:t>
      </w:r>
    </w:p>
    <w:p>
      <w:pPr>
        <w:tabs>
          <w:tab w:val="left" w:pos="312"/>
        </w:tabs>
        <w:spacing w:line="58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rPr>
        <w:t>加大对项目经费的投入。进一步</w:t>
      </w:r>
      <w:r>
        <w:rPr>
          <w:rFonts w:hint="eastAsia" w:ascii="仿宋" w:hAnsi="仿宋" w:eastAsia="仿宋" w:cs="仿宋_GB2312"/>
          <w:sz w:val="32"/>
          <w:szCs w:val="32"/>
          <w:lang w:val="zh-CN"/>
        </w:rPr>
        <w:t>加强项目前期对接和项目工作连续性。</w:t>
      </w:r>
    </w:p>
    <w:p>
      <w:pPr>
        <w:adjustRightInd w:val="0"/>
        <w:snapToGrid w:val="0"/>
        <w:spacing w:line="600" w:lineRule="exact"/>
        <w:ind w:firstLine="640" w:firstLineChars="200"/>
        <w:rPr>
          <w:rFonts w:ascii="仿宋_GB2312" w:hAnsi="宋体" w:eastAsia="仿宋_GB2312"/>
          <w:sz w:val="32"/>
          <w:szCs w:val="32"/>
          <w:lang w:val="zh-CN"/>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widowControl/>
        <w:jc w:val="left"/>
        <w:rPr>
          <w:rStyle w:val="23"/>
          <w:rFonts w:ascii="黑体" w:hAnsi="黑体" w:eastAsia="黑体"/>
          <w:b w:val="0"/>
        </w:rPr>
      </w:pPr>
    </w:p>
    <w:p>
      <w:pPr>
        <w:pStyle w:val="2"/>
        <w:jc w:val="center"/>
        <w:rPr>
          <w:rFonts w:ascii="黑体" w:hAnsi="黑体" w:eastAsia="黑体"/>
        </w:rPr>
      </w:pPr>
      <w:bookmarkStart w:id="121" w:name="_Toc50622835"/>
      <w:bookmarkStart w:id="122" w:name="_Toc50621942"/>
      <w:bookmarkStart w:id="123" w:name="_Toc15396618"/>
      <w:r>
        <w:rPr>
          <w:rFonts w:hint="eastAsia" w:ascii="黑体" w:hAnsi="黑体" w:eastAsia="黑体"/>
          <w:color w:val="000000"/>
        </w:rPr>
        <w:t>第</w:t>
      </w:r>
      <w:r>
        <w:rPr>
          <w:rFonts w:hint="eastAsia" w:ascii="黑体" w:hAnsi="黑体" w:eastAsia="黑体"/>
        </w:rPr>
        <w:t>五部分</w:t>
      </w:r>
      <w:r>
        <w:rPr>
          <w:rFonts w:ascii="黑体" w:hAnsi="黑体" w:eastAsia="黑体"/>
        </w:rPr>
        <w:t xml:space="preserve"> </w:t>
      </w:r>
      <w:r>
        <w:rPr>
          <w:rFonts w:hint="eastAsia" w:ascii="黑体" w:hAnsi="黑体" w:eastAsia="黑体"/>
        </w:rPr>
        <w:t>附表</w:t>
      </w:r>
      <w:bookmarkEnd w:id="114"/>
      <w:bookmarkEnd w:id="121"/>
      <w:bookmarkEnd w:id="122"/>
      <w:bookmarkEnd w:id="123"/>
    </w:p>
    <w:p>
      <w:pPr>
        <w:spacing w:line="600" w:lineRule="exact"/>
        <w:jc w:val="center"/>
        <w:outlineLvl w:val="0"/>
        <w:rPr>
          <w:rFonts w:ascii="仿宋" w:hAnsi="仿宋" w:eastAsia="仿宋"/>
          <w:b/>
          <w:color w:val="000000"/>
          <w:sz w:val="44"/>
          <w:szCs w:val="44"/>
        </w:rPr>
      </w:pPr>
    </w:p>
    <w:p>
      <w:pPr>
        <w:pStyle w:val="3"/>
        <w:rPr>
          <w:rFonts w:ascii="仿宋" w:hAnsi="仿宋" w:eastAsia="仿宋"/>
          <w:b w:val="0"/>
        </w:rPr>
      </w:pPr>
      <w:bookmarkStart w:id="124" w:name="_Toc50622836"/>
      <w:bookmarkStart w:id="125" w:name="_Toc15396619"/>
      <w:bookmarkStart w:id="126" w:name="_Toc50621943"/>
      <w:r>
        <w:rPr>
          <w:rFonts w:hint="eastAsia" w:ascii="仿宋" w:hAnsi="仿宋" w:eastAsia="仿宋"/>
          <w:b w:val="0"/>
        </w:rPr>
        <w:t>一、收入支出决算总表</w:t>
      </w:r>
      <w:bookmarkEnd w:id="124"/>
      <w:bookmarkEnd w:id="125"/>
      <w:bookmarkEnd w:id="126"/>
    </w:p>
    <w:p>
      <w:pPr>
        <w:pStyle w:val="3"/>
        <w:rPr>
          <w:rFonts w:ascii="仿宋" w:hAnsi="仿宋" w:eastAsia="仿宋"/>
          <w:b w:val="0"/>
        </w:rPr>
      </w:pPr>
      <w:bookmarkStart w:id="127" w:name="_Toc15396620"/>
      <w:bookmarkStart w:id="128" w:name="_Toc50621944"/>
      <w:bookmarkStart w:id="129" w:name="_Toc50622837"/>
      <w:r>
        <w:rPr>
          <w:rFonts w:hint="eastAsia" w:ascii="仿宋" w:hAnsi="仿宋" w:eastAsia="仿宋"/>
          <w:b w:val="0"/>
        </w:rPr>
        <w:t>二、收入决算表</w:t>
      </w:r>
      <w:bookmarkEnd w:id="127"/>
      <w:bookmarkEnd w:id="128"/>
      <w:bookmarkEnd w:id="129"/>
    </w:p>
    <w:p>
      <w:pPr>
        <w:pStyle w:val="3"/>
        <w:rPr>
          <w:rFonts w:ascii="仿宋" w:hAnsi="仿宋" w:eastAsia="仿宋"/>
          <w:b w:val="0"/>
        </w:rPr>
      </w:pPr>
      <w:bookmarkStart w:id="130" w:name="_Toc15396621"/>
      <w:bookmarkStart w:id="131" w:name="_Toc50621945"/>
      <w:bookmarkStart w:id="132" w:name="_Toc50622838"/>
      <w:r>
        <w:rPr>
          <w:rFonts w:hint="eastAsia" w:ascii="仿宋" w:hAnsi="仿宋" w:eastAsia="仿宋"/>
          <w:b w:val="0"/>
        </w:rPr>
        <w:t>三、支出决算表</w:t>
      </w:r>
      <w:bookmarkEnd w:id="130"/>
      <w:bookmarkEnd w:id="131"/>
      <w:bookmarkEnd w:id="132"/>
    </w:p>
    <w:p>
      <w:pPr>
        <w:pStyle w:val="3"/>
        <w:rPr>
          <w:rFonts w:ascii="仿宋" w:hAnsi="仿宋" w:eastAsia="仿宋"/>
          <w:b w:val="0"/>
        </w:rPr>
      </w:pPr>
      <w:bookmarkStart w:id="133" w:name="_Toc15396622"/>
      <w:bookmarkStart w:id="134" w:name="_Toc50621946"/>
      <w:bookmarkStart w:id="135" w:name="_Toc50622839"/>
      <w:r>
        <w:rPr>
          <w:rFonts w:hint="eastAsia" w:ascii="仿宋" w:hAnsi="仿宋" w:eastAsia="仿宋"/>
          <w:b w:val="0"/>
        </w:rPr>
        <w:t>四、财政拨款收入支出决算总表</w:t>
      </w:r>
      <w:bookmarkEnd w:id="133"/>
      <w:bookmarkEnd w:id="134"/>
      <w:bookmarkEnd w:id="135"/>
    </w:p>
    <w:p>
      <w:pPr>
        <w:pStyle w:val="3"/>
        <w:rPr>
          <w:rFonts w:ascii="仿宋" w:hAnsi="仿宋" w:eastAsia="仿宋"/>
          <w:b w:val="0"/>
        </w:rPr>
      </w:pPr>
      <w:bookmarkStart w:id="136" w:name="_Toc15396623"/>
      <w:bookmarkStart w:id="137" w:name="_Toc50621947"/>
      <w:bookmarkStart w:id="138" w:name="_Toc50622840"/>
      <w:r>
        <w:rPr>
          <w:rFonts w:hint="eastAsia" w:ascii="仿宋" w:hAnsi="仿宋" w:eastAsia="仿宋"/>
          <w:b w:val="0"/>
        </w:rPr>
        <w:t>五、财政拨款支出决算明细表</w:t>
      </w:r>
      <w:bookmarkEnd w:id="136"/>
      <w:bookmarkEnd w:id="137"/>
      <w:bookmarkEnd w:id="138"/>
      <w:bookmarkStart w:id="139" w:name="_Toc15396624"/>
    </w:p>
    <w:p>
      <w:pPr>
        <w:pStyle w:val="3"/>
        <w:rPr>
          <w:rFonts w:ascii="仿宋" w:hAnsi="仿宋" w:eastAsia="仿宋"/>
          <w:b w:val="0"/>
        </w:rPr>
      </w:pPr>
      <w:bookmarkStart w:id="140" w:name="_Toc50621948"/>
      <w:bookmarkStart w:id="141" w:name="_Toc50622841"/>
      <w:r>
        <w:rPr>
          <w:rFonts w:hint="eastAsia" w:ascii="仿宋" w:hAnsi="仿宋" w:eastAsia="仿宋"/>
          <w:b w:val="0"/>
        </w:rPr>
        <w:t>六、一般公共预算财政拨款支出决算表</w:t>
      </w:r>
      <w:bookmarkEnd w:id="139"/>
      <w:bookmarkEnd w:id="140"/>
      <w:bookmarkEnd w:id="141"/>
    </w:p>
    <w:p>
      <w:pPr>
        <w:pStyle w:val="3"/>
        <w:rPr>
          <w:rFonts w:ascii="仿宋" w:hAnsi="仿宋" w:eastAsia="仿宋"/>
          <w:b w:val="0"/>
        </w:rPr>
      </w:pPr>
      <w:bookmarkStart w:id="142" w:name="_Toc15396625"/>
      <w:bookmarkStart w:id="143" w:name="_Toc50621949"/>
      <w:bookmarkStart w:id="144" w:name="_Toc50622842"/>
      <w:r>
        <w:rPr>
          <w:rFonts w:hint="eastAsia" w:ascii="仿宋" w:hAnsi="仿宋" w:eastAsia="仿宋"/>
          <w:b w:val="0"/>
        </w:rPr>
        <w:t>七、一般公共预算财政拨款支出决算明细表</w:t>
      </w:r>
      <w:bookmarkEnd w:id="142"/>
      <w:bookmarkEnd w:id="143"/>
      <w:bookmarkEnd w:id="144"/>
    </w:p>
    <w:p>
      <w:pPr>
        <w:pStyle w:val="3"/>
        <w:rPr>
          <w:rFonts w:ascii="仿宋" w:hAnsi="仿宋" w:eastAsia="仿宋"/>
          <w:b w:val="0"/>
        </w:rPr>
      </w:pPr>
      <w:bookmarkStart w:id="145" w:name="_Toc15396626"/>
      <w:bookmarkStart w:id="146" w:name="_Toc50621950"/>
      <w:bookmarkStart w:id="147" w:name="_Toc50622843"/>
      <w:r>
        <w:rPr>
          <w:rFonts w:hint="eastAsia" w:ascii="仿宋" w:hAnsi="仿宋" w:eastAsia="仿宋"/>
          <w:b w:val="0"/>
        </w:rPr>
        <w:t>八、一般公共预算财政拨款基本支出决算表</w:t>
      </w:r>
      <w:bookmarkEnd w:id="145"/>
      <w:bookmarkEnd w:id="146"/>
      <w:bookmarkEnd w:id="147"/>
    </w:p>
    <w:p>
      <w:pPr>
        <w:pStyle w:val="3"/>
        <w:rPr>
          <w:rFonts w:ascii="仿宋" w:hAnsi="仿宋" w:eastAsia="仿宋"/>
          <w:b w:val="0"/>
        </w:rPr>
      </w:pPr>
      <w:bookmarkStart w:id="148" w:name="_Toc15396627"/>
      <w:bookmarkStart w:id="149" w:name="_Toc50621951"/>
      <w:bookmarkStart w:id="150" w:name="_Toc50622844"/>
      <w:r>
        <w:rPr>
          <w:rFonts w:hint="eastAsia" w:ascii="仿宋" w:hAnsi="仿宋" w:eastAsia="仿宋"/>
          <w:b w:val="0"/>
        </w:rPr>
        <w:t>九、一般公共预算财政拨款项目支出决算表</w:t>
      </w:r>
      <w:bookmarkEnd w:id="148"/>
      <w:bookmarkEnd w:id="149"/>
      <w:bookmarkEnd w:id="150"/>
    </w:p>
    <w:p>
      <w:pPr>
        <w:pStyle w:val="3"/>
        <w:rPr>
          <w:rFonts w:ascii="仿宋" w:hAnsi="仿宋" w:eastAsia="仿宋"/>
          <w:b w:val="0"/>
        </w:rPr>
      </w:pPr>
      <w:bookmarkStart w:id="151" w:name="_Toc15396628"/>
      <w:bookmarkStart w:id="152" w:name="_Toc50621952"/>
      <w:bookmarkStart w:id="153" w:name="_Toc50622845"/>
      <w:r>
        <w:rPr>
          <w:rFonts w:hint="eastAsia" w:ascii="仿宋" w:hAnsi="仿宋" w:eastAsia="仿宋"/>
          <w:b w:val="0"/>
        </w:rPr>
        <w:t>十、一般公共预算财政拨款“三公”经费支出决算表</w:t>
      </w:r>
      <w:bookmarkEnd w:id="151"/>
      <w:bookmarkEnd w:id="152"/>
      <w:bookmarkEnd w:id="153"/>
    </w:p>
    <w:p>
      <w:pPr>
        <w:pStyle w:val="3"/>
        <w:rPr>
          <w:rFonts w:ascii="仿宋" w:hAnsi="仿宋" w:eastAsia="仿宋"/>
          <w:b w:val="0"/>
        </w:rPr>
      </w:pPr>
      <w:bookmarkStart w:id="154" w:name="_Toc15396629"/>
      <w:bookmarkStart w:id="155" w:name="_Toc50621953"/>
      <w:bookmarkStart w:id="156" w:name="_Toc50622846"/>
      <w:r>
        <w:rPr>
          <w:rFonts w:hint="eastAsia" w:ascii="仿宋" w:hAnsi="仿宋" w:eastAsia="仿宋"/>
          <w:b w:val="0"/>
        </w:rPr>
        <w:t>十一、政府性基金预算财政拨款收入支出决算表</w:t>
      </w:r>
      <w:bookmarkEnd w:id="154"/>
      <w:bookmarkEnd w:id="155"/>
      <w:bookmarkEnd w:id="156"/>
    </w:p>
    <w:p>
      <w:pPr>
        <w:pStyle w:val="3"/>
        <w:rPr>
          <w:rFonts w:ascii="仿宋" w:hAnsi="仿宋" w:eastAsia="仿宋"/>
          <w:b w:val="0"/>
        </w:rPr>
      </w:pPr>
      <w:bookmarkStart w:id="157" w:name="_Toc15396630"/>
      <w:bookmarkStart w:id="158" w:name="_Toc50621954"/>
      <w:bookmarkStart w:id="159" w:name="_Toc50622847"/>
      <w:r>
        <w:rPr>
          <w:rFonts w:hint="eastAsia" w:ascii="仿宋" w:hAnsi="仿宋" w:eastAsia="仿宋"/>
          <w:b w:val="0"/>
        </w:rPr>
        <w:t>十二、政府性基金预算财政拨款“三公”经费支出决算表</w:t>
      </w:r>
      <w:bookmarkEnd w:id="157"/>
      <w:bookmarkEnd w:id="158"/>
      <w:bookmarkEnd w:id="159"/>
    </w:p>
    <w:p>
      <w:pPr>
        <w:pStyle w:val="3"/>
        <w:rPr>
          <w:rFonts w:ascii="仿宋" w:hAnsi="仿宋" w:eastAsia="仿宋"/>
          <w:b w:val="0"/>
        </w:rPr>
      </w:pPr>
      <w:bookmarkStart w:id="160" w:name="_Toc15396631"/>
      <w:bookmarkStart w:id="161" w:name="_Toc50621955"/>
      <w:bookmarkStart w:id="162" w:name="_Toc50622848"/>
      <w:r>
        <w:rPr>
          <w:rFonts w:hint="eastAsia" w:ascii="仿宋" w:hAnsi="仿宋" w:eastAsia="仿宋"/>
          <w:b w:val="0"/>
        </w:rPr>
        <w:t>十三、国有资本经营预算支出决算表</w:t>
      </w:r>
      <w:bookmarkEnd w:id="160"/>
      <w:bookmarkEnd w:id="161"/>
      <w:bookmarkEnd w:id="162"/>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12</w:t>
    </w:r>
    <w:r>
      <w:rPr>
        <w:lang w:val="zh-CN"/>
      </w:rP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361C"/>
    <w:rsid w:val="000222C6"/>
    <w:rsid w:val="0002549F"/>
    <w:rsid w:val="00030248"/>
    <w:rsid w:val="000468DB"/>
    <w:rsid w:val="00047690"/>
    <w:rsid w:val="0006487A"/>
    <w:rsid w:val="00065F8F"/>
    <w:rsid w:val="00070A43"/>
    <w:rsid w:val="000756D1"/>
    <w:rsid w:val="000768F2"/>
    <w:rsid w:val="0009184B"/>
    <w:rsid w:val="00091B9C"/>
    <w:rsid w:val="00094236"/>
    <w:rsid w:val="00094BC6"/>
    <w:rsid w:val="0009593C"/>
    <w:rsid w:val="00097322"/>
    <w:rsid w:val="000A6A92"/>
    <w:rsid w:val="000B047F"/>
    <w:rsid w:val="000B24E1"/>
    <w:rsid w:val="000B5923"/>
    <w:rsid w:val="000B5A48"/>
    <w:rsid w:val="000B5EBE"/>
    <w:rsid w:val="000B6FF3"/>
    <w:rsid w:val="000C3467"/>
    <w:rsid w:val="000C3CA6"/>
    <w:rsid w:val="000D1267"/>
    <w:rsid w:val="000D1D50"/>
    <w:rsid w:val="000D5782"/>
    <w:rsid w:val="000E6613"/>
    <w:rsid w:val="000E7119"/>
    <w:rsid w:val="00114E9B"/>
    <w:rsid w:val="00115A77"/>
    <w:rsid w:val="00116055"/>
    <w:rsid w:val="0012317F"/>
    <w:rsid w:val="00142216"/>
    <w:rsid w:val="001429C4"/>
    <w:rsid w:val="00144D6A"/>
    <w:rsid w:val="0014729F"/>
    <w:rsid w:val="00157BAB"/>
    <w:rsid w:val="001654D1"/>
    <w:rsid w:val="00174518"/>
    <w:rsid w:val="0018106D"/>
    <w:rsid w:val="001877A7"/>
    <w:rsid w:val="00191536"/>
    <w:rsid w:val="00196687"/>
    <w:rsid w:val="001A55C6"/>
    <w:rsid w:val="001B607C"/>
    <w:rsid w:val="001C0962"/>
    <w:rsid w:val="001D7531"/>
    <w:rsid w:val="001E49F0"/>
    <w:rsid w:val="001E737D"/>
    <w:rsid w:val="001F0592"/>
    <w:rsid w:val="001F37CC"/>
    <w:rsid w:val="001F59BF"/>
    <w:rsid w:val="001F7506"/>
    <w:rsid w:val="002006CD"/>
    <w:rsid w:val="00202B36"/>
    <w:rsid w:val="00204B7A"/>
    <w:rsid w:val="00204CDE"/>
    <w:rsid w:val="002066DA"/>
    <w:rsid w:val="0021101A"/>
    <w:rsid w:val="00211124"/>
    <w:rsid w:val="00220536"/>
    <w:rsid w:val="0022261F"/>
    <w:rsid w:val="00235629"/>
    <w:rsid w:val="002371CD"/>
    <w:rsid w:val="00237DF5"/>
    <w:rsid w:val="00260C38"/>
    <w:rsid w:val="002616C0"/>
    <w:rsid w:val="00262180"/>
    <w:rsid w:val="00265372"/>
    <w:rsid w:val="002662AA"/>
    <w:rsid w:val="002702D0"/>
    <w:rsid w:val="002739A6"/>
    <w:rsid w:val="00280496"/>
    <w:rsid w:val="002808F5"/>
    <w:rsid w:val="0028710F"/>
    <w:rsid w:val="00294DC9"/>
    <w:rsid w:val="00295495"/>
    <w:rsid w:val="002A31DE"/>
    <w:rsid w:val="002A3F0F"/>
    <w:rsid w:val="002A5689"/>
    <w:rsid w:val="002B207B"/>
    <w:rsid w:val="002B2613"/>
    <w:rsid w:val="002B389A"/>
    <w:rsid w:val="002D19B0"/>
    <w:rsid w:val="002D6D05"/>
    <w:rsid w:val="002E229A"/>
    <w:rsid w:val="002F1818"/>
    <w:rsid w:val="002F3840"/>
    <w:rsid w:val="002F567B"/>
    <w:rsid w:val="00306BFA"/>
    <w:rsid w:val="003143FD"/>
    <w:rsid w:val="003216A9"/>
    <w:rsid w:val="00335A74"/>
    <w:rsid w:val="003450F2"/>
    <w:rsid w:val="00350D97"/>
    <w:rsid w:val="00351F92"/>
    <w:rsid w:val="0036561B"/>
    <w:rsid w:val="0037013F"/>
    <w:rsid w:val="0037430A"/>
    <w:rsid w:val="00380C92"/>
    <w:rsid w:val="00381CEB"/>
    <w:rsid w:val="00385A46"/>
    <w:rsid w:val="00393111"/>
    <w:rsid w:val="003A2014"/>
    <w:rsid w:val="003A484F"/>
    <w:rsid w:val="003A4883"/>
    <w:rsid w:val="003A6DE0"/>
    <w:rsid w:val="003B0BE0"/>
    <w:rsid w:val="003B0C1B"/>
    <w:rsid w:val="003B122F"/>
    <w:rsid w:val="003B6822"/>
    <w:rsid w:val="003B688C"/>
    <w:rsid w:val="003C0291"/>
    <w:rsid w:val="003C39AE"/>
    <w:rsid w:val="003C7B60"/>
    <w:rsid w:val="003D0C0F"/>
    <w:rsid w:val="003D1FB2"/>
    <w:rsid w:val="003D500D"/>
    <w:rsid w:val="003D668D"/>
    <w:rsid w:val="003D66DA"/>
    <w:rsid w:val="003E1310"/>
    <w:rsid w:val="003E5DCA"/>
    <w:rsid w:val="003E6F55"/>
    <w:rsid w:val="003F7685"/>
    <w:rsid w:val="00406254"/>
    <w:rsid w:val="004109C5"/>
    <w:rsid w:val="00416CD4"/>
    <w:rsid w:val="004223DE"/>
    <w:rsid w:val="00434489"/>
    <w:rsid w:val="00437085"/>
    <w:rsid w:val="00443880"/>
    <w:rsid w:val="004464F4"/>
    <w:rsid w:val="0045321F"/>
    <w:rsid w:val="00465904"/>
    <w:rsid w:val="00471401"/>
    <w:rsid w:val="00473F31"/>
    <w:rsid w:val="0048263A"/>
    <w:rsid w:val="00487E5D"/>
    <w:rsid w:val="004A5444"/>
    <w:rsid w:val="004A6F8B"/>
    <w:rsid w:val="004A711F"/>
    <w:rsid w:val="004B199D"/>
    <w:rsid w:val="004B4690"/>
    <w:rsid w:val="004C1AB3"/>
    <w:rsid w:val="004D3FEA"/>
    <w:rsid w:val="004E0A2D"/>
    <w:rsid w:val="004E206B"/>
    <w:rsid w:val="004E5691"/>
    <w:rsid w:val="004E6DF7"/>
    <w:rsid w:val="004F0FBD"/>
    <w:rsid w:val="004F3A76"/>
    <w:rsid w:val="004F403E"/>
    <w:rsid w:val="004F7A0D"/>
    <w:rsid w:val="00505A47"/>
    <w:rsid w:val="00512FDA"/>
    <w:rsid w:val="00520DA0"/>
    <w:rsid w:val="0052203C"/>
    <w:rsid w:val="00556B97"/>
    <w:rsid w:val="00556F32"/>
    <w:rsid w:val="00562C87"/>
    <w:rsid w:val="00566238"/>
    <w:rsid w:val="005664BB"/>
    <w:rsid w:val="00566FFA"/>
    <w:rsid w:val="00571EB7"/>
    <w:rsid w:val="0057481D"/>
    <w:rsid w:val="00575F0B"/>
    <w:rsid w:val="00581A6A"/>
    <w:rsid w:val="0058486E"/>
    <w:rsid w:val="00585B33"/>
    <w:rsid w:val="0059014D"/>
    <w:rsid w:val="0059568F"/>
    <w:rsid w:val="005B5C64"/>
    <w:rsid w:val="005C6BD0"/>
    <w:rsid w:val="005C6C4C"/>
    <w:rsid w:val="005D1C8B"/>
    <w:rsid w:val="005D468D"/>
    <w:rsid w:val="005D5CED"/>
    <w:rsid w:val="005E47C5"/>
    <w:rsid w:val="005F1A4C"/>
    <w:rsid w:val="005F1D4D"/>
    <w:rsid w:val="0060534B"/>
    <w:rsid w:val="00605688"/>
    <w:rsid w:val="006070AF"/>
    <w:rsid w:val="0060751E"/>
    <w:rsid w:val="00607E6C"/>
    <w:rsid w:val="006101B1"/>
    <w:rsid w:val="006114EB"/>
    <w:rsid w:val="00614E44"/>
    <w:rsid w:val="00617803"/>
    <w:rsid w:val="0062270A"/>
    <w:rsid w:val="00622830"/>
    <w:rsid w:val="00623DA0"/>
    <w:rsid w:val="00630AEF"/>
    <w:rsid w:val="006325F8"/>
    <w:rsid w:val="00633463"/>
    <w:rsid w:val="00633E85"/>
    <w:rsid w:val="00634C9A"/>
    <w:rsid w:val="00637E32"/>
    <w:rsid w:val="006440E4"/>
    <w:rsid w:val="00647242"/>
    <w:rsid w:val="0066343B"/>
    <w:rsid w:val="00664777"/>
    <w:rsid w:val="006748A4"/>
    <w:rsid w:val="00681A31"/>
    <w:rsid w:val="00683E73"/>
    <w:rsid w:val="00692348"/>
    <w:rsid w:val="006A3141"/>
    <w:rsid w:val="006A5E34"/>
    <w:rsid w:val="006B2422"/>
    <w:rsid w:val="006B2B9A"/>
    <w:rsid w:val="006C1937"/>
    <w:rsid w:val="006D56CC"/>
    <w:rsid w:val="006D6069"/>
    <w:rsid w:val="006F020C"/>
    <w:rsid w:val="007127B7"/>
    <w:rsid w:val="0071798E"/>
    <w:rsid w:val="00727533"/>
    <w:rsid w:val="0073655B"/>
    <w:rsid w:val="007416B6"/>
    <w:rsid w:val="00746F48"/>
    <w:rsid w:val="0075404D"/>
    <w:rsid w:val="00754EEB"/>
    <w:rsid w:val="00760B42"/>
    <w:rsid w:val="0076182A"/>
    <w:rsid w:val="00767B7E"/>
    <w:rsid w:val="007770C3"/>
    <w:rsid w:val="00784D24"/>
    <w:rsid w:val="00785FBA"/>
    <w:rsid w:val="00786E4A"/>
    <w:rsid w:val="007875EB"/>
    <w:rsid w:val="0079426B"/>
    <w:rsid w:val="007A3443"/>
    <w:rsid w:val="007A5B0E"/>
    <w:rsid w:val="007B26A1"/>
    <w:rsid w:val="007B2E16"/>
    <w:rsid w:val="007C258C"/>
    <w:rsid w:val="007D1682"/>
    <w:rsid w:val="007D312A"/>
    <w:rsid w:val="007D3F19"/>
    <w:rsid w:val="007E23B0"/>
    <w:rsid w:val="007F1991"/>
    <w:rsid w:val="007F2C2F"/>
    <w:rsid w:val="007F55FC"/>
    <w:rsid w:val="007F5665"/>
    <w:rsid w:val="00800112"/>
    <w:rsid w:val="00803711"/>
    <w:rsid w:val="00813348"/>
    <w:rsid w:val="00821C4A"/>
    <w:rsid w:val="008253BB"/>
    <w:rsid w:val="00833962"/>
    <w:rsid w:val="0083706E"/>
    <w:rsid w:val="008408F6"/>
    <w:rsid w:val="008423A5"/>
    <w:rsid w:val="00847EF5"/>
    <w:rsid w:val="00850625"/>
    <w:rsid w:val="0085273B"/>
    <w:rsid w:val="00853718"/>
    <w:rsid w:val="00855221"/>
    <w:rsid w:val="00860645"/>
    <w:rsid w:val="0086446B"/>
    <w:rsid w:val="008714BC"/>
    <w:rsid w:val="00871F71"/>
    <w:rsid w:val="00872FD8"/>
    <w:rsid w:val="00885AF4"/>
    <w:rsid w:val="00886DFC"/>
    <w:rsid w:val="00892BFB"/>
    <w:rsid w:val="008939CD"/>
    <w:rsid w:val="008A79EC"/>
    <w:rsid w:val="008B768C"/>
    <w:rsid w:val="008C4DB1"/>
    <w:rsid w:val="008C4EAF"/>
    <w:rsid w:val="008C5176"/>
    <w:rsid w:val="008C7FD0"/>
    <w:rsid w:val="008D0441"/>
    <w:rsid w:val="008D53F1"/>
    <w:rsid w:val="008E1DE7"/>
    <w:rsid w:val="008E707C"/>
    <w:rsid w:val="008F1C55"/>
    <w:rsid w:val="008F4C0A"/>
    <w:rsid w:val="00900B08"/>
    <w:rsid w:val="009010D7"/>
    <w:rsid w:val="00902155"/>
    <w:rsid w:val="00902EE8"/>
    <w:rsid w:val="00902FA3"/>
    <w:rsid w:val="0091187F"/>
    <w:rsid w:val="00923564"/>
    <w:rsid w:val="0092392E"/>
    <w:rsid w:val="009315F9"/>
    <w:rsid w:val="00933499"/>
    <w:rsid w:val="00935C98"/>
    <w:rsid w:val="00946945"/>
    <w:rsid w:val="00951248"/>
    <w:rsid w:val="0095152F"/>
    <w:rsid w:val="00954C49"/>
    <w:rsid w:val="009558F1"/>
    <w:rsid w:val="00955E37"/>
    <w:rsid w:val="00961FA2"/>
    <w:rsid w:val="0097099F"/>
    <w:rsid w:val="00971997"/>
    <w:rsid w:val="00971FFC"/>
    <w:rsid w:val="0098660A"/>
    <w:rsid w:val="009931C3"/>
    <w:rsid w:val="00994D67"/>
    <w:rsid w:val="00997687"/>
    <w:rsid w:val="009B0F2D"/>
    <w:rsid w:val="009B2C43"/>
    <w:rsid w:val="009B3810"/>
    <w:rsid w:val="009B3D87"/>
    <w:rsid w:val="009B4EAE"/>
    <w:rsid w:val="009B693E"/>
    <w:rsid w:val="009B7573"/>
    <w:rsid w:val="009C11D1"/>
    <w:rsid w:val="009C22F4"/>
    <w:rsid w:val="009C2E98"/>
    <w:rsid w:val="009C37FB"/>
    <w:rsid w:val="009D3447"/>
    <w:rsid w:val="009D4711"/>
    <w:rsid w:val="009E0EDA"/>
    <w:rsid w:val="009E57FD"/>
    <w:rsid w:val="009E6FB9"/>
    <w:rsid w:val="009F1185"/>
    <w:rsid w:val="009F18CD"/>
    <w:rsid w:val="009F2A13"/>
    <w:rsid w:val="009F4E57"/>
    <w:rsid w:val="009F7527"/>
    <w:rsid w:val="00A039ED"/>
    <w:rsid w:val="00A04EB0"/>
    <w:rsid w:val="00A13CC1"/>
    <w:rsid w:val="00A16847"/>
    <w:rsid w:val="00A217F3"/>
    <w:rsid w:val="00A21E56"/>
    <w:rsid w:val="00A237D8"/>
    <w:rsid w:val="00A268C4"/>
    <w:rsid w:val="00A307CD"/>
    <w:rsid w:val="00A331C8"/>
    <w:rsid w:val="00A35117"/>
    <w:rsid w:val="00A40A00"/>
    <w:rsid w:val="00A4142F"/>
    <w:rsid w:val="00A422EB"/>
    <w:rsid w:val="00A431B0"/>
    <w:rsid w:val="00A45BB7"/>
    <w:rsid w:val="00A45DB2"/>
    <w:rsid w:val="00A56DF2"/>
    <w:rsid w:val="00A56E6E"/>
    <w:rsid w:val="00A67AB5"/>
    <w:rsid w:val="00A733B2"/>
    <w:rsid w:val="00A741C2"/>
    <w:rsid w:val="00A7678B"/>
    <w:rsid w:val="00A80FCC"/>
    <w:rsid w:val="00A87F45"/>
    <w:rsid w:val="00A90C27"/>
    <w:rsid w:val="00A91760"/>
    <w:rsid w:val="00A93B00"/>
    <w:rsid w:val="00A93C21"/>
    <w:rsid w:val="00AA751B"/>
    <w:rsid w:val="00AB27B2"/>
    <w:rsid w:val="00AB64C9"/>
    <w:rsid w:val="00AB7C15"/>
    <w:rsid w:val="00AC3C6A"/>
    <w:rsid w:val="00AD0F83"/>
    <w:rsid w:val="00AD55C5"/>
    <w:rsid w:val="00AD5620"/>
    <w:rsid w:val="00AD656B"/>
    <w:rsid w:val="00AD7C1B"/>
    <w:rsid w:val="00AE16BA"/>
    <w:rsid w:val="00AE1EBE"/>
    <w:rsid w:val="00AE4616"/>
    <w:rsid w:val="00B03C9D"/>
    <w:rsid w:val="00B05EC4"/>
    <w:rsid w:val="00B060AE"/>
    <w:rsid w:val="00B10517"/>
    <w:rsid w:val="00B138F4"/>
    <w:rsid w:val="00B14E76"/>
    <w:rsid w:val="00B161B8"/>
    <w:rsid w:val="00B2048C"/>
    <w:rsid w:val="00B23087"/>
    <w:rsid w:val="00B310B9"/>
    <w:rsid w:val="00B35F3F"/>
    <w:rsid w:val="00B36CBB"/>
    <w:rsid w:val="00B425E0"/>
    <w:rsid w:val="00B440AA"/>
    <w:rsid w:val="00B44B70"/>
    <w:rsid w:val="00B467F7"/>
    <w:rsid w:val="00B53C56"/>
    <w:rsid w:val="00B57DAF"/>
    <w:rsid w:val="00B66F5B"/>
    <w:rsid w:val="00B77EA6"/>
    <w:rsid w:val="00B81598"/>
    <w:rsid w:val="00B841F1"/>
    <w:rsid w:val="00B944D6"/>
    <w:rsid w:val="00B97D5C"/>
    <w:rsid w:val="00BA418A"/>
    <w:rsid w:val="00BB25B9"/>
    <w:rsid w:val="00BB30EE"/>
    <w:rsid w:val="00BB4DF0"/>
    <w:rsid w:val="00BC0611"/>
    <w:rsid w:val="00BC289F"/>
    <w:rsid w:val="00BC2D50"/>
    <w:rsid w:val="00BC5361"/>
    <w:rsid w:val="00BC5460"/>
    <w:rsid w:val="00BC6B50"/>
    <w:rsid w:val="00BD0E25"/>
    <w:rsid w:val="00BF5BD6"/>
    <w:rsid w:val="00C03E31"/>
    <w:rsid w:val="00C20EBA"/>
    <w:rsid w:val="00C263C9"/>
    <w:rsid w:val="00C30E69"/>
    <w:rsid w:val="00C31B57"/>
    <w:rsid w:val="00C33E72"/>
    <w:rsid w:val="00C354B2"/>
    <w:rsid w:val="00C35554"/>
    <w:rsid w:val="00C42709"/>
    <w:rsid w:val="00C5082A"/>
    <w:rsid w:val="00C522F1"/>
    <w:rsid w:val="00C533CC"/>
    <w:rsid w:val="00C53BE9"/>
    <w:rsid w:val="00C5751C"/>
    <w:rsid w:val="00C61BFC"/>
    <w:rsid w:val="00C62B85"/>
    <w:rsid w:val="00C65438"/>
    <w:rsid w:val="00C813AA"/>
    <w:rsid w:val="00C82CF1"/>
    <w:rsid w:val="00C83CE6"/>
    <w:rsid w:val="00C86C57"/>
    <w:rsid w:val="00C87529"/>
    <w:rsid w:val="00C91CBB"/>
    <w:rsid w:val="00CB2390"/>
    <w:rsid w:val="00CB2B43"/>
    <w:rsid w:val="00CB36AE"/>
    <w:rsid w:val="00CB4E70"/>
    <w:rsid w:val="00CC09B6"/>
    <w:rsid w:val="00CC666F"/>
    <w:rsid w:val="00CD1E3F"/>
    <w:rsid w:val="00CD65E9"/>
    <w:rsid w:val="00CE427D"/>
    <w:rsid w:val="00CE44F6"/>
    <w:rsid w:val="00CE49DA"/>
    <w:rsid w:val="00CE7B61"/>
    <w:rsid w:val="00D00095"/>
    <w:rsid w:val="00D054EF"/>
    <w:rsid w:val="00D114F0"/>
    <w:rsid w:val="00D20620"/>
    <w:rsid w:val="00D254F7"/>
    <w:rsid w:val="00D26091"/>
    <w:rsid w:val="00D2685C"/>
    <w:rsid w:val="00D277C6"/>
    <w:rsid w:val="00D34E7C"/>
    <w:rsid w:val="00D35489"/>
    <w:rsid w:val="00D36AFE"/>
    <w:rsid w:val="00D46568"/>
    <w:rsid w:val="00D46767"/>
    <w:rsid w:val="00D51276"/>
    <w:rsid w:val="00D7035F"/>
    <w:rsid w:val="00D875FA"/>
    <w:rsid w:val="00DA25FF"/>
    <w:rsid w:val="00DA5B7D"/>
    <w:rsid w:val="00DA634F"/>
    <w:rsid w:val="00DA65AC"/>
    <w:rsid w:val="00DB1913"/>
    <w:rsid w:val="00DC410D"/>
    <w:rsid w:val="00DC5132"/>
    <w:rsid w:val="00DC51B4"/>
    <w:rsid w:val="00DC5A81"/>
    <w:rsid w:val="00DC68CA"/>
    <w:rsid w:val="00DC7CBA"/>
    <w:rsid w:val="00DD73B7"/>
    <w:rsid w:val="00DE761C"/>
    <w:rsid w:val="00DF04F6"/>
    <w:rsid w:val="00DF28BC"/>
    <w:rsid w:val="00DF34B9"/>
    <w:rsid w:val="00E01053"/>
    <w:rsid w:val="00E043B9"/>
    <w:rsid w:val="00E04AC3"/>
    <w:rsid w:val="00E06978"/>
    <w:rsid w:val="00E07A80"/>
    <w:rsid w:val="00E07ACF"/>
    <w:rsid w:val="00E11677"/>
    <w:rsid w:val="00E331A1"/>
    <w:rsid w:val="00E33202"/>
    <w:rsid w:val="00E336A9"/>
    <w:rsid w:val="00E440A4"/>
    <w:rsid w:val="00E472B1"/>
    <w:rsid w:val="00E50624"/>
    <w:rsid w:val="00E568DF"/>
    <w:rsid w:val="00E64269"/>
    <w:rsid w:val="00E66797"/>
    <w:rsid w:val="00E807EA"/>
    <w:rsid w:val="00E82267"/>
    <w:rsid w:val="00E853CE"/>
    <w:rsid w:val="00E867B6"/>
    <w:rsid w:val="00E87F08"/>
    <w:rsid w:val="00EA010F"/>
    <w:rsid w:val="00EA3F42"/>
    <w:rsid w:val="00EB024D"/>
    <w:rsid w:val="00EC4BB7"/>
    <w:rsid w:val="00ED1B63"/>
    <w:rsid w:val="00ED3C1F"/>
    <w:rsid w:val="00ED4085"/>
    <w:rsid w:val="00ED420E"/>
    <w:rsid w:val="00ED68E5"/>
    <w:rsid w:val="00ED6FBE"/>
    <w:rsid w:val="00EE2F57"/>
    <w:rsid w:val="00EF4C34"/>
    <w:rsid w:val="00EF6316"/>
    <w:rsid w:val="00EF77C6"/>
    <w:rsid w:val="00F05438"/>
    <w:rsid w:val="00F12092"/>
    <w:rsid w:val="00F1361C"/>
    <w:rsid w:val="00F156F0"/>
    <w:rsid w:val="00F160C7"/>
    <w:rsid w:val="00F16E7E"/>
    <w:rsid w:val="00F2408F"/>
    <w:rsid w:val="00F240E9"/>
    <w:rsid w:val="00F2617D"/>
    <w:rsid w:val="00F26689"/>
    <w:rsid w:val="00F36D8F"/>
    <w:rsid w:val="00F37DC7"/>
    <w:rsid w:val="00F417B1"/>
    <w:rsid w:val="00F42ABE"/>
    <w:rsid w:val="00F45853"/>
    <w:rsid w:val="00F602DF"/>
    <w:rsid w:val="00F754A1"/>
    <w:rsid w:val="00F770DF"/>
    <w:rsid w:val="00F81FD9"/>
    <w:rsid w:val="00F841AA"/>
    <w:rsid w:val="00F84A94"/>
    <w:rsid w:val="00F87E96"/>
    <w:rsid w:val="00FA23E8"/>
    <w:rsid w:val="00FD3B34"/>
    <w:rsid w:val="00FD3CC1"/>
    <w:rsid w:val="00FF1E02"/>
    <w:rsid w:val="00FF267C"/>
    <w:rsid w:val="00FF30B4"/>
    <w:rsid w:val="10C055FF"/>
    <w:rsid w:val="16BB723D"/>
    <w:rsid w:val="1DA747D4"/>
    <w:rsid w:val="240371BF"/>
    <w:rsid w:val="29FD04D3"/>
    <w:rsid w:val="319F7F4E"/>
    <w:rsid w:val="4ECE2238"/>
    <w:rsid w:val="72734D9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qFormat="1" w:unhideWhenUsed="0" w:uiPriority="99"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4"/>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25"/>
    <w:qFormat/>
    <w:uiPriority w:val="99"/>
    <w:pPr>
      <w:keepNext/>
      <w:keepLines/>
      <w:spacing w:before="260" w:after="260" w:line="416" w:lineRule="auto"/>
      <w:outlineLvl w:val="2"/>
    </w:pPr>
    <w:rPr>
      <w:b/>
      <w:bCs/>
      <w:sz w:val="32"/>
      <w:szCs w:val="32"/>
    </w:rPr>
  </w:style>
  <w:style w:type="character" w:default="1" w:styleId="20">
    <w:name w:val="Default Paragraph Font"/>
    <w:semiHidden/>
    <w:uiPriority w:val="99"/>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99"/>
    <w:pPr>
      <w:ind w:left="1260"/>
      <w:jc w:val="left"/>
    </w:pPr>
    <w:rPr>
      <w:sz w:val="18"/>
      <w:szCs w:val="18"/>
    </w:rPr>
  </w:style>
  <w:style w:type="paragraph" w:styleId="6">
    <w:name w:val="Body Text"/>
    <w:basedOn w:val="1"/>
    <w:link w:val="32"/>
    <w:qFormat/>
    <w:uiPriority w:val="99"/>
    <w:pPr>
      <w:spacing w:beforeLines="30"/>
    </w:pPr>
    <w:rPr>
      <w:rFonts w:ascii="仿宋_GB2312" w:eastAsia="仿宋_GB2312"/>
      <w:kern w:val="0"/>
      <w:sz w:val="24"/>
      <w:szCs w:val="20"/>
    </w:rPr>
  </w:style>
  <w:style w:type="paragraph" w:styleId="7">
    <w:name w:val="toc 5"/>
    <w:basedOn w:val="1"/>
    <w:next w:val="1"/>
    <w:semiHidden/>
    <w:qFormat/>
    <w:uiPriority w:val="99"/>
    <w:pPr>
      <w:ind w:left="840"/>
      <w:jc w:val="left"/>
    </w:pPr>
    <w:rPr>
      <w:sz w:val="18"/>
      <w:szCs w:val="18"/>
    </w:rPr>
  </w:style>
  <w:style w:type="paragraph" w:styleId="8">
    <w:name w:val="toc 3"/>
    <w:basedOn w:val="1"/>
    <w:next w:val="1"/>
    <w:qFormat/>
    <w:uiPriority w:val="99"/>
    <w:pPr>
      <w:ind w:left="420"/>
      <w:jc w:val="left"/>
    </w:pPr>
    <w:rPr>
      <w:i/>
      <w:iCs/>
      <w:sz w:val="20"/>
      <w:szCs w:val="20"/>
    </w:rPr>
  </w:style>
  <w:style w:type="paragraph" w:styleId="9">
    <w:name w:val="Plain Text"/>
    <w:basedOn w:val="1"/>
    <w:link w:val="37"/>
    <w:qFormat/>
    <w:locked/>
    <w:uiPriority w:val="99"/>
    <w:rPr>
      <w:rFonts w:ascii="宋体" w:hAnsi="Courier New" w:cs="Courier New"/>
      <w:szCs w:val="21"/>
    </w:rPr>
  </w:style>
  <w:style w:type="paragraph" w:styleId="10">
    <w:name w:val="toc 8"/>
    <w:basedOn w:val="1"/>
    <w:next w:val="1"/>
    <w:semiHidden/>
    <w:qFormat/>
    <w:uiPriority w:val="99"/>
    <w:pPr>
      <w:ind w:left="1470"/>
      <w:jc w:val="left"/>
    </w:pPr>
    <w:rPr>
      <w:sz w:val="18"/>
      <w:szCs w:val="18"/>
    </w:rPr>
  </w:style>
  <w:style w:type="paragraph" w:styleId="11">
    <w:name w:val="Balloon Text"/>
    <w:basedOn w:val="1"/>
    <w:link w:val="27"/>
    <w:semiHidden/>
    <w:qFormat/>
    <w:uiPriority w:val="99"/>
    <w:rPr>
      <w:sz w:val="18"/>
      <w:szCs w:val="18"/>
    </w:rPr>
  </w:style>
  <w:style w:type="paragraph" w:styleId="12">
    <w:name w:val="footer"/>
    <w:basedOn w:val="1"/>
    <w:link w:val="31"/>
    <w:qFormat/>
    <w:uiPriority w:val="99"/>
    <w:pPr>
      <w:tabs>
        <w:tab w:val="center" w:pos="4153"/>
        <w:tab w:val="right" w:pos="8306"/>
      </w:tabs>
      <w:snapToGrid w:val="0"/>
      <w:jc w:val="left"/>
    </w:pPr>
    <w:rPr>
      <w:rFonts w:ascii="Calibri" w:hAnsi="Calibri"/>
      <w:kern w:val="0"/>
      <w:sz w:val="18"/>
      <w:szCs w:val="20"/>
    </w:rPr>
  </w:style>
  <w:style w:type="paragraph" w:styleId="13">
    <w:name w:val="header"/>
    <w:basedOn w:val="1"/>
    <w:link w:val="30"/>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14">
    <w:name w:val="toc 1"/>
    <w:basedOn w:val="1"/>
    <w:next w:val="1"/>
    <w:qFormat/>
    <w:uiPriority w:val="99"/>
    <w:pPr>
      <w:spacing w:before="120" w:after="120"/>
      <w:jc w:val="left"/>
    </w:pPr>
    <w:rPr>
      <w:b/>
      <w:bCs/>
      <w:caps/>
      <w:sz w:val="20"/>
      <w:szCs w:val="20"/>
    </w:rPr>
  </w:style>
  <w:style w:type="paragraph" w:styleId="15">
    <w:name w:val="toc 4"/>
    <w:basedOn w:val="1"/>
    <w:next w:val="1"/>
    <w:semiHidden/>
    <w:qFormat/>
    <w:uiPriority w:val="99"/>
    <w:pPr>
      <w:ind w:left="630"/>
      <w:jc w:val="left"/>
    </w:pPr>
    <w:rPr>
      <w:sz w:val="18"/>
      <w:szCs w:val="18"/>
    </w:rPr>
  </w:style>
  <w:style w:type="paragraph" w:styleId="16">
    <w:name w:val="toc 6"/>
    <w:basedOn w:val="1"/>
    <w:next w:val="1"/>
    <w:semiHidden/>
    <w:qFormat/>
    <w:uiPriority w:val="99"/>
    <w:pPr>
      <w:ind w:left="1050"/>
      <w:jc w:val="left"/>
    </w:pPr>
    <w:rPr>
      <w:sz w:val="18"/>
      <w:szCs w:val="18"/>
    </w:rPr>
  </w:style>
  <w:style w:type="paragraph" w:styleId="17">
    <w:name w:val="toc 2"/>
    <w:basedOn w:val="1"/>
    <w:next w:val="1"/>
    <w:qFormat/>
    <w:uiPriority w:val="99"/>
    <w:pPr>
      <w:ind w:left="210"/>
      <w:jc w:val="left"/>
    </w:pPr>
    <w:rPr>
      <w:smallCaps/>
      <w:sz w:val="20"/>
      <w:szCs w:val="20"/>
    </w:rPr>
  </w:style>
  <w:style w:type="paragraph" w:styleId="18">
    <w:name w:val="toc 9"/>
    <w:basedOn w:val="1"/>
    <w:next w:val="1"/>
    <w:semiHidden/>
    <w:qFormat/>
    <w:uiPriority w:val="99"/>
    <w:pPr>
      <w:ind w:left="1680"/>
      <w:jc w:val="left"/>
    </w:pPr>
    <w:rPr>
      <w:sz w:val="18"/>
      <w:szCs w:val="18"/>
    </w:rPr>
  </w:style>
  <w:style w:type="character" w:styleId="21">
    <w:name w:val="Strong"/>
    <w:basedOn w:val="20"/>
    <w:qFormat/>
    <w:uiPriority w:val="99"/>
    <w:rPr>
      <w:rFonts w:cs="Times New Roman"/>
      <w:b/>
    </w:rPr>
  </w:style>
  <w:style w:type="character" w:styleId="22">
    <w:name w:val="Hyperlink"/>
    <w:basedOn w:val="20"/>
    <w:qFormat/>
    <w:uiPriority w:val="99"/>
    <w:rPr>
      <w:rFonts w:cs="Times New Roman"/>
      <w:color w:val="0000FF"/>
      <w:u w:val="single"/>
    </w:rPr>
  </w:style>
  <w:style w:type="character" w:customStyle="1" w:styleId="23">
    <w:name w:val="Heading 1 Char"/>
    <w:basedOn w:val="20"/>
    <w:link w:val="2"/>
    <w:locked/>
    <w:uiPriority w:val="99"/>
    <w:rPr>
      <w:rFonts w:ascii="Times New Roman" w:hAnsi="Times New Roman" w:cs="Times New Roman"/>
      <w:b/>
      <w:bCs/>
      <w:kern w:val="44"/>
      <w:sz w:val="44"/>
      <w:szCs w:val="44"/>
    </w:rPr>
  </w:style>
  <w:style w:type="character" w:customStyle="1" w:styleId="24">
    <w:name w:val="Heading 2 Char"/>
    <w:basedOn w:val="20"/>
    <w:link w:val="3"/>
    <w:locked/>
    <w:uiPriority w:val="99"/>
    <w:rPr>
      <w:rFonts w:ascii="Cambria" w:hAnsi="Cambria" w:eastAsia="宋体" w:cs="Times New Roman"/>
      <w:b/>
      <w:bCs/>
      <w:kern w:val="2"/>
      <w:sz w:val="32"/>
      <w:szCs w:val="32"/>
    </w:rPr>
  </w:style>
  <w:style w:type="character" w:customStyle="1" w:styleId="25">
    <w:name w:val="Heading 3 Char"/>
    <w:basedOn w:val="20"/>
    <w:link w:val="4"/>
    <w:qFormat/>
    <w:locked/>
    <w:uiPriority w:val="99"/>
    <w:rPr>
      <w:rFonts w:ascii="Times New Roman" w:hAnsi="Times New Roman" w:cs="Times New Roman"/>
      <w:b/>
      <w:bCs/>
      <w:kern w:val="2"/>
      <w:sz w:val="32"/>
      <w:szCs w:val="32"/>
    </w:rPr>
  </w:style>
  <w:style w:type="character" w:customStyle="1" w:styleId="26">
    <w:name w:val="Body Text Char"/>
    <w:basedOn w:val="20"/>
    <w:link w:val="6"/>
    <w:semiHidden/>
    <w:locked/>
    <w:uiPriority w:val="99"/>
    <w:rPr>
      <w:rFonts w:ascii="Times New Roman" w:hAnsi="Times New Roman" w:cs="Times New Roman"/>
      <w:sz w:val="24"/>
      <w:szCs w:val="24"/>
    </w:rPr>
  </w:style>
  <w:style w:type="character" w:customStyle="1" w:styleId="27">
    <w:name w:val="Balloon Text Char"/>
    <w:basedOn w:val="20"/>
    <w:link w:val="11"/>
    <w:semiHidden/>
    <w:qFormat/>
    <w:locked/>
    <w:uiPriority w:val="99"/>
    <w:rPr>
      <w:rFonts w:ascii="Times New Roman" w:hAnsi="Times New Roman" w:cs="Times New Roman"/>
      <w:kern w:val="2"/>
      <w:sz w:val="18"/>
      <w:szCs w:val="18"/>
    </w:rPr>
  </w:style>
  <w:style w:type="character" w:customStyle="1" w:styleId="28">
    <w:name w:val="Footer Char"/>
    <w:basedOn w:val="20"/>
    <w:link w:val="12"/>
    <w:semiHidden/>
    <w:qFormat/>
    <w:locked/>
    <w:uiPriority w:val="99"/>
    <w:rPr>
      <w:rFonts w:ascii="Times New Roman" w:hAnsi="Times New Roman" w:cs="Times New Roman"/>
      <w:sz w:val="18"/>
      <w:szCs w:val="18"/>
    </w:rPr>
  </w:style>
  <w:style w:type="character" w:customStyle="1" w:styleId="29">
    <w:name w:val="Header Char"/>
    <w:basedOn w:val="20"/>
    <w:link w:val="13"/>
    <w:semiHidden/>
    <w:qFormat/>
    <w:locked/>
    <w:uiPriority w:val="99"/>
    <w:rPr>
      <w:rFonts w:ascii="Times New Roman" w:hAnsi="Times New Roman" w:cs="Times New Roman"/>
      <w:sz w:val="18"/>
      <w:szCs w:val="18"/>
    </w:rPr>
  </w:style>
  <w:style w:type="character" w:customStyle="1" w:styleId="30">
    <w:name w:val="Header Char1"/>
    <w:link w:val="13"/>
    <w:semiHidden/>
    <w:qFormat/>
    <w:locked/>
    <w:uiPriority w:val="99"/>
    <w:rPr>
      <w:sz w:val="18"/>
    </w:rPr>
  </w:style>
  <w:style w:type="character" w:customStyle="1" w:styleId="31">
    <w:name w:val="Footer Char1"/>
    <w:link w:val="12"/>
    <w:qFormat/>
    <w:locked/>
    <w:uiPriority w:val="99"/>
    <w:rPr>
      <w:sz w:val="18"/>
    </w:rPr>
  </w:style>
  <w:style w:type="character" w:customStyle="1" w:styleId="32">
    <w:name w:val="Body Text Char1"/>
    <w:link w:val="6"/>
    <w:qFormat/>
    <w:locked/>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styleId="34">
    <w:name w:val="List Paragraph"/>
    <w:basedOn w:val="1"/>
    <w:qFormat/>
    <w:uiPriority w:val="99"/>
    <w:pPr>
      <w:ind w:firstLine="420" w:firstLineChars="200"/>
    </w:pPr>
  </w:style>
  <w:style w:type="paragraph" w:customStyle="1" w:styleId="35">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36">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37">
    <w:name w:val="Plain Text Char"/>
    <w:basedOn w:val="20"/>
    <w:link w:val="9"/>
    <w:semiHidden/>
    <w:qFormat/>
    <w:locked/>
    <w:uiPriority w:val="99"/>
    <w:rPr>
      <w:rFonts w:ascii="宋体" w:hAnsi="Courier New" w:cs="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27"/>
    <customShpInfo spid="_x0000_s1068"/>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6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08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四川省财政厅</Company>
  <Pages>37</Pages>
  <Words>2509</Words>
  <Characters>14304</Characters>
  <Lines>0</Lines>
  <Paragraphs>0</Paragraphs>
  <TotalTime>43</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2020-09-10T01:35:00Z</dcterms:created>
  <dc:creator>曹颖</dc:creator>
  <cp:lastModifiedBy>轩轩</cp:lastModifiedBy>
  <cp:lastPrinted>2020-09-11T00:38:56Z</cp:lastPrinted>
  <dcterms:modified xsi:type="dcterms:W3CDTF">2020-09-11T00:39:32Z</dcterms:modified>
  <dc:title>四川省***</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