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方正小标宋简体" w:hAnsi="宋体" w:eastAsia="方正小标宋简体"/>
          <w:color w:val="000000"/>
          <w:sz w:val="72"/>
          <w:szCs w:val="72"/>
        </w:rPr>
      </w:pPr>
      <w:bookmarkStart w:id="0" w:name="_Toc15306267"/>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44"/>
          <w:szCs w:val="44"/>
        </w:rPr>
      </w:pPr>
      <w:bookmarkStart w:id="1" w:name="_Toc15396597"/>
      <w:bookmarkStart w:id="2" w:name="_Toc15377193"/>
      <w:bookmarkStart w:id="3" w:name="_Toc15396475"/>
      <w:bookmarkStart w:id="4" w:name="_Toc15377425"/>
      <w:bookmarkStart w:id="5" w:name="_Toc15378441"/>
      <w:r>
        <w:rPr>
          <w:rFonts w:hint="eastAsia" w:ascii="方正小标宋简体" w:hAnsi="方正小标宋简体" w:eastAsia="方正小标宋简体" w:cs="方正小标宋简体"/>
          <w:color w:val="000000"/>
          <w:sz w:val="44"/>
          <w:szCs w:val="44"/>
        </w:rPr>
        <w:t>2019年度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44"/>
          <w:szCs w:val="44"/>
        </w:rPr>
      </w:pPr>
      <w:bookmarkStart w:id="6" w:name="_Toc15377194"/>
      <w:bookmarkStart w:id="7" w:name="_Toc15396598"/>
      <w:bookmarkStart w:id="8" w:name="_Toc15396476"/>
      <w:bookmarkStart w:id="9" w:name="_Toc15378442"/>
      <w:bookmarkStart w:id="10" w:name="_Toc15377426"/>
      <w:r>
        <w:rPr>
          <w:rFonts w:hint="eastAsia" w:ascii="方正小标宋简体" w:hAnsi="方正小标宋简体" w:eastAsia="方正小标宋简体" w:cs="方正小标宋简体"/>
          <w:color w:val="000000"/>
          <w:sz w:val="44"/>
          <w:szCs w:val="44"/>
        </w:rPr>
        <w:t>四川省</w:t>
      </w:r>
      <w:bookmarkEnd w:id="0"/>
      <w:bookmarkStart w:id="11" w:name="_Toc15306268"/>
      <w:r>
        <w:rPr>
          <w:rFonts w:hint="eastAsia" w:ascii="方正小标宋简体" w:hAnsi="方正小标宋简体" w:eastAsia="方正小标宋简体" w:cs="方正小标宋简体"/>
          <w:color w:val="000000"/>
          <w:sz w:val="44"/>
          <w:szCs w:val="44"/>
          <w:lang w:eastAsia="zh-CN"/>
        </w:rPr>
        <w:t>渠县医疗保障局</w:t>
      </w:r>
      <w:r>
        <w:rPr>
          <w:rFonts w:hint="eastAsia" w:ascii="方正小标宋简体" w:hAnsi="方正小标宋简体" w:eastAsia="方正小标宋简体" w:cs="方正小标宋简体"/>
          <w:color w:val="000000"/>
          <w:sz w:val="44"/>
          <w:szCs w:val="44"/>
        </w:rPr>
        <w:t>部门决算</w:t>
      </w:r>
      <w:bookmarkEnd w:id="6"/>
      <w:bookmarkEnd w:id="7"/>
      <w:bookmarkEnd w:id="8"/>
      <w:bookmarkEnd w:id="9"/>
      <w:bookmarkEnd w:id="10"/>
      <w:bookmarkEnd w:id="11"/>
    </w:p>
    <w:p>
      <w:pPr>
        <w:widowControl/>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r>
        <w:rPr>
          <w:rFonts w:hint="eastAsia" w:ascii="方正小标宋简体" w:hAnsi="方正小标宋简体" w:eastAsia="方正小标宋简体" w:cs="方正小标宋简体"/>
          <w:color w:val="000000"/>
          <w:sz w:val="44"/>
          <w:szCs w:val="44"/>
        </w:rPr>
        <w:t>目录</w:t>
      </w:r>
    </w:p>
    <w:p>
      <w:pPr>
        <w:widowControl/>
        <w:jc w:val="center"/>
        <w:rPr>
          <w:rFonts w:ascii="黑体" w:hAnsi="黑体" w:eastAsia="黑体" w:cstheme="minorBidi"/>
          <w:sz w:val="28"/>
          <w:szCs w:val="28"/>
        </w:rPr>
      </w:pPr>
    </w:p>
    <w:p>
      <w:pPr>
        <w:pStyle w:val="10"/>
        <w:rPr>
          <w:rFonts w:hint="eastAsia" w:ascii="仿宋" w:hAnsi="仿宋" w:eastAsia="仿宋" w:cs="仿宋"/>
          <w:sz w:val="32"/>
          <w:szCs w:val="32"/>
        </w:rPr>
      </w:pPr>
      <w:r>
        <w:rPr>
          <w:rFonts w:hint="eastAsia" w:ascii="仿宋" w:hAnsi="仿宋" w:eastAsia="仿宋" w:cs="仿宋"/>
          <w:sz w:val="32"/>
          <w:szCs w:val="32"/>
        </w:rPr>
        <w:t>公开时间：2020年9月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pPr>
        <w:rPr>
          <w:rFonts w:hint="eastAsia" w:ascii="仿宋" w:hAnsi="仿宋" w:eastAsia="仿宋" w:cs="仿宋"/>
          <w:sz w:val="32"/>
          <w:szCs w:val="32"/>
        </w:rPr>
      </w:pPr>
    </w:p>
    <w:p>
      <w:pPr>
        <w:pStyle w:val="10"/>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第一部分 部门概况</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一、基本职能及主要工作</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pStyle w:val="10"/>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第二部分度部门决算情况说明</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二、收入决算情况说明</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三、支出决算情况说明</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七、“三公”经费财政拨款支出决算情况说明</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八、政府性基金预算支出决算情况说明</w:t>
      </w:r>
    </w:p>
    <w:p>
      <w:pPr>
        <w:pStyle w:val="11"/>
        <w:keepNext w:val="0"/>
        <w:keepLines w:val="0"/>
        <w:pageBreakBefore w:val="0"/>
        <w:kinsoku/>
        <w:wordWrap/>
        <w:overflowPunct/>
        <w:topLinePunct w:val="0"/>
        <w:autoSpaceDE/>
        <w:autoSpaceDN/>
        <w:bidi w:val="0"/>
        <w:adjustRightInd w:val="0"/>
        <w:snapToGrid w:val="0"/>
        <w:spacing w:line="578" w:lineRule="exact"/>
        <w:ind w:leftChars="0"/>
        <w:jc w:val="left"/>
        <w:textAlignment w:val="auto"/>
        <w:rPr>
          <w:rFonts w:hint="eastAsia" w:ascii="仿宋" w:hAnsi="仿宋" w:eastAsia="仿宋" w:cs="仿宋"/>
          <w:sz w:val="32"/>
          <w:szCs w:val="32"/>
        </w:rPr>
      </w:pPr>
      <w:r>
        <w:rPr>
          <w:rFonts w:hint="eastAsia" w:ascii="仿宋" w:hAnsi="仿宋" w:eastAsia="仿宋" w:cs="仿宋"/>
          <w:sz w:val="32"/>
          <w:szCs w:val="32"/>
        </w:rPr>
        <w:t>九、 国有资本经营预算支出决算情况说明</w:t>
      </w:r>
    </w:p>
    <w:p>
      <w:pPr>
        <w:keepNext w:val="0"/>
        <w:keepLines w:val="0"/>
        <w:pageBreakBefore w:val="0"/>
        <w:kinsoku/>
        <w:wordWrap/>
        <w:overflowPunct/>
        <w:topLinePunct w:val="0"/>
        <w:autoSpaceDE/>
        <w:autoSpaceDN/>
        <w:bidi w:val="0"/>
        <w:adjustRightInd w:val="0"/>
        <w:snapToGrid w:val="0"/>
        <w:spacing w:line="578" w:lineRule="exact"/>
        <w:ind w:left="0" w:leftChars="0" w:firstLine="419" w:firstLineChars="131"/>
        <w:jc w:val="left"/>
        <w:textAlignment w:val="auto"/>
        <w:rPr>
          <w:rFonts w:hint="eastAsia" w:ascii="仿宋" w:hAnsi="仿宋" w:eastAsia="仿宋" w:cs="仿宋"/>
          <w:sz w:val="32"/>
          <w:szCs w:val="32"/>
        </w:rPr>
      </w:pPr>
      <w:r>
        <w:rPr>
          <w:rStyle w:val="16"/>
          <w:rFonts w:hint="eastAsia" w:ascii="仿宋" w:hAnsi="仿宋" w:eastAsia="仿宋" w:cs="仿宋"/>
          <w:color w:val="000000" w:themeColor="text1"/>
          <w:sz w:val="32"/>
          <w:szCs w:val="32"/>
          <w:u w:val="none"/>
          <w14:textFill>
            <w14:solidFill>
              <w14:schemeClr w14:val="tx1"/>
            </w14:solidFill>
          </w14:textFill>
        </w:rPr>
        <w:t>十、</w:t>
      </w:r>
      <w:r>
        <w:rPr>
          <w:rFonts w:hint="eastAsia" w:ascii="仿宋" w:hAnsi="仿宋" w:eastAsia="仿宋" w:cs="仿宋"/>
          <w:sz w:val="32"/>
          <w:szCs w:val="32"/>
        </w:rPr>
        <w:t>其他重要事项的情况说明</w:t>
      </w:r>
      <w:r>
        <w:rPr>
          <w:rFonts w:hint="eastAsia" w:ascii="仿宋" w:hAnsi="仿宋" w:eastAsia="仿宋" w:cs="仿宋"/>
          <w:sz w:val="32"/>
          <w:szCs w:val="32"/>
        </w:rPr>
        <w:tab/>
      </w:r>
    </w:p>
    <w:p>
      <w:pPr>
        <w:pStyle w:val="10"/>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第三部分 名词解释</w:t>
      </w:r>
    </w:p>
    <w:p>
      <w:pPr>
        <w:pStyle w:val="10"/>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第四部分 附件</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附件1</w:t>
      </w:r>
    </w:p>
    <w:p>
      <w:pPr>
        <w:pStyle w:val="10"/>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第五部分 附表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五、财政拨款支出决算明细表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六、一般公共预算财政拨款支出决算表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七、一般公共预算财政拨款支出决算明细表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八、一般公共预算财政拨款基本支出决算表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九、一般公共预算财政拨款项目支出决算表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十、一般公共预算财政拨款“三公”经费支出决算表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十一、政府性基金预算财政拨款收入支出决算表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十二、政府性基金预算财政拨款“三公”经费支出决算表</w:t>
      </w:r>
    </w:p>
    <w:p>
      <w:pPr>
        <w:pStyle w:val="11"/>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十三、国有资本经营预算支出决算表</w:t>
      </w:r>
    </w:p>
    <w:p>
      <w:pPr>
        <w:keepNext w:val="0"/>
        <w:keepLines w:val="0"/>
        <w:pageBreakBefore w:val="0"/>
        <w:widowControl/>
        <w:kinsoku/>
        <w:wordWrap/>
        <w:overflowPunct/>
        <w:topLinePunct w:val="0"/>
        <w:autoSpaceDE/>
        <w:autoSpaceDN/>
        <w:bidi w:val="0"/>
        <w:spacing w:line="578" w:lineRule="exact"/>
        <w:jc w:val="left"/>
        <w:textAlignment w:val="auto"/>
        <w:rPr>
          <w:rFonts w:hint="eastAsia" w:ascii="仿宋" w:hAnsi="仿宋" w:eastAsia="仿宋" w:cs="仿宋"/>
          <w:bCs/>
          <w:kern w:val="44"/>
          <w:sz w:val="32"/>
          <w:szCs w:val="32"/>
        </w:rPr>
      </w:pPr>
      <w:bookmarkStart w:id="12" w:name="_Toc15377196"/>
      <w:bookmarkStart w:id="13" w:name="_Toc15396599"/>
      <w:r>
        <w:rPr>
          <w:rFonts w:hint="eastAsia" w:ascii="仿宋" w:hAnsi="仿宋" w:eastAsia="仿宋" w:cs="仿宋"/>
          <w:b/>
          <w:sz w:val="32"/>
          <w:szCs w:val="32"/>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5" w:firstLineChars="210"/>
        <w:outlineLvl w:val="2"/>
        <w:rPr>
          <w:rFonts w:hint="eastAsia" w:ascii="仿宋" w:hAnsi="仿宋" w:eastAsia="仿宋"/>
          <w:bCs/>
          <w:color w:val="000000"/>
          <w:sz w:val="32"/>
          <w:szCs w:val="32"/>
        </w:rPr>
      </w:pPr>
      <w:bookmarkStart w:id="16" w:name="_Toc15378445"/>
      <w:bookmarkStart w:id="17" w:name="_Toc15377198"/>
      <w:r>
        <w:rPr>
          <w:rFonts w:hint="eastAsia" w:ascii="楷体" w:hAnsi="楷体" w:eastAsia="楷体" w:cs="楷体"/>
          <w:b/>
          <w:bCs w:val="0"/>
          <w:color w:val="000000"/>
          <w:sz w:val="32"/>
          <w:szCs w:val="32"/>
        </w:rPr>
        <w:t>（一）主要职能。</w:t>
      </w:r>
      <w:r>
        <w:rPr>
          <w:rFonts w:hint="eastAsia" w:ascii="仿宋" w:hAnsi="仿宋" w:eastAsia="仿宋"/>
          <w:bCs/>
          <w:color w:val="000000"/>
          <w:sz w:val="32"/>
          <w:szCs w:val="32"/>
        </w:rPr>
        <w:t>（职能参照省政府批准的三定方案）</w:t>
      </w:r>
      <w:bookmarkEnd w:id="16"/>
      <w:bookmarkEnd w:id="1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1.组织起草医疗保险、生育保险、医疗救助等医疗保障的规范性文件。拟订全县医疗保障事业发展规划并组织实施和监督检查。编制全县医疗保障基金预决算草案。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2.组织拟订并实施医疗保障基金监督管理制度，建立健全医疗保障基金安全防控机制。组织实施医疗保障基金审批、支付管理，监督强化全县医疗保障基金运行管理。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3.组织拟订全县医疗保障筹资政策，组织实施城乡统一的医疗保障待遇标准和长期护理保险制度改革方案。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4.按照全省医疗保障目录，组织拟订全县城乡统一的医疗服务项目、医疗服务设施等支付标准，建立动态调整机制并组织实施。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组织拟订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6.负责国家和省、市、县药品、医用耗材招标采购政策的监督实施工作。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推进医疗保障基金支付方式改革，拟订全县定点医药机构协议和支付管理办法并组织实施，负责全县医疗保障定点机构管理。建立健全医疗保障信用评价体系和信息披露制度，监督管理纳入医疗保障范围内的医疗服务行为和医疗费用。拟订基金稽核管理办法并组织实施，依法查处医疗保障领域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8.负责全县医疗保障经办管理和公共服务体系建设。组织实施异地就医管理。建立健全医疗保障关系转移接续制度。监督管理全县医保经办服务工作。开展医疗保障领域对外合作交流。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9.负责规划实施全县医疗保障信息化系统建设。组织开展医疗保障大数据管理和应用。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10.负责职责范围内的安全生产和职业健康、生态环境保护、审批服务便民化等工作。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Cs/>
          <w:color w:val="000000"/>
          <w:sz w:val="32"/>
          <w:szCs w:val="32"/>
        </w:rPr>
      </w:pPr>
      <w:r>
        <w:rPr>
          <w:rFonts w:hint="eastAsia" w:ascii="仿宋" w:hAnsi="仿宋" w:eastAsia="仿宋" w:cs="仿宋"/>
          <w:color w:val="auto"/>
          <w:sz w:val="32"/>
          <w:szCs w:val="32"/>
          <w:lang w:val="en-US" w:eastAsia="zh-CN"/>
        </w:rPr>
        <w:t>11.完成县委、县政府交办的其他任务。</w:t>
      </w:r>
    </w:p>
    <w:p>
      <w:pPr>
        <w:pStyle w:val="5"/>
        <w:adjustRightInd w:val="0"/>
        <w:snapToGrid w:val="0"/>
        <w:spacing w:before="93" w:line="600" w:lineRule="exact"/>
        <w:ind w:firstLine="675" w:firstLineChars="210"/>
        <w:outlineLvl w:val="2"/>
        <w:rPr>
          <w:rFonts w:hint="eastAsia" w:ascii="楷体" w:hAnsi="楷体" w:eastAsia="楷体" w:cs="楷体"/>
          <w:b/>
          <w:bCs w:val="0"/>
          <w:color w:val="000000"/>
          <w:sz w:val="32"/>
          <w:szCs w:val="32"/>
        </w:rPr>
      </w:pPr>
      <w:bookmarkStart w:id="18" w:name="_Toc15378446"/>
      <w:bookmarkStart w:id="19" w:name="_Toc15377199"/>
      <w:r>
        <w:rPr>
          <w:rFonts w:hint="eastAsia" w:ascii="楷体" w:hAnsi="楷体" w:eastAsia="楷体" w:cs="楷体"/>
          <w:b/>
          <w:bCs w:val="0"/>
          <w:color w:val="000000"/>
          <w:sz w:val="32"/>
          <w:szCs w:val="32"/>
        </w:rPr>
        <w:t>（二）2019年重点工作完成情况。</w:t>
      </w:r>
      <w:bookmarkEnd w:id="18"/>
      <w:bookmarkEnd w:id="19"/>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0" w:firstLineChars="200"/>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一是基金管理工作。按照社会保险基金管理办法，进一步健全完善了基金收支预算制度、基金运行分析制度、基金预警制度、股室岗位责任制和责任追究制等制度，并定期组织开展内部控制检查工作。对各股室具体操作权限做了更明确的划分，杜绝权限不清和职能交叉重叠，逐步建立了岗位之间、业务环节之间相互监督、相互制衡的机制，实现各业务、各环节的全程监控，阳光运行。</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0" w:firstLineChars="200"/>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二是“两定”单位监管工作。坚持贯彻执行“两定”监管常态机制，组织抽调专业人员组成联合检查组，每月不定期对辖区内“两定”单位进行现场检查，对住院人次和费用增长较快的医院实行跟踪监督；每季度进行一次专项突击检查，切实维护参保患者的切身利益，确保城镇医保基金安全稳定运行。</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0" w:firstLineChars="200"/>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三是市级统筹工作。完善了医保异地就医结算申报程序，做好异地联网的申报工作，全面实现市内就医即时结算和门诊刷卡一卡通。严格实施分级诊疗制度，逐渐培养“首诊在乡镇，大病在县级，重危在省市，康复在当地”的就诊秩序。</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_GB2312" w:hAnsi="仿宋" w:eastAsia="仿宋_GB2312"/>
          <w:sz w:val="32"/>
          <w:szCs w:val="32"/>
          <w:lang w:eastAsia="zh-CN"/>
        </w:rPr>
        <w:t>四是利民惠民工作。认真落实医保资助参保政策，对以个人身份参加职工医保的破产企业退休人员，伤残军人，低保户，五保户，残疾人等困难群体进行逐一清理核对，落实医保资助金，确保不漏一人。深入推进精准扶贫工作，在精准扶贫工作中，面对一些因病致贫、因病返贫的家庭，积极协助新农合在医疗保险政策范围内给予实质性的医疗救助，提高这些困难家庭的医疗保障水平，切实帮助他们走向脱贫致富的道路。</w:t>
      </w: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kern w:val="0"/>
          <w:sz w:val="32"/>
          <w:szCs w:val="32"/>
        </w:rPr>
      </w:pPr>
      <w:r>
        <w:rPr>
          <w:rFonts w:hint="eastAsia" w:ascii="仿宋" w:hAnsi="仿宋" w:eastAsia="仿宋" w:cs="仿宋"/>
          <w:sz w:val="32"/>
          <w:szCs w:val="32"/>
          <w:lang w:eastAsia="zh-CN"/>
        </w:rPr>
        <w:t>渠县医疗保障局于2019年3月26日挂牌成立，</w:t>
      </w:r>
      <w:r>
        <w:rPr>
          <w:rFonts w:hint="eastAsia" w:ascii="仿宋_GB2312" w:hAnsi="仿宋" w:eastAsia="仿宋_GB2312"/>
          <w:sz w:val="32"/>
          <w:szCs w:val="32"/>
          <w:lang w:eastAsia="zh-CN"/>
        </w:rPr>
        <w:t>属一级预算单位，单位性质为</w:t>
      </w:r>
      <w:r>
        <w:rPr>
          <w:rFonts w:hint="eastAsia" w:ascii="仿宋_GB2312" w:hAnsi="仿宋" w:eastAsia="仿宋_GB2312"/>
          <w:sz w:val="32"/>
          <w:szCs w:val="32"/>
          <w:lang w:val="en-US" w:eastAsia="zh-CN"/>
        </w:rPr>
        <w:t>行政</w:t>
      </w:r>
      <w:r>
        <w:rPr>
          <w:rFonts w:hint="eastAsia" w:ascii="仿宋_GB2312" w:hAnsi="仿宋" w:eastAsia="仿宋_GB2312"/>
          <w:sz w:val="32"/>
          <w:szCs w:val="32"/>
          <w:lang w:eastAsia="zh-CN"/>
        </w:rPr>
        <w:t>单位。根据部门职责分工，渠县医疗保障局机关</w:t>
      </w:r>
      <w:r>
        <w:rPr>
          <w:rFonts w:hint="eastAsia" w:ascii="仿宋" w:hAnsi="仿宋" w:eastAsia="仿宋" w:cs="仿宋"/>
          <w:sz w:val="32"/>
          <w:szCs w:val="32"/>
          <w:lang w:val="en-US" w:eastAsia="zh-CN"/>
        </w:rPr>
        <w:t>行政编制10名，下属事业单位1个：渠县医疗保障事务中心，参公事业编制39名，实有27人。内设机构有：办公室、待遇保障股、综合业务股、基金监管股、信息管理股。</w:t>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Fonts w:hint="eastAsia" w:ascii="仿宋_GB2312" w:hAnsi="仿宋" w:eastAsia="仿宋_GB2312"/>
          <w:sz w:val="32"/>
          <w:szCs w:val="32"/>
          <w:lang w:val="en-US" w:eastAsia="zh-CN"/>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渠县医疗保障局</w:t>
      </w: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8215.01</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2132.87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35.07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机构改革后职能职责增加、业务量增加、人员相对增加和工资正常调整。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26"/>
          <w:rFonts w:ascii="黑体" w:hAnsi="黑体" w:eastAsia="黑体"/>
          <w:b w:val="0"/>
        </w:rPr>
      </w:pPr>
      <w:r>
        <w:drawing>
          <wp:inline distT="0" distB="0" distL="114300" distR="114300">
            <wp:extent cx="5154295" cy="2667000"/>
            <wp:effectExtent l="4445" t="4445" r="2286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26" w:name="_Toc15377206"/>
      <w:bookmarkStart w:id="27" w:name="_Toc15396604"/>
    </w:p>
    <w:p>
      <w:pPr>
        <w:pStyle w:val="24"/>
        <w:numPr>
          <w:ilvl w:val="0"/>
          <w:numId w:val="1"/>
        </w:numPr>
        <w:spacing w:line="600" w:lineRule="exact"/>
        <w:ind w:firstLineChars="0"/>
        <w:outlineLvl w:val="1"/>
        <w:rPr>
          <w:rStyle w:val="26"/>
          <w:rFonts w:ascii="黑体" w:hAnsi="黑体" w:eastAsia="黑体"/>
          <w:b w:val="0"/>
        </w:rPr>
      </w:pP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pageBreakBefore w:val="0"/>
        <w:kinsoku/>
        <w:wordWrap/>
        <w:overflowPunct/>
        <w:topLinePunct w:val="0"/>
        <w:bidi w:val="0"/>
        <w:spacing w:line="500" w:lineRule="exact"/>
        <w:ind w:firstLine="640" w:firstLineChars="200"/>
        <w:outlineLvl w:val="1"/>
        <w:rPr>
          <w:rFonts w:hint="eastAsia" w:ascii="仿宋" w:hAnsi="仿宋" w:eastAsia="仿宋"/>
          <w:color w:val="000000"/>
          <w:sz w:val="32"/>
          <w:szCs w:val="32"/>
        </w:rPr>
      </w:pPr>
      <w:r>
        <w:rPr>
          <w:rFonts w:hint="eastAsia" w:ascii="仿宋" w:hAnsi="仿宋" w:eastAsia="仿宋" w:cs="仿宋"/>
          <w:sz w:val="32"/>
          <w:szCs w:val="32"/>
        </w:rPr>
        <w:t>全年财政收入拨款</w:t>
      </w:r>
      <w:r>
        <w:rPr>
          <w:rFonts w:hint="eastAsia" w:ascii="仿宋" w:hAnsi="仿宋" w:eastAsia="仿宋" w:cs="仿宋"/>
          <w:sz w:val="32"/>
          <w:szCs w:val="32"/>
          <w:lang w:val="en-US" w:eastAsia="zh-CN"/>
        </w:rPr>
        <w:t>8215.01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olor w:val="000000"/>
          <w:sz w:val="32"/>
          <w:szCs w:val="32"/>
        </w:rPr>
        <w:t>其中：一般公共预算财政拨款收入</w:t>
      </w:r>
      <w:r>
        <w:rPr>
          <w:rFonts w:hint="eastAsia" w:ascii="仿宋" w:hAnsi="仿宋" w:eastAsia="仿宋"/>
          <w:color w:val="000000"/>
          <w:sz w:val="32"/>
          <w:szCs w:val="32"/>
          <w:lang w:val="en-US" w:eastAsia="zh-CN"/>
        </w:rPr>
        <w:t>8215.01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_GB2312" w:eastAsia="仿宋_GB2312"/>
          <w:color w:val="FF0000"/>
          <w:sz w:val="32"/>
          <w:szCs w:val="32"/>
        </w:rPr>
      </w:pPr>
      <w:r>
        <w:drawing>
          <wp:inline distT="0" distB="0" distL="114300" distR="114300">
            <wp:extent cx="5269865" cy="2630805"/>
            <wp:effectExtent l="4445" t="4445" r="21590" b="6985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1"/>
        </w:numPr>
        <w:spacing w:line="600" w:lineRule="exact"/>
        <w:ind w:firstLineChars="0"/>
        <w:outlineLvl w:val="1"/>
        <w:rPr>
          <w:rStyle w:val="26"/>
          <w:rFonts w:ascii="黑体" w:hAnsi="黑体" w:eastAsia="黑体"/>
          <w:b w:val="0"/>
          <w:color w:val="auto"/>
        </w:rPr>
      </w:pPr>
      <w:bookmarkStart w:id="28" w:name="_Toc15377207"/>
      <w:bookmarkStart w:id="29" w:name="_Toc15396605"/>
      <w:r>
        <w:rPr>
          <w:rFonts w:hint="eastAsia" w:ascii="黑体" w:hAnsi="黑体" w:eastAsia="黑体"/>
          <w:color w:val="auto"/>
          <w:sz w:val="32"/>
          <w:szCs w:val="32"/>
        </w:rPr>
        <w:t>支</w:t>
      </w:r>
      <w:r>
        <w:rPr>
          <w:rStyle w:val="26"/>
          <w:rFonts w:hint="eastAsia" w:ascii="黑体" w:hAnsi="黑体" w:eastAsia="黑体"/>
          <w:b w:val="0"/>
          <w:color w:val="auto"/>
        </w:rPr>
        <w:t>出决算情况说明</w:t>
      </w:r>
      <w:bookmarkEnd w:id="28"/>
      <w:bookmarkEnd w:id="29"/>
    </w:p>
    <w:p>
      <w:pPr>
        <w:spacing w:line="600" w:lineRule="exact"/>
        <w:ind w:firstLine="640" w:firstLineChars="200"/>
        <w:outlineLvl w:val="1"/>
        <w:rPr>
          <w:rFonts w:hint="default" w:ascii="仿宋" w:hAnsi="仿宋" w:eastAsia="仿宋"/>
          <w:color w:val="auto"/>
          <w:sz w:val="32"/>
          <w:szCs w:val="32"/>
          <w:lang w:val="en-US" w:eastAsia="zh-CN"/>
        </w:rPr>
      </w:pPr>
      <w:r>
        <w:rPr>
          <w:rFonts w:hint="eastAsia" w:ascii="仿宋" w:hAnsi="仿宋" w:eastAsia="仿宋" w:cs="仿宋"/>
          <w:color w:val="auto"/>
          <w:sz w:val="32"/>
          <w:szCs w:val="32"/>
          <w:lang w:val="en-US" w:eastAsia="zh-CN"/>
        </w:rPr>
        <w:t>2019年全</w:t>
      </w:r>
      <w:r>
        <w:rPr>
          <w:rFonts w:hint="eastAsia" w:ascii="仿宋" w:hAnsi="仿宋" w:eastAsia="仿宋" w:cs="仿宋"/>
          <w:color w:val="auto"/>
          <w:sz w:val="32"/>
          <w:szCs w:val="32"/>
          <w:lang w:eastAsia="zh-CN"/>
        </w:rPr>
        <w:t>年支出合计</w:t>
      </w:r>
      <w:r>
        <w:rPr>
          <w:rFonts w:hint="eastAsia" w:ascii="仿宋" w:hAnsi="仿宋" w:eastAsia="仿宋" w:cs="仿宋"/>
          <w:color w:val="auto"/>
          <w:sz w:val="32"/>
          <w:szCs w:val="32"/>
          <w:lang w:val="en-US" w:eastAsia="zh-CN"/>
        </w:rPr>
        <w:t>8215.01</w:t>
      </w:r>
      <w:r>
        <w:rPr>
          <w:rFonts w:hint="eastAsia" w:ascii="仿宋" w:hAnsi="仿宋" w:eastAsia="仿宋" w:cs="仿宋"/>
          <w:color w:val="auto"/>
          <w:sz w:val="32"/>
          <w:szCs w:val="32"/>
          <w:lang w:eastAsia="zh-CN"/>
        </w:rPr>
        <w:t>万元，其中：基本支出</w:t>
      </w:r>
      <w:r>
        <w:rPr>
          <w:rFonts w:hint="eastAsia" w:ascii="仿宋" w:hAnsi="仿宋" w:eastAsia="仿宋" w:cs="仿宋"/>
          <w:color w:val="auto"/>
          <w:sz w:val="32"/>
          <w:szCs w:val="32"/>
          <w:lang w:val="en-US" w:eastAsia="zh-CN"/>
        </w:rPr>
        <w:t>522.36万元，占6.36%；项目支出7692.65万元，占93.64%；上缴上级支出0万元，占0%；经营支出0万元，占0%;对附属单位补助支出0万元，占0%。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olor w:val="000000"/>
          <w:sz w:val="32"/>
          <w:szCs w:val="32"/>
        </w:rPr>
      </w:pPr>
      <w:r>
        <w:drawing>
          <wp:inline distT="0" distB="0" distL="114300" distR="114300">
            <wp:extent cx="5271770" cy="2636520"/>
            <wp:effectExtent l="4445" t="4445" r="19685" b="698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30" w:name="_Toc15377208"/>
      <w:bookmarkStart w:id="31" w:name="_Toc15396606"/>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8215.01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2132.87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35.07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机构改革后职能职责增加、业务量增加、人员相对增加和工资正常调整。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b/>
          <w:color w:val="00B050"/>
          <w:sz w:val="32"/>
          <w:szCs w:val="32"/>
        </w:rPr>
      </w:pPr>
      <w:r>
        <w:drawing>
          <wp:inline distT="0" distB="0" distL="114300" distR="114300">
            <wp:extent cx="5273040" cy="2365375"/>
            <wp:effectExtent l="5080" t="4445" r="17780" b="1143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hint="eastAsia" w:ascii="楷体" w:hAnsi="楷体" w:eastAsia="楷体" w:cs="楷体"/>
          <w:b/>
          <w:color w:val="000000"/>
          <w:sz w:val="32"/>
          <w:szCs w:val="32"/>
        </w:rPr>
      </w:pPr>
      <w:bookmarkStart w:id="34" w:name="_Toc15377210"/>
      <w:r>
        <w:rPr>
          <w:rFonts w:hint="eastAsia" w:ascii="楷体" w:hAnsi="楷体" w:eastAsia="楷体" w:cs="楷体"/>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8215.01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2132.87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35.07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机构改革后职能职责增加、业务量增加、人员相对增加和工资正常调整。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000000" w:themeColor="text1"/>
          <w:sz w:val="32"/>
          <w:szCs w:val="32"/>
          <w14:textFill>
            <w14:solidFill>
              <w14:schemeClr w14:val="tx1"/>
            </w14:solidFill>
          </w14:textFill>
        </w:rPr>
      </w:pPr>
      <w:r>
        <w:drawing>
          <wp:inline distT="0" distB="0" distL="114300" distR="114300">
            <wp:extent cx="5274310" cy="2732405"/>
            <wp:effectExtent l="4445" t="4445" r="17145" b="635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hint="eastAsia" w:ascii="楷体" w:hAnsi="楷体" w:eastAsia="楷体" w:cs="楷体"/>
          <w:b/>
          <w:color w:val="000000"/>
          <w:sz w:val="32"/>
          <w:szCs w:val="32"/>
        </w:rPr>
      </w:pPr>
      <w:bookmarkStart w:id="35" w:name="_Toc15377211"/>
      <w:r>
        <w:rPr>
          <w:rFonts w:hint="eastAsia" w:ascii="楷体" w:hAnsi="楷体" w:eastAsia="楷体" w:cs="楷体"/>
          <w:b/>
          <w:color w:val="000000"/>
          <w:sz w:val="32"/>
          <w:szCs w:val="32"/>
        </w:rPr>
        <w:t>（二）一般公共预算财政拨款支出决算结构情况</w:t>
      </w:r>
      <w:bookmarkEnd w:id="35"/>
    </w:p>
    <w:p>
      <w:pPr>
        <w:spacing w:line="600" w:lineRule="exact"/>
        <w:ind w:firstLine="640" w:firstLineChars="200"/>
        <w:outlineLvl w:val="1"/>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auto"/>
          <w:sz w:val="32"/>
          <w:szCs w:val="32"/>
          <w:lang w:val="en-US" w:eastAsia="zh-CN"/>
        </w:rPr>
        <w:t>2019年全</w:t>
      </w:r>
      <w:r>
        <w:rPr>
          <w:rFonts w:hint="eastAsia" w:ascii="仿宋" w:hAnsi="仿宋" w:eastAsia="仿宋" w:cs="仿宋"/>
          <w:color w:val="auto"/>
          <w:sz w:val="32"/>
          <w:szCs w:val="32"/>
          <w:lang w:eastAsia="zh-CN"/>
        </w:rPr>
        <w:t>年支出合计</w:t>
      </w:r>
      <w:r>
        <w:rPr>
          <w:rFonts w:hint="eastAsia" w:ascii="仿宋" w:hAnsi="仿宋" w:eastAsia="仿宋" w:cs="仿宋"/>
          <w:color w:val="auto"/>
          <w:sz w:val="32"/>
          <w:szCs w:val="32"/>
          <w:lang w:val="en-US" w:eastAsia="zh-CN"/>
        </w:rPr>
        <w:t>8215.01</w:t>
      </w:r>
      <w:r>
        <w:rPr>
          <w:rFonts w:hint="eastAsia" w:ascii="仿宋" w:hAnsi="仿宋" w:eastAsia="仿宋" w:cs="仿宋"/>
          <w:color w:val="auto"/>
          <w:sz w:val="32"/>
          <w:szCs w:val="32"/>
          <w:lang w:eastAsia="zh-CN"/>
        </w:rPr>
        <w:t>万元，其中：</w:t>
      </w:r>
      <w:r>
        <w:rPr>
          <w:rFonts w:hint="eastAsia" w:ascii="仿宋" w:hAnsi="仿宋" w:eastAsia="仿宋" w:cs="仿宋"/>
          <w:color w:val="auto"/>
          <w:sz w:val="32"/>
          <w:szCs w:val="32"/>
        </w:rPr>
        <w:t>社会保障和就业支出</w:t>
      </w:r>
      <w:r>
        <w:rPr>
          <w:rFonts w:hint="eastAsia" w:ascii="仿宋" w:hAnsi="仿宋" w:eastAsia="仿宋" w:cs="仿宋"/>
          <w:color w:val="auto"/>
          <w:sz w:val="32"/>
          <w:szCs w:val="32"/>
          <w:lang w:val="en-US" w:eastAsia="zh-CN"/>
        </w:rPr>
        <w:t>347.55</w:t>
      </w:r>
      <w:r>
        <w:rPr>
          <w:rFonts w:hint="eastAsia" w:ascii="仿宋" w:hAnsi="仿宋" w:eastAsia="仿宋" w:cs="仿宋"/>
          <w:color w:val="auto"/>
          <w:sz w:val="32"/>
          <w:szCs w:val="32"/>
        </w:rPr>
        <w:t>万元，占4.23%；卫生</w:t>
      </w:r>
      <w:r>
        <w:rPr>
          <w:rFonts w:hint="eastAsia" w:ascii="仿宋" w:hAnsi="仿宋" w:eastAsia="仿宋" w:cs="仿宋"/>
          <w:color w:val="auto"/>
          <w:sz w:val="32"/>
          <w:szCs w:val="32"/>
          <w:lang w:val="en-US" w:eastAsia="zh-CN"/>
        </w:rPr>
        <w:t>健康</w:t>
      </w:r>
      <w:r>
        <w:rPr>
          <w:rFonts w:hint="eastAsia" w:ascii="仿宋" w:hAnsi="仿宋" w:eastAsia="仿宋" w:cs="仿宋"/>
          <w:color w:val="auto"/>
          <w:sz w:val="32"/>
          <w:szCs w:val="32"/>
        </w:rPr>
        <w:t>支出4,662.42万元，</w:t>
      </w:r>
      <w:r>
        <w:rPr>
          <w:rFonts w:hint="eastAsia" w:ascii="仿宋" w:hAnsi="仿宋" w:eastAsia="仿宋" w:cs="仿宋"/>
          <w:color w:val="auto"/>
          <w:sz w:val="32"/>
          <w:szCs w:val="32"/>
          <w:lang w:eastAsia="zh-CN"/>
        </w:rPr>
        <w:t>占</w:t>
      </w:r>
      <w:r>
        <w:rPr>
          <w:rFonts w:hint="eastAsia" w:ascii="仿宋" w:hAnsi="仿宋" w:eastAsia="仿宋" w:cs="仿宋"/>
          <w:color w:val="auto"/>
          <w:sz w:val="32"/>
          <w:szCs w:val="32"/>
          <w:lang w:val="en-US" w:eastAsia="zh-CN"/>
        </w:rPr>
        <w:t>56.75%；</w:t>
      </w:r>
      <w:r>
        <w:rPr>
          <w:rFonts w:hint="eastAsia" w:ascii="仿宋" w:hAnsi="仿宋" w:eastAsia="仿宋" w:cs="仿宋"/>
          <w:color w:val="auto"/>
          <w:sz w:val="32"/>
          <w:szCs w:val="32"/>
          <w:lang w:eastAsia="zh-CN"/>
        </w:rPr>
        <w:t>农林水</w:t>
      </w:r>
      <w:r>
        <w:rPr>
          <w:rFonts w:hint="eastAsia" w:ascii="仿宋" w:hAnsi="仿宋" w:eastAsia="仿宋" w:cs="仿宋"/>
          <w:color w:val="auto"/>
          <w:sz w:val="32"/>
          <w:szCs w:val="32"/>
        </w:rPr>
        <w:t>支出3,181.12万元，</w:t>
      </w:r>
      <w:r>
        <w:rPr>
          <w:rFonts w:hint="eastAsia" w:ascii="仿宋" w:hAnsi="仿宋" w:eastAsia="仿宋" w:cs="仿宋"/>
          <w:color w:val="auto"/>
          <w:sz w:val="32"/>
          <w:szCs w:val="32"/>
          <w:lang w:eastAsia="zh-CN"/>
        </w:rPr>
        <w:t>占</w:t>
      </w:r>
      <w:r>
        <w:rPr>
          <w:rFonts w:hint="eastAsia" w:ascii="仿宋" w:hAnsi="仿宋" w:eastAsia="仿宋" w:cs="仿宋"/>
          <w:color w:val="auto"/>
          <w:sz w:val="32"/>
          <w:szCs w:val="32"/>
          <w:lang w:val="en-US" w:eastAsia="zh-CN"/>
        </w:rPr>
        <w:t>38.72%；</w:t>
      </w:r>
      <w:r>
        <w:rPr>
          <w:rFonts w:hint="eastAsia" w:ascii="仿宋" w:hAnsi="仿宋" w:eastAsia="仿宋" w:cs="仿宋"/>
          <w:color w:val="auto"/>
          <w:sz w:val="32"/>
          <w:szCs w:val="32"/>
        </w:rPr>
        <w:t>住房保障支出23.92万元</w:t>
      </w:r>
      <w:r>
        <w:rPr>
          <w:rFonts w:hint="eastAsia" w:ascii="仿宋" w:hAnsi="仿宋" w:eastAsia="仿宋" w:cs="仿宋"/>
          <w:color w:val="auto"/>
          <w:sz w:val="32"/>
          <w:szCs w:val="32"/>
          <w:lang w:eastAsia="zh-CN"/>
        </w:rPr>
        <w:t>，占</w:t>
      </w:r>
      <w:r>
        <w:rPr>
          <w:rFonts w:hint="eastAsia" w:ascii="仿宋" w:hAnsi="仿宋" w:eastAsia="仿宋" w:cs="仿宋"/>
          <w:color w:val="auto"/>
          <w:sz w:val="32"/>
          <w:szCs w:val="32"/>
          <w:lang w:val="en-US" w:eastAsia="zh-CN"/>
        </w:rPr>
        <w:t>0.29%</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000000"/>
          <w:sz w:val="32"/>
          <w:szCs w:val="32"/>
        </w:rPr>
      </w:pPr>
      <w:r>
        <w:drawing>
          <wp:inline distT="0" distB="0" distL="114300" distR="114300">
            <wp:extent cx="5271770" cy="2599055"/>
            <wp:effectExtent l="4445" t="4445" r="19685" b="635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hint="eastAsia" w:ascii="楷体" w:hAnsi="楷体" w:eastAsia="楷体" w:cs="楷体"/>
          <w:b/>
          <w:color w:val="000000"/>
          <w:sz w:val="32"/>
          <w:szCs w:val="32"/>
        </w:rPr>
      </w:pPr>
      <w:bookmarkStart w:id="36" w:name="_Toc15377212"/>
      <w:r>
        <w:rPr>
          <w:rFonts w:hint="eastAsia" w:ascii="楷体" w:hAnsi="楷体" w:eastAsia="楷体" w:cs="楷体"/>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8215.01万元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numPr>
          <w:ilvl w:val="0"/>
          <w:numId w:val="0"/>
        </w:num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人力资源和社会保障管理事务（款）社会保险经办机构（项）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291.69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2.</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行政事业单位离退休（款）机关事业单位基本养老保险缴费支出（项）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39.87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3.</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eastAsia="zh-CN"/>
        </w:rPr>
        <w:t>其他社会保障和就业支出（款）其他社会保障和就业支出（项）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16.00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卫生健康管理事务（款）其他卫生健康管理事务支出（项）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70.14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p>
    <w:p>
      <w:pPr>
        <w:spacing w:line="600" w:lineRule="exact"/>
        <w:ind w:firstLine="643" w:firstLineChars="200"/>
        <w:rPr>
          <w:rStyle w:val="15"/>
          <w:rFonts w:hint="eastAsia" w:ascii="仿宋" w:hAnsi="仿宋" w:eastAsia="仿宋"/>
          <w:b w:val="0"/>
          <w:bCs/>
          <w:color w:val="000000"/>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5.</w:t>
      </w:r>
      <w:r>
        <w:rPr>
          <w:rFonts w:hint="eastAsia" w:ascii="仿宋" w:hAnsi="仿宋" w:eastAsia="仿宋"/>
          <w:b/>
          <w:bCs/>
          <w:color w:val="000000" w:themeColor="text1"/>
          <w:sz w:val="32"/>
          <w:szCs w:val="32"/>
          <w14:textFill>
            <w14:solidFill>
              <w14:schemeClr w14:val="tx1"/>
            </w14:solidFill>
          </w14:textFill>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基层医疗卫生机构（款）其他基层医疗卫生机构支出（项）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31.6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p>
    <w:p>
      <w:pPr>
        <w:spacing w:line="600" w:lineRule="exact"/>
        <w:ind w:firstLine="643" w:firstLineChars="200"/>
        <w:rPr>
          <w:rStyle w:val="15"/>
          <w:rFonts w:hint="eastAsia" w:ascii="仿宋" w:hAnsi="仿宋" w:eastAsia="仿宋"/>
          <w:b w:val="0"/>
          <w:bCs/>
          <w:color w:val="000000"/>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6.</w:t>
      </w:r>
      <w:r>
        <w:rPr>
          <w:rFonts w:hint="eastAsia" w:ascii="仿宋" w:hAnsi="仿宋" w:eastAsia="仿宋"/>
          <w:b/>
          <w:bCs/>
          <w:color w:val="000000" w:themeColor="text1"/>
          <w:sz w:val="32"/>
          <w:szCs w:val="32"/>
          <w14:textFill>
            <w14:solidFill>
              <w14:schemeClr w14:val="tx1"/>
            </w14:solidFill>
          </w14:textFill>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65.15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p>
    <w:p>
      <w:pPr>
        <w:spacing w:line="600" w:lineRule="exact"/>
        <w:ind w:firstLine="643" w:firstLineChars="200"/>
        <w:rPr>
          <w:rStyle w:val="15"/>
          <w:rFonts w:hint="eastAsia" w:ascii="仿宋" w:hAnsi="仿宋" w:eastAsia="仿宋"/>
          <w:b w:val="0"/>
          <w:bCs/>
          <w:color w:val="000000"/>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7.</w:t>
      </w:r>
      <w:r>
        <w:rPr>
          <w:rFonts w:hint="eastAsia" w:ascii="仿宋" w:hAnsi="仿宋" w:eastAsia="仿宋"/>
          <w:b/>
          <w:bCs/>
          <w:color w:val="000000" w:themeColor="text1"/>
          <w:sz w:val="32"/>
          <w:szCs w:val="32"/>
          <w14:textFill>
            <w14:solidFill>
              <w14:schemeClr w14:val="tx1"/>
            </w14:solidFill>
          </w14:textFill>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财政对基本医疗保险基金的补助（款）财政对城乡居民基本医疗保险基金的补助（项）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4142.8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p>
    <w:p>
      <w:pPr>
        <w:spacing w:line="600" w:lineRule="exact"/>
        <w:ind w:firstLine="643" w:firstLineChars="200"/>
        <w:rPr>
          <w:rStyle w:val="15"/>
          <w:rFonts w:hint="eastAsia" w:ascii="仿宋" w:hAnsi="仿宋" w:eastAsia="仿宋"/>
          <w:b w:val="0"/>
          <w:bCs/>
          <w:color w:val="000000"/>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8.</w:t>
      </w:r>
      <w:r>
        <w:rPr>
          <w:rFonts w:hint="eastAsia" w:ascii="仿宋" w:hAnsi="仿宋" w:eastAsia="仿宋"/>
          <w:b/>
          <w:bCs/>
          <w:color w:val="000000" w:themeColor="text1"/>
          <w:sz w:val="32"/>
          <w:szCs w:val="32"/>
          <w14:textFill>
            <w14:solidFill>
              <w14:schemeClr w14:val="tx1"/>
            </w14:solidFill>
          </w14:textFill>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优抚对象医疗（款）优抚对象医疗补助（项）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333.63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p>
    <w:p>
      <w:pPr>
        <w:spacing w:line="600" w:lineRule="exact"/>
        <w:ind w:firstLine="643" w:firstLineChars="200"/>
        <w:rPr>
          <w:rStyle w:val="15"/>
          <w:rFonts w:hint="eastAsia" w:ascii="仿宋" w:hAnsi="仿宋" w:eastAsia="仿宋"/>
          <w:b w:val="0"/>
          <w:bCs/>
          <w:color w:val="000000"/>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9.</w:t>
      </w:r>
      <w:r>
        <w:rPr>
          <w:rFonts w:hint="eastAsia" w:ascii="仿宋" w:hAnsi="仿宋" w:eastAsia="仿宋"/>
          <w:b/>
          <w:bCs/>
          <w:color w:val="000000" w:themeColor="text1"/>
          <w:sz w:val="32"/>
          <w:szCs w:val="32"/>
          <w14:textFill>
            <w14:solidFill>
              <w14:schemeClr w14:val="tx1"/>
            </w14:solidFill>
          </w14:textFill>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医疗保障管理事务（款）其他医疗保障管理事务支出（项）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19.1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p>
    <w:p>
      <w:pPr>
        <w:spacing w:line="600" w:lineRule="exact"/>
        <w:ind w:firstLine="643" w:firstLineChars="200"/>
        <w:rPr>
          <w:rStyle w:val="15"/>
          <w:rFonts w:hint="default" w:ascii="仿宋" w:hAnsi="仿宋" w:eastAsia="仿宋"/>
          <w:b w:val="0"/>
          <w:bCs/>
          <w:color w:val="000000"/>
          <w:sz w:val="32"/>
          <w:szCs w:val="32"/>
          <w:lang w:val="en-US" w:eastAsia="zh-CN"/>
        </w:rPr>
      </w:pPr>
      <w:r>
        <w:rPr>
          <w:rStyle w:val="15"/>
          <w:rFonts w:hint="eastAsia" w:ascii="仿宋" w:hAnsi="仿宋" w:eastAsia="仿宋"/>
          <w:bCs/>
          <w:color w:val="000000"/>
          <w:sz w:val="32"/>
          <w:szCs w:val="32"/>
          <w:lang w:val="en-US" w:eastAsia="zh-CN"/>
        </w:rPr>
        <w:t>10.农林水（类）扶贫（款）社会发展（项）</w:t>
      </w:r>
      <w:r>
        <w:rPr>
          <w:rStyle w:val="15"/>
          <w:rFonts w:hint="eastAsia" w:ascii="仿宋" w:hAnsi="仿宋" w:eastAsia="仿宋"/>
          <w:b w:val="0"/>
          <w:bCs/>
          <w:color w:val="000000"/>
          <w:sz w:val="32"/>
          <w:szCs w:val="32"/>
          <w:lang w:val="en-US" w:eastAsia="zh-CN"/>
        </w:rPr>
        <w:t>：支出决算为3181.12万元，完成预算100%。</w:t>
      </w:r>
    </w:p>
    <w:p>
      <w:pPr>
        <w:pageBreakBefore w:val="0"/>
        <w:kinsoku/>
        <w:wordWrap/>
        <w:overflowPunct/>
        <w:topLinePunct w:val="0"/>
        <w:bidi w:val="0"/>
        <w:spacing w:line="500" w:lineRule="exact"/>
        <w:ind w:firstLine="640" w:firstLineChars="200"/>
        <w:rPr>
          <w:rStyle w:val="15"/>
          <w:rFonts w:hint="eastAsia" w:ascii="仿宋" w:hAnsi="仿宋" w:eastAsia="仿宋"/>
          <w:b w:val="0"/>
          <w:bCs/>
          <w:color w:val="000000"/>
          <w:sz w:val="32"/>
          <w:szCs w:val="32"/>
        </w:rPr>
      </w:pPr>
      <w:r>
        <w:rPr>
          <w:rFonts w:hint="eastAsia" w:ascii="仿宋" w:hAnsi="仿宋" w:eastAsia="仿宋"/>
          <w:color w:val="000000"/>
          <w:sz w:val="32"/>
          <w:szCs w:val="32"/>
          <w:lang w:val="en-US" w:eastAsia="zh-CN"/>
        </w:rPr>
        <w:t>4.</w:t>
      </w:r>
      <w:r>
        <w:rPr>
          <w:rStyle w:val="15"/>
          <w:rFonts w:hint="eastAsia" w:ascii="仿宋" w:hAnsi="仿宋" w:eastAsia="仿宋"/>
          <w:bCs/>
          <w:color w:val="000000"/>
          <w:sz w:val="32"/>
          <w:szCs w:val="32"/>
        </w:rPr>
        <w:t>住房保障（类）住房改革支出（款）住房公积金（项）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23.92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522.36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369.33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153.03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w:t>
      </w:r>
      <w:r>
        <w:rPr>
          <w:rFonts w:hint="eastAsia" w:ascii="仿宋" w:hAnsi="仿宋" w:eastAsia="仿宋"/>
          <w:color w:val="000000"/>
          <w:sz w:val="32"/>
          <w:szCs w:val="32"/>
          <w:lang w:eastAsia="zh-CN"/>
        </w:rPr>
        <w:t>严格执行预算</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20" w:firstLineChars="0"/>
        <w:textAlignment w:val="auto"/>
        <w:rPr>
          <w:rFonts w:hint="eastAsia" w:ascii="仿宋" w:hAnsi="仿宋" w:eastAsia="仿宋"/>
          <w:color w:val="000000"/>
          <w:sz w:val="32"/>
          <w:szCs w:val="32"/>
        </w:rPr>
      </w:pPr>
      <w:r>
        <w:drawing>
          <wp:inline distT="0" distB="0" distL="114300" distR="114300">
            <wp:extent cx="4796155" cy="2123440"/>
            <wp:effectExtent l="4445" t="4445" r="19050" b="571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1.5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一般公务用车</w:t>
      </w:r>
      <w:r>
        <w:rPr>
          <w:rFonts w:hint="eastAsia" w:ascii="仿宋_GB2312" w:eastAsia="仿宋_GB2312"/>
          <w:color w:val="000000"/>
          <w:sz w:val="32"/>
          <w:szCs w:val="32"/>
          <w:lang w:val="en-US" w:eastAsia="zh-CN"/>
        </w:rPr>
        <w:t>1辆、</w:t>
      </w:r>
      <w:r>
        <w:rPr>
          <w:rFonts w:hint="eastAsia" w:ascii="仿宋_GB2312" w:eastAsia="仿宋_GB2312"/>
          <w:color w:val="000000"/>
          <w:sz w:val="32"/>
          <w:szCs w:val="32"/>
        </w:rPr>
        <w:t>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基金监管</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3" w:firstLineChars="200"/>
        <w:rPr>
          <w:rFonts w:hint="eastAsia" w:ascii="黑体" w:eastAsia="仿宋_GB2312"/>
          <w:color w:val="000000"/>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bookmarkStart w:id="46" w:name="_Toc15377218"/>
      <w:bookmarkStart w:id="47" w:name="_Toc15396610"/>
      <w:r>
        <w:rPr>
          <w:rFonts w:hint="eastAsia" w:ascii="仿宋_GB2312" w:eastAsia="仿宋_GB2312"/>
          <w:color w:val="000000" w:themeColor="text1"/>
          <w:sz w:val="32"/>
          <w:szCs w:val="32"/>
          <w:lang w:val="en-US" w:eastAsia="zh-CN"/>
          <w14:textFill>
            <w14:solidFill>
              <w14:schemeClr w14:val="tx1"/>
            </w14:solidFill>
          </w14:textFill>
        </w:rPr>
        <w:t>。</w:t>
      </w:r>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hint="eastAsia" w:ascii="楷体" w:hAnsi="楷体" w:eastAsia="楷体" w:cs="楷体"/>
          <w:color w:val="000000"/>
          <w:sz w:val="32"/>
          <w:szCs w:val="32"/>
        </w:rPr>
      </w:pPr>
      <w:bookmarkStart w:id="52" w:name="_Toc15377222"/>
      <w:r>
        <w:rPr>
          <w:rFonts w:hint="eastAsia" w:ascii="楷体" w:hAnsi="楷体" w:eastAsia="楷体" w:cs="楷体"/>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渠县医疗保障局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153.03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133.38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678.78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渠县医疗保障局是</w:t>
      </w:r>
      <w:r>
        <w:rPr>
          <w:rFonts w:hint="eastAsia" w:ascii="仿宋_GB2312" w:eastAsia="仿宋_GB2312"/>
          <w:color w:val="000000" w:themeColor="text1"/>
          <w:sz w:val="32"/>
          <w:szCs w:val="32"/>
          <w:lang w:val="en-US" w:eastAsia="zh-CN"/>
          <w14:textFill>
            <w14:solidFill>
              <w14:schemeClr w14:val="tx1"/>
            </w14:solidFill>
          </w14:textFill>
        </w:rPr>
        <w:t>2019年新成立单位，</w:t>
      </w:r>
      <w:r>
        <w:rPr>
          <w:rFonts w:hint="eastAsia" w:ascii="仿宋" w:hAnsi="仿宋" w:eastAsia="仿宋"/>
          <w:color w:val="000000"/>
          <w:sz w:val="32"/>
          <w:szCs w:val="32"/>
          <w:lang w:eastAsia="zh-CN"/>
        </w:rPr>
        <w:t>机构改革后职能职责增加、业务量增加、人员相对增加。</w:t>
      </w:r>
      <w:r>
        <w:rPr>
          <w:rFonts w:hint="eastAsia" w:ascii="仿宋_GB2312" w:eastAsia="仿宋_GB2312"/>
          <w:color w:val="000000" w:themeColor="text1"/>
          <w:sz w:val="32"/>
          <w:szCs w:val="32"/>
          <w:lang w:val="en-US" w:eastAsia="zh-CN"/>
          <w14:textFill>
            <w14:solidFill>
              <w14:schemeClr w14:val="tx1"/>
            </w14:solidFill>
          </w14:textFill>
        </w:rPr>
        <w:t>与去年不具有可比性。</w:t>
      </w:r>
    </w:p>
    <w:p>
      <w:pPr>
        <w:autoSpaceDE w:val="0"/>
        <w:autoSpaceDN w:val="0"/>
        <w:adjustRightInd w:val="0"/>
        <w:spacing w:line="600" w:lineRule="exact"/>
        <w:ind w:firstLine="643" w:firstLineChars="200"/>
        <w:jc w:val="left"/>
        <w:outlineLvl w:val="2"/>
        <w:rPr>
          <w:rFonts w:hint="eastAsia" w:ascii="楷体" w:hAnsi="楷体" w:eastAsia="楷体" w:cs="楷体"/>
          <w:b/>
          <w:color w:val="000000"/>
          <w:sz w:val="32"/>
          <w:szCs w:val="32"/>
        </w:rPr>
      </w:pPr>
      <w:bookmarkStart w:id="53" w:name="_Toc15377223"/>
      <w:r>
        <w:rPr>
          <w:rFonts w:hint="eastAsia" w:ascii="楷体" w:hAnsi="楷体" w:eastAsia="楷体" w:cs="楷体"/>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渠县医疗保障局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0万</w:t>
      </w:r>
      <w:r>
        <w:rPr>
          <w:rFonts w:hint="eastAsia" w:ascii="仿宋_GB2312" w:eastAsia="仿宋_GB2312"/>
          <w:color w:val="000000"/>
          <w:sz w:val="32"/>
          <w:szCs w:val="32"/>
        </w:rPr>
        <w:t>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hint="eastAsia" w:ascii="楷体" w:hAnsi="楷体" w:eastAsia="楷体" w:cs="楷体"/>
          <w:b/>
          <w:color w:val="000000"/>
          <w:sz w:val="32"/>
          <w:szCs w:val="32"/>
        </w:rPr>
      </w:pPr>
      <w:bookmarkStart w:id="54" w:name="_Toc15377224"/>
      <w:r>
        <w:rPr>
          <w:rFonts w:hint="eastAsia" w:ascii="楷体" w:hAnsi="楷体" w:eastAsia="楷体" w:cs="楷体"/>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渠县医疗保障局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一般公务用车</w:t>
      </w:r>
      <w:r>
        <w:rPr>
          <w:rFonts w:hint="eastAsia" w:ascii="仿宋_GB2312" w:eastAsia="仿宋_GB2312"/>
          <w:color w:val="000000"/>
          <w:sz w:val="32"/>
          <w:szCs w:val="32"/>
          <w:lang w:val="en-US" w:eastAsia="zh-CN"/>
        </w:rPr>
        <w:t>1辆、</w:t>
      </w:r>
      <w:r>
        <w:rPr>
          <w:rFonts w:hint="eastAsia" w:ascii="仿宋_GB2312" w:eastAsia="仿宋_GB2312"/>
          <w:color w:val="000000"/>
          <w:sz w:val="32"/>
          <w:szCs w:val="32"/>
        </w:rPr>
        <w:t>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autoSpaceDE w:val="0"/>
        <w:autoSpaceDN w:val="0"/>
        <w:adjustRightInd w:val="0"/>
        <w:spacing w:line="600" w:lineRule="exact"/>
        <w:ind w:firstLine="643" w:firstLineChars="200"/>
        <w:jc w:val="left"/>
        <w:outlineLvl w:val="2"/>
        <w:rPr>
          <w:rFonts w:hint="eastAsia" w:ascii="楷体" w:hAnsi="楷体" w:eastAsia="楷体" w:cs="楷体"/>
          <w:b/>
          <w:color w:val="000000"/>
          <w:sz w:val="32"/>
          <w:szCs w:val="32"/>
        </w:rPr>
      </w:pPr>
      <w:r>
        <w:rPr>
          <w:rFonts w:hint="eastAsia" w:ascii="楷体" w:hAnsi="楷体" w:eastAsia="楷体" w:cs="楷体"/>
          <w:b/>
          <w:color w:val="000000"/>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rPr>
        <w:t>本部门严格按照国家的相关财务管理制度规定，财务制度健全，会计核算规范，资金严格依照计划管理使用</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开展绩效监控，</w:t>
      </w:r>
      <w:r>
        <w:rPr>
          <w:rFonts w:hint="eastAsia" w:ascii="仿宋_GB2312" w:hAnsi="仿宋_GB2312" w:eastAsia="仿宋_GB2312" w:cs="仿宋_GB2312"/>
          <w:sz w:val="32"/>
          <w:szCs w:val="32"/>
        </w:rPr>
        <w:t>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spacing w:line="580" w:lineRule="exact"/>
        <w:rPr>
          <w:rFonts w:hint="eastAsia" w:ascii="仿宋_GB2312" w:hAnsi="仿宋_GB2312" w:eastAsia="仿宋_GB2312" w:cs="仿宋_GB2312"/>
          <w:sz w:val="32"/>
          <w:szCs w:val="32"/>
        </w:rPr>
      </w:pPr>
    </w:p>
    <w:tbl>
      <w:tblPr>
        <w:tblStyle w:val="13"/>
        <w:tblW w:w="10643" w:type="dxa"/>
        <w:tblInd w:w="-443" w:type="dxa"/>
        <w:shd w:val="clear" w:color="auto" w:fill="auto"/>
        <w:tblLayout w:type="fixed"/>
        <w:tblCellMar>
          <w:top w:w="0" w:type="dxa"/>
          <w:left w:w="0" w:type="dxa"/>
          <w:bottom w:w="0" w:type="dxa"/>
          <w:right w:w="0" w:type="dxa"/>
        </w:tblCellMar>
      </w:tblPr>
      <w:tblGrid>
        <w:gridCol w:w="930"/>
        <w:gridCol w:w="1522"/>
        <w:gridCol w:w="1230"/>
        <w:gridCol w:w="631"/>
        <w:gridCol w:w="90"/>
        <w:gridCol w:w="89"/>
        <w:gridCol w:w="1176"/>
        <w:gridCol w:w="106"/>
        <w:gridCol w:w="49"/>
        <w:gridCol w:w="199"/>
        <w:gridCol w:w="41"/>
        <w:gridCol w:w="240"/>
        <w:gridCol w:w="1189"/>
        <w:gridCol w:w="704"/>
        <w:gridCol w:w="1291"/>
        <w:gridCol w:w="1156"/>
      </w:tblGrid>
      <w:tr>
        <w:tblPrEx>
          <w:shd w:val="clear" w:color="auto" w:fill="auto"/>
          <w:tblCellMar>
            <w:top w:w="0" w:type="dxa"/>
            <w:left w:w="0" w:type="dxa"/>
            <w:bottom w:w="0" w:type="dxa"/>
            <w:right w:w="0" w:type="dxa"/>
          </w:tblCellMar>
        </w:tblPrEx>
        <w:trPr>
          <w:gridAfter w:val="1"/>
          <w:wAfter w:w="1156" w:type="dxa"/>
          <w:trHeight w:val="520"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项目绩效目标完成情况表</w:t>
            </w:r>
            <w:r>
              <w:rPr>
                <w:rFonts w:hint="eastAsia" w:ascii="宋体" w:hAnsi="宋体" w:cs="宋体"/>
                <w:b/>
                <w:i w:val="0"/>
                <w:color w:val="000000"/>
                <w:kern w:val="0"/>
                <w:sz w:val="21"/>
                <w:szCs w:val="21"/>
                <w:u w:val="none"/>
                <w:lang w:val="en-US" w:eastAsia="zh-CN" w:bidi="ar"/>
              </w:rPr>
              <w:t>一</w:t>
            </w:r>
          </w:p>
        </w:tc>
      </w:tr>
      <w:tr>
        <w:tblPrEx>
          <w:tblCellMar>
            <w:top w:w="0" w:type="dxa"/>
            <w:left w:w="0" w:type="dxa"/>
            <w:bottom w:w="0" w:type="dxa"/>
            <w:right w:w="0" w:type="dxa"/>
          </w:tblCellMar>
        </w:tblPrEx>
        <w:trPr>
          <w:gridAfter w:val="1"/>
          <w:wAfter w:w="1156" w:type="dxa"/>
          <w:trHeight w:val="415"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2019  年度）</w:t>
            </w:r>
          </w:p>
        </w:tc>
      </w:tr>
      <w:tr>
        <w:tblPrEx>
          <w:tblCellMar>
            <w:top w:w="0" w:type="dxa"/>
            <w:left w:w="0" w:type="dxa"/>
            <w:bottom w:w="0" w:type="dxa"/>
            <w:right w:w="0" w:type="dxa"/>
          </w:tblCellMar>
        </w:tblPrEx>
        <w:trPr>
          <w:gridAfter w:val="1"/>
          <w:wAfter w:w="1156" w:type="dxa"/>
          <w:trHeight w:val="520"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注：项目支出包括部门预算支出和专项预支出</w:t>
            </w:r>
          </w:p>
        </w:tc>
      </w:tr>
      <w:tr>
        <w:tblPrEx>
          <w:tblCellMar>
            <w:top w:w="0" w:type="dxa"/>
            <w:left w:w="0" w:type="dxa"/>
            <w:bottom w:w="0" w:type="dxa"/>
            <w:right w:w="0" w:type="dxa"/>
          </w:tblCellMar>
        </w:tblPrEx>
        <w:trPr>
          <w:gridAfter w:val="1"/>
          <w:wAfter w:w="1156" w:type="dxa"/>
          <w:trHeight w:val="470" w:hRule="atLeast"/>
        </w:trPr>
        <w:tc>
          <w:tcPr>
            <w:tcW w:w="44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420" w:leftChars="-200" w:firstLine="419" w:firstLineChars="233"/>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医保大厅运行费</w:t>
            </w:r>
          </w:p>
        </w:tc>
      </w:tr>
      <w:tr>
        <w:tblPrEx>
          <w:tblCellMar>
            <w:top w:w="0" w:type="dxa"/>
            <w:left w:w="0" w:type="dxa"/>
            <w:bottom w:w="0" w:type="dxa"/>
            <w:right w:w="0" w:type="dxa"/>
          </w:tblCellMar>
        </w:tblPrEx>
        <w:trPr>
          <w:gridAfter w:val="1"/>
          <w:wAfter w:w="1156" w:type="dxa"/>
          <w:trHeight w:val="500" w:hRule="atLeast"/>
        </w:trPr>
        <w:tc>
          <w:tcPr>
            <w:tcW w:w="44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w:t>
            </w: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渠县医疗保障局</w:t>
            </w:r>
          </w:p>
        </w:tc>
      </w:tr>
      <w:tr>
        <w:tblPrEx>
          <w:tblCellMar>
            <w:top w:w="0" w:type="dxa"/>
            <w:left w:w="0" w:type="dxa"/>
            <w:bottom w:w="0" w:type="dxa"/>
            <w:right w:w="0" w:type="dxa"/>
          </w:tblCellMar>
        </w:tblPrEx>
        <w:trPr>
          <w:gridAfter w:val="1"/>
          <w:wAfter w:w="1156" w:type="dxa"/>
          <w:trHeight w:val="36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356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预算数：5.0</w:t>
            </w:r>
          </w:p>
        </w:tc>
        <w:tc>
          <w:tcPr>
            <w:tcW w:w="153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执行数：</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5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gridAfter w:val="1"/>
          <w:wAfter w:w="1156" w:type="dxa"/>
          <w:trHeight w:val="64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p>
        </w:tc>
        <w:tc>
          <w:tcPr>
            <w:tcW w:w="509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实际完成目标</w:t>
            </w:r>
          </w:p>
        </w:tc>
      </w:tr>
      <w:tr>
        <w:tblPrEx>
          <w:tblCellMar>
            <w:top w:w="0" w:type="dxa"/>
            <w:left w:w="0" w:type="dxa"/>
            <w:bottom w:w="0" w:type="dxa"/>
            <w:right w:w="0" w:type="dxa"/>
          </w:tblCellMar>
        </w:tblPrEx>
        <w:trPr>
          <w:gridAfter w:val="1"/>
          <w:wAfter w:w="1156" w:type="dxa"/>
          <w:trHeight w:val="6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实现医疗保险参保人员到医保服务大厅方便快捷办理医疗保险零星费用(含住院、特定病种门诊)报销、特定病种门诊申请和年审、异地就医申请备案和登记、普通门诊选点与变更、医疗保险业务咨询等业务。</w:t>
            </w:r>
          </w:p>
        </w:tc>
        <w:tc>
          <w:tcPr>
            <w:tcW w:w="346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大厅经办业务窗口优化整合，设置“综合咨询”、“参保登记”、“医疗救助”“综合接件”“大病保险”等窗口。</w:t>
            </w:r>
          </w:p>
        </w:tc>
      </w:tr>
      <w:tr>
        <w:tblPrEx>
          <w:tblCellMar>
            <w:top w:w="0" w:type="dxa"/>
            <w:left w:w="0" w:type="dxa"/>
            <w:bottom w:w="0" w:type="dxa"/>
            <w:right w:w="0" w:type="dxa"/>
          </w:tblCellMar>
        </w:tblPrEx>
        <w:trPr>
          <w:gridAfter w:val="1"/>
          <w:wAfter w:w="1156" w:type="dxa"/>
          <w:trHeight w:val="6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619" w:leftChars="-295"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绩效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情况</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预期指标值（包含数字及文字描述）</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实际完成指标值（包含数字及文字描述）</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42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大厅正常运行率</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gridAfter w:val="1"/>
          <w:wAfter w:w="1156" w:type="dxa"/>
          <w:trHeight w:val="46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人员到位率</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gridAfter w:val="1"/>
          <w:wAfter w:w="1156" w:type="dxa"/>
          <w:trHeight w:val="46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办理群众需求事项</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限时办结</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基本达到目标值</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5万元</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5万元</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群众对医保工作的认可率</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上升</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上升</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群众受益度</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相关部门和参保对象满意度</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40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上级部门满意度</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trHeight w:val="270" w:hRule="atLeast"/>
        </w:trPr>
        <w:tc>
          <w:tcPr>
            <w:tcW w:w="9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83" w:type="dxa"/>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93"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7"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156" w:type="dxa"/>
          <w:trHeight w:val="520"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项目绩效目标完成情况表</w:t>
            </w:r>
            <w:r>
              <w:rPr>
                <w:rFonts w:hint="eastAsia" w:ascii="宋体" w:hAnsi="宋体" w:cs="宋体"/>
                <w:b/>
                <w:i w:val="0"/>
                <w:color w:val="000000"/>
                <w:kern w:val="0"/>
                <w:sz w:val="21"/>
                <w:szCs w:val="21"/>
                <w:u w:val="none"/>
                <w:lang w:val="en-US" w:eastAsia="zh-CN" w:bidi="ar"/>
              </w:rPr>
              <w:t>二</w:t>
            </w:r>
          </w:p>
        </w:tc>
      </w:tr>
      <w:tr>
        <w:tblPrEx>
          <w:tblCellMar>
            <w:top w:w="0" w:type="dxa"/>
            <w:left w:w="0" w:type="dxa"/>
            <w:bottom w:w="0" w:type="dxa"/>
            <w:right w:w="0" w:type="dxa"/>
          </w:tblCellMar>
        </w:tblPrEx>
        <w:trPr>
          <w:gridAfter w:val="1"/>
          <w:wAfter w:w="1156" w:type="dxa"/>
          <w:trHeight w:val="460"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2019  年度）</w:t>
            </w:r>
          </w:p>
        </w:tc>
      </w:tr>
      <w:tr>
        <w:tblPrEx>
          <w:tblCellMar>
            <w:top w:w="0" w:type="dxa"/>
            <w:left w:w="0" w:type="dxa"/>
            <w:bottom w:w="0" w:type="dxa"/>
            <w:right w:w="0" w:type="dxa"/>
          </w:tblCellMar>
        </w:tblPrEx>
        <w:trPr>
          <w:gridAfter w:val="1"/>
          <w:wAfter w:w="1156" w:type="dxa"/>
          <w:trHeight w:val="520"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注：项目支出包括部门预算支出和专项预支出</w:t>
            </w:r>
          </w:p>
        </w:tc>
      </w:tr>
      <w:tr>
        <w:tblPrEx>
          <w:tblCellMar>
            <w:top w:w="0" w:type="dxa"/>
            <w:left w:w="0" w:type="dxa"/>
            <w:bottom w:w="0" w:type="dxa"/>
            <w:right w:w="0" w:type="dxa"/>
          </w:tblCellMar>
        </w:tblPrEx>
        <w:trPr>
          <w:gridAfter w:val="1"/>
          <w:wAfter w:w="1156" w:type="dxa"/>
          <w:trHeight w:val="460" w:hRule="atLeast"/>
        </w:trPr>
        <w:tc>
          <w:tcPr>
            <w:tcW w:w="44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医保网点检查机房维护费</w:t>
            </w:r>
          </w:p>
        </w:tc>
      </w:tr>
      <w:tr>
        <w:tblPrEx>
          <w:tblCellMar>
            <w:top w:w="0" w:type="dxa"/>
            <w:left w:w="0" w:type="dxa"/>
            <w:bottom w:w="0" w:type="dxa"/>
            <w:right w:w="0" w:type="dxa"/>
          </w:tblCellMar>
        </w:tblPrEx>
        <w:trPr>
          <w:gridAfter w:val="1"/>
          <w:wAfter w:w="1156" w:type="dxa"/>
          <w:trHeight w:val="440" w:hRule="atLeast"/>
        </w:trPr>
        <w:tc>
          <w:tcPr>
            <w:tcW w:w="44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w:t>
            </w: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渠县医疗保障局</w:t>
            </w:r>
          </w:p>
        </w:tc>
      </w:tr>
      <w:tr>
        <w:tblPrEx>
          <w:tblCellMar>
            <w:top w:w="0" w:type="dxa"/>
            <w:left w:w="0" w:type="dxa"/>
            <w:bottom w:w="0" w:type="dxa"/>
            <w:right w:w="0" w:type="dxa"/>
          </w:tblCellMar>
        </w:tblPrEx>
        <w:trPr>
          <w:gridAfter w:val="1"/>
          <w:wAfter w:w="1156" w:type="dxa"/>
          <w:trHeight w:val="36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356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预算数：5.00</w:t>
            </w:r>
          </w:p>
        </w:tc>
        <w:tc>
          <w:tcPr>
            <w:tcW w:w="153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执行数：</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5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r>
      <w:tr>
        <w:tblPrEx>
          <w:tblCellMar>
            <w:top w:w="0" w:type="dxa"/>
            <w:left w:w="0" w:type="dxa"/>
            <w:bottom w:w="0" w:type="dxa"/>
            <w:right w:w="0" w:type="dxa"/>
          </w:tblCellMar>
        </w:tblPrEx>
        <w:trPr>
          <w:gridAfter w:val="1"/>
          <w:wAfter w:w="1156" w:type="dxa"/>
          <w:trHeight w:val="4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gridAfter w:val="1"/>
          <w:wAfter w:w="1156" w:type="dxa"/>
          <w:trHeight w:val="525"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p>
        </w:tc>
        <w:tc>
          <w:tcPr>
            <w:tcW w:w="509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实际完成目标</w:t>
            </w:r>
          </w:p>
        </w:tc>
      </w:tr>
      <w:tr>
        <w:tblPrEx>
          <w:tblCellMar>
            <w:top w:w="0" w:type="dxa"/>
            <w:left w:w="0" w:type="dxa"/>
            <w:bottom w:w="0" w:type="dxa"/>
            <w:right w:w="0" w:type="dxa"/>
          </w:tblCellMar>
        </w:tblPrEx>
        <w:trPr>
          <w:gridAfter w:val="1"/>
          <w:wAfter w:w="1156" w:type="dxa"/>
          <w:trHeight w:val="6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年度目标：加强医保网点网络维护，实现医保患者和“两定机构”的医疗费用自动审核和及时结算。</w:t>
            </w:r>
          </w:p>
        </w:tc>
        <w:tc>
          <w:tcPr>
            <w:tcW w:w="346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在各乡（镇）便民服务中心设立医疗保障服务窗口，受理参保群众的参保、医保报账、特殊门诊申报、医疗救助申请、医保政策宣传等医疗保障业务，实现“就近办、一窗办”。</w:t>
            </w:r>
          </w:p>
        </w:tc>
      </w:tr>
      <w:tr>
        <w:tblPrEx>
          <w:tblCellMar>
            <w:top w:w="0" w:type="dxa"/>
            <w:left w:w="0" w:type="dxa"/>
            <w:bottom w:w="0" w:type="dxa"/>
            <w:right w:w="0" w:type="dxa"/>
          </w:tblCellMar>
        </w:tblPrEx>
        <w:trPr>
          <w:gridAfter w:val="1"/>
          <w:wAfter w:w="1156" w:type="dxa"/>
          <w:trHeight w:val="6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60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26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预期指标值（包含数字及文字描述）</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实际完成指标值（包含数字及文字描述）</w:t>
            </w:r>
          </w:p>
        </w:tc>
      </w:tr>
      <w:tr>
        <w:tblPrEx>
          <w:tblCellMar>
            <w:top w:w="0" w:type="dxa"/>
            <w:left w:w="0" w:type="dxa"/>
            <w:bottom w:w="0" w:type="dxa"/>
            <w:right w:w="0" w:type="dxa"/>
          </w:tblCellMar>
        </w:tblPrEx>
        <w:trPr>
          <w:gridAfter w:val="1"/>
          <w:wAfter w:w="1156" w:type="dxa"/>
          <w:trHeight w:val="2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2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2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5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金宝系统正常运行率</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1"/>
                <w:rFonts w:eastAsia="宋体"/>
                <w:lang w:val="en-US" w:eastAsia="zh-CN" w:bidi="ar"/>
              </w:rPr>
              <w:t>≥</w:t>
            </w:r>
            <w:r>
              <w:rPr>
                <w:rStyle w:val="32"/>
                <w:lang w:val="en-US" w:eastAsia="zh-CN" w:bidi="ar"/>
              </w:rPr>
              <w:t>98%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1"/>
                <w:rFonts w:eastAsia="宋体"/>
                <w:lang w:val="en-US" w:eastAsia="zh-CN" w:bidi="ar"/>
              </w:rPr>
              <w:t>≥</w:t>
            </w:r>
            <w:r>
              <w:rPr>
                <w:rStyle w:val="32"/>
                <w:lang w:val="en-US" w:eastAsia="zh-CN" w:bidi="ar"/>
              </w:rPr>
              <w:t>98%</w:t>
            </w:r>
          </w:p>
        </w:tc>
      </w:tr>
      <w:tr>
        <w:tblPrEx>
          <w:tblCellMar>
            <w:top w:w="0" w:type="dxa"/>
            <w:left w:w="0" w:type="dxa"/>
            <w:bottom w:w="0" w:type="dxa"/>
            <w:right w:w="0" w:type="dxa"/>
          </w:tblCellMar>
        </w:tblPrEx>
        <w:trPr>
          <w:gridAfter w:val="1"/>
          <w:wAfter w:w="1156" w:type="dxa"/>
          <w:trHeight w:val="5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检查覆盖率</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gridAfter w:val="1"/>
          <w:wAfter w:w="1156" w:type="dxa"/>
          <w:trHeight w:val="40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故障处理时限</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不超过24小时</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不超过24小时</w:t>
            </w:r>
          </w:p>
        </w:tc>
      </w:tr>
      <w:tr>
        <w:tblPrEx>
          <w:tblCellMar>
            <w:top w:w="0" w:type="dxa"/>
            <w:left w:w="0" w:type="dxa"/>
            <w:bottom w:w="0" w:type="dxa"/>
            <w:right w:w="0" w:type="dxa"/>
          </w:tblCellMar>
        </w:tblPrEx>
        <w:trPr>
          <w:gridAfter w:val="1"/>
          <w:wAfter w:w="1156" w:type="dxa"/>
          <w:trHeight w:val="46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5万元</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5万元</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项目效果指标</w:t>
            </w:r>
          </w:p>
        </w:tc>
        <w:tc>
          <w:tcPr>
            <w:tcW w:w="12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群众对医保工作的认可率</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上升</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上升</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群众受益度</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相关部门和参保对象满意度</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52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上级部门满意度</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gridAfter w:val="1"/>
          <w:wAfter w:w="1156" w:type="dxa"/>
          <w:trHeight w:val="530"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项目绩效目标完成情况表</w:t>
            </w:r>
            <w:r>
              <w:rPr>
                <w:rFonts w:hint="eastAsia" w:ascii="宋体" w:hAnsi="宋体" w:cs="宋体"/>
                <w:b/>
                <w:i w:val="0"/>
                <w:color w:val="000000"/>
                <w:kern w:val="0"/>
                <w:sz w:val="21"/>
                <w:szCs w:val="21"/>
                <w:u w:val="none"/>
                <w:lang w:val="en-US" w:eastAsia="zh-CN" w:bidi="ar"/>
              </w:rPr>
              <w:t>三</w:t>
            </w:r>
          </w:p>
        </w:tc>
      </w:tr>
      <w:tr>
        <w:tblPrEx>
          <w:tblCellMar>
            <w:top w:w="0" w:type="dxa"/>
            <w:left w:w="0" w:type="dxa"/>
            <w:bottom w:w="0" w:type="dxa"/>
            <w:right w:w="0" w:type="dxa"/>
          </w:tblCellMar>
        </w:tblPrEx>
        <w:trPr>
          <w:gridAfter w:val="1"/>
          <w:wAfter w:w="1156" w:type="dxa"/>
          <w:trHeight w:val="445"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2019  年度）</w:t>
            </w:r>
          </w:p>
        </w:tc>
      </w:tr>
      <w:tr>
        <w:tblPrEx>
          <w:tblCellMar>
            <w:top w:w="0" w:type="dxa"/>
            <w:left w:w="0" w:type="dxa"/>
            <w:bottom w:w="0" w:type="dxa"/>
            <w:right w:w="0" w:type="dxa"/>
          </w:tblCellMar>
        </w:tblPrEx>
        <w:trPr>
          <w:gridAfter w:val="1"/>
          <w:wAfter w:w="1156" w:type="dxa"/>
          <w:trHeight w:val="520"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注：项目支出包括部门预算支出和专项预支出</w:t>
            </w:r>
          </w:p>
        </w:tc>
      </w:tr>
      <w:tr>
        <w:tblPrEx>
          <w:tblCellMar>
            <w:top w:w="0" w:type="dxa"/>
            <w:left w:w="0" w:type="dxa"/>
            <w:bottom w:w="0" w:type="dxa"/>
            <w:right w:w="0" w:type="dxa"/>
          </w:tblCellMar>
        </w:tblPrEx>
        <w:trPr>
          <w:gridAfter w:val="1"/>
          <w:wAfter w:w="1156" w:type="dxa"/>
          <w:trHeight w:val="500" w:hRule="atLeast"/>
        </w:trPr>
        <w:tc>
          <w:tcPr>
            <w:tcW w:w="44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医保基金监管经费</w:t>
            </w:r>
          </w:p>
        </w:tc>
      </w:tr>
      <w:tr>
        <w:tblPrEx>
          <w:tblCellMar>
            <w:top w:w="0" w:type="dxa"/>
            <w:left w:w="0" w:type="dxa"/>
            <w:bottom w:w="0" w:type="dxa"/>
            <w:right w:w="0" w:type="dxa"/>
          </w:tblCellMar>
        </w:tblPrEx>
        <w:trPr>
          <w:gridAfter w:val="1"/>
          <w:wAfter w:w="1156" w:type="dxa"/>
          <w:trHeight w:val="410" w:hRule="atLeast"/>
        </w:trPr>
        <w:tc>
          <w:tcPr>
            <w:tcW w:w="44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w:t>
            </w: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渠县医疗保障局</w:t>
            </w:r>
          </w:p>
        </w:tc>
      </w:tr>
      <w:tr>
        <w:tblPrEx>
          <w:tblCellMar>
            <w:top w:w="0" w:type="dxa"/>
            <w:left w:w="0" w:type="dxa"/>
            <w:bottom w:w="0" w:type="dxa"/>
            <w:right w:w="0" w:type="dxa"/>
          </w:tblCellMar>
        </w:tblPrEx>
        <w:trPr>
          <w:gridAfter w:val="1"/>
          <w:wAfter w:w="1156" w:type="dxa"/>
          <w:trHeight w:val="36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356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预算数：20.0</w:t>
            </w:r>
          </w:p>
        </w:tc>
        <w:tc>
          <w:tcPr>
            <w:tcW w:w="153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执行数：</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5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gridAfter w:val="1"/>
          <w:wAfter w:w="1156" w:type="dxa"/>
          <w:trHeight w:val="45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p>
        </w:tc>
        <w:tc>
          <w:tcPr>
            <w:tcW w:w="509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实际完成目标</w:t>
            </w:r>
          </w:p>
        </w:tc>
      </w:tr>
      <w:tr>
        <w:tblPrEx>
          <w:tblCellMar>
            <w:top w:w="0" w:type="dxa"/>
            <w:left w:w="0" w:type="dxa"/>
            <w:bottom w:w="0" w:type="dxa"/>
            <w:right w:w="0" w:type="dxa"/>
          </w:tblCellMar>
        </w:tblPrEx>
        <w:trPr>
          <w:gridAfter w:val="1"/>
          <w:wAfter w:w="1156" w:type="dxa"/>
          <w:trHeight w:val="6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年度目标：加强稽查审核力度，有效打击骗套医保基金行为。</w:t>
            </w:r>
          </w:p>
        </w:tc>
        <w:tc>
          <w:tcPr>
            <w:tcW w:w="346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为深入开展打击欺诈骗保专项治理奠定了坚实工作基础。</w:t>
            </w:r>
          </w:p>
        </w:tc>
      </w:tr>
      <w:tr>
        <w:tblPrEx>
          <w:tblCellMar>
            <w:top w:w="0" w:type="dxa"/>
            <w:left w:w="0" w:type="dxa"/>
            <w:bottom w:w="0" w:type="dxa"/>
            <w:right w:w="0" w:type="dxa"/>
          </w:tblCellMar>
        </w:tblPrEx>
        <w:trPr>
          <w:gridAfter w:val="1"/>
          <w:wAfter w:w="1156" w:type="dxa"/>
          <w:trHeight w:val="6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预期指标值（包含数字及文字描述）</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实际完成指标值（包含数字及文字描述）</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46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开展专项检查次数</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2"/>
                <w:lang w:val="en-US" w:eastAsia="zh-CN" w:bidi="ar"/>
              </w:rPr>
              <w:t>不少于</w:t>
            </w:r>
            <w:r>
              <w:rPr>
                <w:rStyle w:val="31"/>
                <w:rFonts w:eastAsia="宋体"/>
                <w:lang w:val="en-US" w:eastAsia="zh-CN" w:bidi="ar"/>
              </w:rPr>
              <w:t>12</w:t>
            </w:r>
            <w:r>
              <w:rPr>
                <w:rStyle w:val="32"/>
                <w:lang w:val="en-US" w:eastAsia="zh-CN" w:bidi="ar"/>
              </w:rPr>
              <w:t>次</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14次</w:t>
            </w:r>
          </w:p>
        </w:tc>
      </w:tr>
      <w:tr>
        <w:tblPrEx>
          <w:tblCellMar>
            <w:top w:w="0" w:type="dxa"/>
            <w:left w:w="0" w:type="dxa"/>
            <w:bottom w:w="0" w:type="dxa"/>
            <w:right w:w="0" w:type="dxa"/>
          </w:tblCellMar>
        </w:tblPrEx>
        <w:trPr>
          <w:gridAfter w:val="1"/>
          <w:wAfter w:w="1156" w:type="dxa"/>
          <w:trHeight w:val="5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《协议》履行率</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基本达到目标值</w:t>
            </w:r>
          </w:p>
        </w:tc>
      </w:tr>
      <w:tr>
        <w:tblPrEx>
          <w:tblCellMar>
            <w:top w:w="0" w:type="dxa"/>
            <w:left w:w="0" w:type="dxa"/>
            <w:bottom w:w="0" w:type="dxa"/>
            <w:right w:w="0" w:type="dxa"/>
          </w:tblCellMar>
        </w:tblPrEx>
        <w:trPr>
          <w:gridAfter w:val="1"/>
          <w:wAfter w:w="1156" w:type="dxa"/>
          <w:trHeight w:val="5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案件处理时限</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5个工作日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5个工作日</w:t>
            </w:r>
          </w:p>
        </w:tc>
      </w:tr>
      <w:tr>
        <w:tblPrEx>
          <w:tblCellMar>
            <w:top w:w="0" w:type="dxa"/>
            <w:left w:w="0" w:type="dxa"/>
            <w:bottom w:w="0" w:type="dxa"/>
            <w:right w:w="0" w:type="dxa"/>
          </w:tblCellMar>
        </w:tblPrEx>
        <w:trPr>
          <w:gridAfter w:val="1"/>
          <w:wAfter w:w="1156" w:type="dxa"/>
          <w:trHeight w:val="5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20万元</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20万元</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项目效果指标</w:t>
            </w:r>
          </w:p>
        </w:tc>
        <w:tc>
          <w:tcPr>
            <w:tcW w:w="12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群众对医保工作的认可率</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上升</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上升</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群众受益度</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相关部门和参保对象满意度</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1107" w:rightChars="527"/>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52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上级部门满意度</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865" w:rightChars="412"/>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gridAfter w:val="1"/>
          <w:wAfter w:w="1156" w:type="dxa"/>
          <w:trHeight w:val="470"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项目绩效目标完成情况表</w:t>
            </w:r>
            <w:r>
              <w:rPr>
                <w:rFonts w:hint="eastAsia" w:ascii="宋体" w:hAnsi="宋体" w:cs="宋体"/>
                <w:b/>
                <w:i w:val="0"/>
                <w:color w:val="000000"/>
                <w:kern w:val="0"/>
                <w:sz w:val="21"/>
                <w:szCs w:val="21"/>
                <w:u w:val="none"/>
                <w:lang w:val="en-US" w:eastAsia="zh-CN" w:bidi="ar"/>
              </w:rPr>
              <w:t>四</w:t>
            </w:r>
          </w:p>
        </w:tc>
      </w:tr>
      <w:tr>
        <w:tblPrEx>
          <w:tblCellMar>
            <w:top w:w="0" w:type="dxa"/>
            <w:left w:w="0" w:type="dxa"/>
            <w:bottom w:w="0" w:type="dxa"/>
            <w:right w:w="0" w:type="dxa"/>
          </w:tblCellMar>
        </w:tblPrEx>
        <w:trPr>
          <w:gridAfter w:val="1"/>
          <w:wAfter w:w="1156" w:type="dxa"/>
          <w:trHeight w:val="415"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2019  年度）</w:t>
            </w:r>
          </w:p>
        </w:tc>
      </w:tr>
      <w:tr>
        <w:tblPrEx>
          <w:tblCellMar>
            <w:top w:w="0" w:type="dxa"/>
            <w:left w:w="0" w:type="dxa"/>
            <w:bottom w:w="0" w:type="dxa"/>
            <w:right w:w="0" w:type="dxa"/>
          </w:tblCellMar>
        </w:tblPrEx>
        <w:trPr>
          <w:gridAfter w:val="1"/>
          <w:wAfter w:w="1156" w:type="dxa"/>
          <w:trHeight w:val="475"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注：项目支出包括部门预算支出和专项预支出</w:t>
            </w:r>
          </w:p>
        </w:tc>
      </w:tr>
      <w:tr>
        <w:tblPrEx>
          <w:tblCellMar>
            <w:top w:w="0" w:type="dxa"/>
            <w:left w:w="0" w:type="dxa"/>
            <w:bottom w:w="0" w:type="dxa"/>
            <w:right w:w="0" w:type="dxa"/>
          </w:tblCellMar>
        </w:tblPrEx>
        <w:trPr>
          <w:gridAfter w:val="1"/>
          <w:wAfter w:w="1156" w:type="dxa"/>
          <w:trHeight w:val="540" w:hRule="atLeast"/>
        </w:trPr>
        <w:tc>
          <w:tcPr>
            <w:tcW w:w="44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811" w:rightChars="386"/>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医保网点网络及软件服务费</w:t>
            </w:r>
          </w:p>
        </w:tc>
      </w:tr>
      <w:tr>
        <w:tblPrEx>
          <w:tblCellMar>
            <w:top w:w="0" w:type="dxa"/>
            <w:left w:w="0" w:type="dxa"/>
            <w:bottom w:w="0" w:type="dxa"/>
            <w:right w:w="0" w:type="dxa"/>
          </w:tblCellMar>
        </w:tblPrEx>
        <w:trPr>
          <w:gridAfter w:val="1"/>
          <w:wAfter w:w="1156" w:type="dxa"/>
          <w:trHeight w:val="485" w:hRule="atLeast"/>
        </w:trPr>
        <w:tc>
          <w:tcPr>
            <w:tcW w:w="44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w:t>
            </w: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渠县医疗保障局</w:t>
            </w:r>
          </w:p>
        </w:tc>
      </w:tr>
      <w:tr>
        <w:tblPrEx>
          <w:tblCellMar>
            <w:top w:w="0" w:type="dxa"/>
            <w:left w:w="0" w:type="dxa"/>
            <w:bottom w:w="0" w:type="dxa"/>
            <w:right w:w="0" w:type="dxa"/>
          </w:tblCellMar>
        </w:tblPrEx>
        <w:trPr>
          <w:gridAfter w:val="1"/>
          <w:wAfter w:w="1156" w:type="dxa"/>
          <w:trHeight w:val="36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356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预算数：5.0</w:t>
            </w:r>
          </w:p>
        </w:tc>
        <w:tc>
          <w:tcPr>
            <w:tcW w:w="153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执行数：</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5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gridAfter w:val="1"/>
          <w:wAfter w:w="1156" w:type="dxa"/>
          <w:trHeight w:val="48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p>
        </w:tc>
        <w:tc>
          <w:tcPr>
            <w:tcW w:w="509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实际完成目标</w:t>
            </w:r>
          </w:p>
        </w:tc>
      </w:tr>
      <w:tr>
        <w:tblPrEx>
          <w:tblCellMar>
            <w:top w:w="0" w:type="dxa"/>
            <w:left w:w="0" w:type="dxa"/>
            <w:bottom w:w="0" w:type="dxa"/>
            <w:right w:w="0" w:type="dxa"/>
          </w:tblCellMar>
        </w:tblPrEx>
        <w:trPr>
          <w:gridAfter w:val="1"/>
          <w:wAfter w:w="1156" w:type="dxa"/>
          <w:trHeight w:val="6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年度目标：医院、药店等医疗机构可以通过专线连接到医疗保险局网络中，实现医保患者和“两定机构”的医疗费用自动审核和及时结算。</w:t>
            </w:r>
          </w:p>
        </w:tc>
        <w:tc>
          <w:tcPr>
            <w:tcW w:w="346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深入推进异地就医结算，按照上级部门的要求，不断扩大异地就医结算业务种类。</w:t>
            </w:r>
          </w:p>
        </w:tc>
      </w:tr>
      <w:tr>
        <w:tblPrEx>
          <w:tblCellMar>
            <w:top w:w="0" w:type="dxa"/>
            <w:left w:w="0" w:type="dxa"/>
            <w:bottom w:w="0" w:type="dxa"/>
            <w:right w:w="0" w:type="dxa"/>
          </w:tblCellMar>
        </w:tblPrEx>
        <w:trPr>
          <w:gridAfter w:val="1"/>
          <w:wAfter w:w="1156" w:type="dxa"/>
          <w:trHeight w:val="6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预期指标值（包含数字及文字描述）</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实际完成指标值（包含数字及文字描述）</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5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金宝系统正常运行率</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1"/>
                <w:rFonts w:eastAsia="宋体"/>
                <w:lang w:val="en-US" w:eastAsia="zh-CN" w:bidi="ar"/>
              </w:rPr>
              <w:t>≥</w:t>
            </w:r>
            <w:r>
              <w:rPr>
                <w:rStyle w:val="32"/>
                <w:lang w:val="en-US" w:eastAsia="zh-CN" w:bidi="ar"/>
              </w:rPr>
              <w:t>98%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1"/>
                <w:rFonts w:eastAsia="宋体"/>
                <w:lang w:val="en-US" w:eastAsia="zh-CN" w:bidi="ar"/>
              </w:rPr>
              <w:t>≥</w:t>
            </w:r>
            <w:r>
              <w:rPr>
                <w:rStyle w:val="32"/>
                <w:lang w:val="en-US" w:eastAsia="zh-CN" w:bidi="ar"/>
              </w:rPr>
              <w:t>98%</w:t>
            </w:r>
          </w:p>
        </w:tc>
      </w:tr>
      <w:tr>
        <w:tblPrEx>
          <w:tblCellMar>
            <w:top w:w="0" w:type="dxa"/>
            <w:left w:w="0" w:type="dxa"/>
            <w:bottom w:w="0" w:type="dxa"/>
            <w:right w:w="0" w:type="dxa"/>
          </w:tblCellMar>
        </w:tblPrEx>
        <w:trPr>
          <w:gridAfter w:val="1"/>
          <w:wAfter w:w="1156" w:type="dxa"/>
          <w:trHeight w:val="45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检查覆盖率</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gridAfter w:val="1"/>
          <w:wAfter w:w="1156" w:type="dxa"/>
          <w:trHeight w:val="51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故障处理时限</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不超过24小时</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不超过24小时</w:t>
            </w:r>
          </w:p>
        </w:tc>
      </w:tr>
      <w:tr>
        <w:tblPrEx>
          <w:tblCellMar>
            <w:top w:w="0" w:type="dxa"/>
            <w:left w:w="0" w:type="dxa"/>
            <w:bottom w:w="0" w:type="dxa"/>
            <w:right w:w="0" w:type="dxa"/>
          </w:tblCellMar>
        </w:tblPrEx>
        <w:trPr>
          <w:gridAfter w:val="1"/>
          <w:wAfter w:w="1156" w:type="dxa"/>
          <w:trHeight w:val="5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5万元</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5万元</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项目效果指标</w:t>
            </w:r>
          </w:p>
        </w:tc>
        <w:tc>
          <w:tcPr>
            <w:tcW w:w="12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群众对医保工作的认可率</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上升</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上升</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群众受益度</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相关部门和参保对象满意度</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52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上级部门满意度</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gridAfter w:val="1"/>
          <w:wAfter w:w="1156" w:type="dxa"/>
          <w:trHeight w:val="480"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项目绩效目标完成情况表</w:t>
            </w:r>
            <w:r>
              <w:rPr>
                <w:rFonts w:hint="eastAsia" w:ascii="宋体" w:hAnsi="宋体" w:cs="宋体"/>
                <w:b/>
                <w:i w:val="0"/>
                <w:color w:val="000000"/>
                <w:kern w:val="0"/>
                <w:sz w:val="21"/>
                <w:szCs w:val="21"/>
                <w:u w:val="none"/>
                <w:lang w:val="en-US" w:eastAsia="zh-CN" w:bidi="ar"/>
              </w:rPr>
              <w:t>五</w:t>
            </w:r>
          </w:p>
        </w:tc>
      </w:tr>
      <w:tr>
        <w:tblPrEx>
          <w:tblCellMar>
            <w:top w:w="0" w:type="dxa"/>
            <w:left w:w="0" w:type="dxa"/>
            <w:bottom w:w="0" w:type="dxa"/>
            <w:right w:w="0" w:type="dxa"/>
          </w:tblCellMar>
        </w:tblPrEx>
        <w:trPr>
          <w:gridAfter w:val="1"/>
          <w:wAfter w:w="1156" w:type="dxa"/>
          <w:trHeight w:val="460"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2019  年度）</w:t>
            </w:r>
          </w:p>
        </w:tc>
      </w:tr>
      <w:tr>
        <w:tblPrEx>
          <w:tblCellMar>
            <w:top w:w="0" w:type="dxa"/>
            <w:left w:w="0" w:type="dxa"/>
            <w:bottom w:w="0" w:type="dxa"/>
            <w:right w:w="0" w:type="dxa"/>
          </w:tblCellMar>
        </w:tblPrEx>
        <w:trPr>
          <w:gridAfter w:val="1"/>
          <w:wAfter w:w="1156" w:type="dxa"/>
          <w:trHeight w:val="520" w:hRule="atLeast"/>
        </w:trPr>
        <w:tc>
          <w:tcPr>
            <w:tcW w:w="9487"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注：项目支出包括部门预算支出和专项预支出</w:t>
            </w:r>
          </w:p>
        </w:tc>
      </w:tr>
      <w:tr>
        <w:tblPrEx>
          <w:tblCellMar>
            <w:top w:w="0" w:type="dxa"/>
            <w:left w:w="0" w:type="dxa"/>
            <w:bottom w:w="0" w:type="dxa"/>
            <w:right w:w="0" w:type="dxa"/>
          </w:tblCellMar>
        </w:tblPrEx>
        <w:trPr>
          <w:gridAfter w:val="1"/>
          <w:wAfter w:w="1156" w:type="dxa"/>
          <w:trHeight w:val="440" w:hRule="atLeast"/>
        </w:trPr>
        <w:tc>
          <w:tcPr>
            <w:tcW w:w="44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医疗保险参保政策宣传费</w:t>
            </w:r>
          </w:p>
        </w:tc>
      </w:tr>
      <w:tr>
        <w:tblPrEx>
          <w:tblCellMar>
            <w:top w:w="0" w:type="dxa"/>
            <w:left w:w="0" w:type="dxa"/>
            <w:bottom w:w="0" w:type="dxa"/>
            <w:right w:w="0" w:type="dxa"/>
          </w:tblCellMar>
        </w:tblPrEx>
        <w:trPr>
          <w:gridAfter w:val="1"/>
          <w:wAfter w:w="1156" w:type="dxa"/>
          <w:trHeight w:val="470" w:hRule="atLeast"/>
        </w:trPr>
        <w:tc>
          <w:tcPr>
            <w:tcW w:w="449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w:t>
            </w:r>
          </w:p>
        </w:tc>
        <w:tc>
          <w:tcPr>
            <w:tcW w:w="49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渠县医疗保障局</w:t>
            </w:r>
          </w:p>
        </w:tc>
      </w:tr>
      <w:tr>
        <w:tblPrEx>
          <w:tblCellMar>
            <w:top w:w="0" w:type="dxa"/>
            <w:left w:w="0" w:type="dxa"/>
            <w:bottom w:w="0" w:type="dxa"/>
            <w:right w:w="0" w:type="dxa"/>
          </w:tblCellMar>
        </w:tblPrEx>
        <w:trPr>
          <w:gridAfter w:val="1"/>
          <w:wAfter w:w="1156" w:type="dxa"/>
          <w:trHeight w:val="30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356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预算数：3.0</w:t>
            </w:r>
          </w:p>
        </w:tc>
        <w:tc>
          <w:tcPr>
            <w:tcW w:w="153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执行数：</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r>
      <w:tr>
        <w:tblPrEx>
          <w:tblCellMar>
            <w:top w:w="0" w:type="dxa"/>
            <w:left w:w="0" w:type="dxa"/>
            <w:bottom w:w="0" w:type="dxa"/>
            <w:right w:w="0" w:type="dxa"/>
          </w:tblCellMar>
        </w:tblPrEx>
        <w:trPr>
          <w:gridAfter w:val="1"/>
          <w:wAfter w:w="1156" w:type="dxa"/>
          <w:trHeight w:val="30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0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5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0" w:type="dxa"/>
            <w:bottom w:w="0" w:type="dxa"/>
            <w:right w:w="0" w:type="dxa"/>
          </w:tblCellMar>
        </w:tblPrEx>
        <w:trPr>
          <w:gridAfter w:val="1"/>
          <w:wAfter w:w="1156" w:type="dxa"/>
          <w:trHeight w:val="44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p>
        </w:tc>
        <w:tc>
          <w:tcPr>
            <w:tcW w:w="509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实际完成目标</w:t>
            </w:r>
          </w:p>
        </w:tc>
      </w:tr>
      <w:tr>
        <w:tblPrEx>
          <w:tblCellMar>
            <w:top w:w="0" w:type="dxa"/>
            <w:left w:w="0" w:type="dxa"/>
            <w:bottom w:w="0" w:type="dxa"/>
            <w:right w:w="0" w:type="dxa"/>
          </w:tblCellMar>
        </w:tblPrEx>
        <w:trPr>
          <w:gridAfter w:val="1"/>
          <w:wAfter w:w="1156" w:type="dxa"/>
          <w:trHeight w:val="100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通过开展参保缴费、待遇享受、异地就医报销、经办业务流程等为重点宣传内容的政策宣传，在全县营造“了解医保、关心医保、走进医保”的良好氛围，为2019年城乡居民基本医疗保险全覆盖打下坚实的基础。</w:t>
            </w:r>
          </w:p>
        </w:tc>
        <w:tc>
          <w:tcPr>
            <w:tcW w:w="346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共有1048575人参加城乡居民基本医疗保险。通过印制参保宣传年画20万张、参保资料30万份到各乡镇摆摊设点面对面宣传；在县电视台黄金时段播放相关政策和多种缴费方式进行煤介宣传等多种宣传方式，提高城乡居民对医保政策的知晓度。</w:t>
            </w:r>
          </w:p>
        </w:tc>
      </w:tr>
      <w:tr>
        <w:tblPrEx>
          <w:tblCellMar>
            <w:top w:w="0" w:type="dxa"/>
            <w:left w:w="0" w:type="dxa"/>
            <w:bottom w:w="0" w:type="dxa"/>
            <w:right w:w="0" w:type="dxa"/>
          </w:tblCellMar>
        </w:tblPrEx>
        <w:trPr>
          <w:gridAfter w:val="1"/>
          <w:wAfter w:w="1156" w:type="dxa"/>
          <w:trHeight w:val="100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4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情况</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预期指标值（包含数字及文字描述）</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实际完成指标值（包含数字及文字描述）</w:t>
            </w:r>
          </w:p>
        </w:tc>
      </w:tr>
      <w:tr>
        <w:tblPrEx>
          <w:tblCellMar>
            <w:top w:w="0" w:type="dxa"/>
            <w:left w:w="0" w:type="dxa"/>
            <w:bottom w:w="0" w:type="dxa"/>
            <w:right w:w="0" w:type="dxa"/>
          </w:tblCellMar>
        </w:tblPrEx>
        <w:trPr>
          <w:gridAfter w:val="1"/>
          <w:wAfter w:w="1156" w:type="dxa"/>
          <w:trHeight w:val="3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43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宣传次数</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32"/>
                <w:lang w:val="en-US" w:eastAsia="zh-CN" w:bidi="ar"/>
              </w:rPr>
              <w:t>不少于</w:t>
            </w:r>
            <w:r>
              <w:rPr>
                <w:rStyle w:val="31"/>
                <w:rFonts w:eastAsia="宋体"/>
                <w:lang w:val="en-US" w:eastAsia="zh-CN" w:bidi="ar"/>
              </w:rPr>
              <w:t>10</w:t>
            </w:r>
            <w:r>
              <w:rPr>
                <w:rStyle w:val="32"/>
                <w:lang w:val="en-US" w:eastAsia="zh-CN" w:bidi="ar"/>
              </w:rPr>
              <w:t>次</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15次</w:t>
            </w:r>
          </w:p>
        </w:tc>
      </w:tr>
      <w:tr>
        <w:tblPrEx>
          <w:tblCellMar>
            <w:top w:w="0" w:type="dxa"/>
            <w:left w:w="0" w:type="dxa"/>
            <w:bottom w:w="0" w:type="dxa"/>
            <w:right w:w="0" w:type="dxa"/>
          </w:tblCellMar>
        </w:tblPrEx>
        <w:trPr>
          <w:gridAfter w:val="1"/>
          <w:wAfter w:w="1156" w:type="dxa"/>
          <w:trHeight w:val="45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宣传覆盖率</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gridAfter w:val="1"/>
          <w:wAfter w:w="1156" w:type="dxa"/>
          <w:trHeight w:val="39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完成参保任务</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6月30日前</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6月30日前</w:t>
            </w:r>
          </w:p>
        </w:tc>
      </w:tr>
      <w:tr>
        <w:tblPrEx>
          <w:tblCellMar>
            <w:top w:w="0" w:type="dxa"/>
            <w:left w:w="0" w:type="dxa"/>
            <w:bottom w:w="0" w:type="dxa"/>
            <w:right w:w="0" w:type="dxa"/>
          </w:tblCellMar>
        </w:tblPrEx>
        <w:trPr>
          <w:gridAfter w:val="1"/>
          <w:wAfter w:w="1156" w:type="dxa"/>
          <w:trHeight w:val="507"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3万元</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3万元</w:t>
            </w: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项目效果指标</w:t>
            </w:r>
          </w:p>
        </w:tc>
        <w:tc>
          <w:tcPr>
            <w:tcW w:w="12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群众对医保工作的认可率</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上升</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基本达到目标值</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6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群众受益度</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上升</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3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相关部门和参保对象满意度</w:t>
            </w:r>
          </w:p>
        </w:tc>
        <w:tc>
          <w:tcPr>
            <w:tcW w:w="14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CellMar>
            <w:top w:w="0" w:type="dxa"/>
            <w:left w:w="0" w:type="dxa"/>
            <w:bottom w:w="0" w:type="dxa"/>
            <w:right w:w="0" w:type="dxa"/>
          </w:tblCellMar>
        </w:tblPrEx>
        <w:trPr>
          <w:gridAfter w:val="1"/>
          <w:wAfter w:w="1156" w:type="dxa"/>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1156" w:type="dxa"/>
          <w:trHeight w:val="51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上级部门满意度</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医保大厅运行费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“医保网点检查机房维维护费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医保基金监管经费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医保大厅运行费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实现了大厅经办业务窗口优化整合，设置“综合咨询”、“参保登记”、“综合接件”、“大病保险”等窗口。</w:t>
      </w:r>
      <w:bookmarkStart w:id="73" w:name="_GoBack"/>
      <w:bookmarkEnd w:id="73"/>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医保基金监管经费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为深入开展打击欺诈骗保专项治理奠定了坚实的工作基础，有效打击骗套医保基金行为。</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医保网点检查机房维护费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在各乡镇便民服务中心设立医疗保障服务窗口，受理参保群众的参保、医保报账、特殊门诊申报、医疗救助申请、医保政策宣传等医疗保障业务，实现“就近办、一窗办”。</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）医保网点网络及软件服务费项目绩效目标完成情况的综述。项目全年预算数为</w:t>
      </w:r>
      <w:r>
        <w:rPr>
          <w:rFonts w:hint="eastAsia" w:ascii="仿宋_GB2312" w:hAnsi="仿宋_GB2312" w:eastAsia="仿宋_GB2312" w:cs="仿宋_GB2312"/>
          <w:sz w:val="32"/>
          <w:szCs w:val="32"/>
          <w:lang w:val="en-US" w:eastAsia="zh-CN"/>
        </w:rPr>
        <w:t>5万元，执行数为5万元，完成预算的100%。通过项目实施，深入推进异地就医结算，按照上级部门的要求，不断扩大异地就医结算业务种类。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医疗保险参保政策宣传费项目绩效目标完成情况综述。项目全年预算数为3万元，执行数为3万元，完成预算的100%。通过项目实施，全年共有1048575人参加城乡居民基本医疗保险。通过印制参保宣传年画20万张、参保资料30万份到各乡镇摆摊设点面对面宣传；在县电视台黄金时段播放相关政策和多种缴费方式进行媒介宣传等多种宣传方式，提高城乡居民对医保政策的知晓度。</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渠县医疗保障局</w:t>
      </w:r>
      <w:r>
        <w:rPr>
          <w:rFonts w:hint="eastAsia" w:ascii="仿宋_GB2312" w:hAnsi="仿宋_GB2312" w:eastAsia="仿宋_GB2312" w:cs="仿宋_GB2312"/>
          <w:sz w:val="32"/>
          <w:szCs w:val="32"/>
        </w:rPr>
        <w:t>2019年部门整体支出绩效评价报告》见附件（附件1）。</w:t>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3.经营收入：指事业单位在专业业务活动及其辅助活动之外开展非独立核算经营活动取得的收入。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4.其他收入：指单位取得的除上述收入以外的各项收入。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6.年初结转和结余：指以前年度尚未完成、结转到本年按有关规定继续使用的资金。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7.结余分配：指事业单位按照事业单位会计制度的规定从非财政补助结余中分配的事业基金和职工福利基金等。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8.年末结转和结余：指单位按有关规定结转到下年或以后年度继续使用的资金。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9.农林水（类）扶贫（款）社会发展（项）：指用于农村贫困地区中小学教育、文化、广播、电视、医疗、卫生等方面的项目支出。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10.社会保障和就业（类）行政事业单位离退休（款）机关事业单位基本养老保险缴费支出（项）:指机关事业单位实施养老保险制度由单位缴纳的基本养老保险费支出。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11.社会保障和就业（类）行政事业单位离退休（款）机关事业单位职业年金缴费支出（项）:指机关事业单位实施养老保险制度由单位缴纳的职业年金支出。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12.社会保障和就业（类）</w:t>
      </w:r>
      <w:r>
        <w:rPr>
          <w:rFonts w:hint="eastAsia" w:ascii="仿宋" w:hAnsi="仿宋" w:eastAsia="仿宋" w:cs="仿宋"/>
          <w:sz w:val="32"/>
          <w:szCs w:val="32"/>
          <w:lang w:eastAsia="zh-CN"/>
        </w:rPr>
        <w:t>其他社会保障和</w:t>
      </w:r>
      <w:r>
        <w:rPr>
          <w:rFonts w:hint="eastAsia" w:ascii="仿宋" w:hAnsi="仿宋" w:eastAsia="仿宋" w:cs="仿宋"/>
          <w:sz w:val="32"/>
          <w:szCs w:val="32"/>
        </w:rPr>
        <w:t>就业</w:t>
      </w:r>
      <w:r>
        <w:rPr>
          <w:rFonts w:hint="eastAsia" w:ascii="仿宋" w:hAnsi="仿宋" w:eastAsia="仿宋" w:cs="仿宋"/>
          <w:sz w:val="32"/>
          <w:szCs w:val="32"/>
          <w:lang w:eastAsia="zh-CN"/>
        </w:rPr>
        <w:t>支出</w:t>
      </w:r>
      <w:r>
        <w:rPr>
          <w:rFonts w:hint="eastAsia" w:ascii="仿宋" w:hAnsi="仿宋" w:eastAsia="仿宋" w:cs="仿宋"/>
          <w:sz w:val="32"/>
          <w:szCs w:val="32"/>
        </w:rPr>
        <w:t>（款）其他</w:t>
      </w:r>
      <w:r>
        <w:rPr>
          <w:rFonts w:hint="eastAsia" w:ascii="仿宋" w:hAnsi="仿宋" w:eastAsia="仿宋" w:cs="仿宋"/>
          <w:sz w:val="32"/>
          <w:szCs w:val="32"/>
          <w:lang w:eastAsia="zh-CN"/>
        </w:rPr>
        <w:t>社会保障和</w:t>
      </w:r>
      <w:r>
        <w:rPr>
          <w:rFonts w:hint="eastAsia" w:ascii="仿宋" w:hAnsi="仿宋" w:eastAsia="仿宋" w:cs="仿宋"/>
          <w:sz w:val="32"/>
          <w:szCs w:val="32"/>
        </w:rPr>
        <w:t>就业支出（项）:指其他用于促进就业的补助支出。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13.</w:t>
      </w:r>
      <w:r>
        <w:rPr>
          <w:rFonts w:hint="eastAsia" w:ascii="仿宋" w:hAnsi="仿宋" w:eastAsia="仿宋" w:cs="仿宋"/>
          <w:sz w:val="32"/>
          <w:szCs w:val="32"/>
          <w:lang w:eastAsia="zh-CN"/>
        </w:rPr>
        <w:t>卫生健康</w:t>
      </w:r>
      <w:r>
        <w:rPr>
          <w:rFonts w:hint="eastAsia" w:ascii="仿宋" w:hAnsi="仿宋" w:eastAsia="仿宋" w:cs="仿宋"/>
          <w:sz w:val="32"/>
          <w:szCs w:val="32"/>
        </w:rPr>
        <w:t>（类）</w:t>
      </w:r>
      <w:r>
        <w:rPr>
          <w:rFonts w:hint="eastAsia" w:ascii="仿宋" w:hAnsi="仿宋" w:eastAsia="仿宋" w:cs="仿宋"/>
          <w:sz w:val="32"/>
          <w:szCs w:val="32"/>
          <w:lang w:eastAsia="zh-CN"/>
        </w:rPr>
        <w:t>卫生健康管理事务</w:t>
      </w:r>
      <w:r>
        <w:rPr>
          <w:rFonts w:hint="eastAsia" w:ascii="仿宋" w:hAnsi="仿宋" w:eastAsia="仿宋" w:cs="仿宋"/>
          <w:sz w:val="32"/>
          <w:szCs w:val="32"/>
        </w:rPr>
        <w:t>（款）</w:t>
      </w:r>
      <w:r>
        <w:rPr>
          <w:rFonts w:hint="eastAsia" w:ascii="仿宋" w:hAnsi="仿宋" w:eastAsia="仿宋" w:cs="仿宋"/>
          <w:sz w:val="32"/>
          <w:szCs w:val="32"/>
          <w:lang w:eastAsia="zh-CN"/>
        </w:rPr>
        <w:t>其他卫生健康管理事务支出</w:t>
      </w:r>
      <w:r>
        <w:rPr>
          <w:rFonts w:hint="eastAsia" w:ascii="仿宋" w:hAnsi="仿宋" w:eastAsia="仿宋" w:cs="仿宋"/>
          <w:sz w:val="32"/>
          <w:szCs w:val="32"/>
        </w:rPr>
        <w:t>（项）：指其他用于基层医疗卫生机构的支出。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eastAsia="zh-CN"/>
        </w:rPr>
        <w:t>卫生健康</w:t>
      </w:r>
      <w:r>
        <w:rPr>
          <w:rFonts w:hint="eastAsia" w:ascii="仿宋" w:hAnsi="仿宋" w:eastAsia="仿宋" w:cs="仿宋"/>
          <w:sz w:val="32"/>
          <w:szCs w:val="32"/>
        </w:rPr>
        <w:t>（类）行政事业单位医疗（款）</w:t>
      </w:r>
      <w:r>
        <w:rPr>
          <w:rFonts w:hint="eastAsia" w:ascii="仿宋" w:hAnsi="仿宋" w:eastAsia="仿宋" w:cs="仿宋"/>
          <w:sz w:val="32"/>
          <w:szCs w:val="32"/>
          <w:lang w:eastAsia="zh-CN"/>
        </w:rPr>
        <w:t>行政</w:t>
      </w:r>
      <w:r>
        <w:rPr>
          <w:rFonts w:hint="eastAsia" w:ascii="仿宋" w:hAnsi="仿宋" w:eastAsia="仿宋" w:cs="仿宋"/>
          <w:sz w:val="32"/>
          <w:szCs w:val="32"/>
        </w:rPr>
        <w:t>单位医疗（项）：指财政部门集中安排的事业单位基本医疗保险缴费经费。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lang w:eastAsia="zh-CN"/>
        </w:rPr>
      </w:pPr>
      <w:r>
        <w:rPr>
          <w:rFonts w:hint="eastAsia" w:ascii="仿宋" w:hAnsi="仿宋" w:eastAsia="仿宋" w:cs="仿宋"/>
          <w:sz w:val="32"/>
          <w:szCs w:val="32"/>
        </w:rPr>
        <w:t>15.</w:t>
      </w:r>
      <w:r>
        <w:rPr>
          <w:rFonts w:hint="eastAsia" w:ascii="仿宋" w:hAnsi="仿宋" w:eastAsia="仿宋" w:cs="仿宋"/>
          <w:sz w:val="32"/>
          <w:szCs w:val="32"/>
          <w:lang w:eastAsia="zh-CN"/>
        </w:rPr>
        <w:t>卫生健康</w:t>
      </w:r>
      <w:r>
        <w:rPr>
          <w:rFonts w:hint="eastAsia" w:ascii="仿宋" w:hAnsi="仿宋" w:eastAsia="仿宋" w:cs="仿宋"/>
          <w:sz w:val="32"/>
          <w:szCs w:val="32"/>
        </w:rPr>
        <w:t>（类）</w:t>
      </w:r>
      <w:r>
        <w:rPr>
          <w:rFonts w:hint="eastAsia" w:ascii="仿宋" w:hAnsi="仿宋" w:eastAsia="仿宋" w:cs="仿宋"/>
          <w:sz w:val="32"/>
          <w:szCs w:val="32"/>
          <w:lang w:eastAsia="zh-CN"/>
        </w:rPr>
        <w:t>财政对基本医疗保险基金的补助</w:t>
      </w:r>
      <w:r>
        <w:rPr>
          <w:rFonts w:hint="eastAsia" w:ascii="仿宋" w:hAnsi="仿宋" w:eastAsia="仿宋" w:cs="仿宋"/>
          <w:sz w:val="32"/>
          <w:szCs w:val="32"/>
        </w:rPr>
        <w:t>（款）</w:t>
      </w:r>
      <w:r>
        <w:rPr>
          <w:rFonts w:hint="eastAsia" w:ascii="仿宋" w:hAnsi="仿宋" w:eastAsia="仿宋" w:cs="仿宋"/>
          <w:sz w:val="32"/>
          <w:szCs w:val="32"/>
          <w:lang w:eastAsia="zh-CN"/>
        </w:rPr>
        <w:t>财政对城乡居民基本医疗保险基金的补助</w:t>
      </w:r>
      <w:r>
        <w:rPr>
          <w:rFonts w:hint="eastAsia" w:ascii="仿宋" w:hAnsi="仿宋" w:eastAsia="仿宋" w:cs="仿宋"/>
          <w:sz w:val="32"/>
          <w:szCs w:val="32"/>
        </w:rPr>
        <w:t>（项）：用于</w:t>
      </w:r>
      <w:r>
        <w:rPr>
          <w:rFonts w:hint="eastAsia" w:ascii="仿宋" w:hAnsi="仿宋" w:eastAsia="仿宋" w:cs="仿宋"/>
          <w:sz w:val="32"/>
          <w:szCs w:val="32"/>
          <w:lang w:eastAsia="zh-CN"/>
        </w:rPr>
        <w:t>城乡居民医疗保险基金的补助。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16.住房保障支出（类）住房改革支出（款）住房公积金（项）:指行政事业单位按人力资源和社会保障部、财政部规定的基本工资和津贴补贴以及规定比例为职工缴纳的住房公积金。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17.基本支出：指为保障机构正常运转、完成日常工作任务而发生的人员支出和公用支出。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18.项目支出：指在基本支出之外为完成特定行政任务和事业发展目标所发生的支出。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19.经营支出：指事业单位在专业业务活动及其辅助活动之外开展非独立核算经营活动发生的支出。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32"/>
          <w:szCs w:val="32"/>
        </w:rPr>
      </w:pPr>
      <w:r>
        <w:rPr>
          <w:rFonts w:hint="eastAsia" w:ascii="仿宋" w:hAnsi="仿宋" w:eastAsia="仿宋" w:cs="仿宋"/>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rPr>
          <w:rFonts w:ascii="仿宋_GB2312" w:eastAsia="仿宋_GB2312"/>
          <w:sz w:val="32"/>
          <w:szCs w:val="32"/>
        </w:rPr>
      </w:pPr>
    </w:p>
    <w:p>
      <w:pPr>
        <w:spacing w:line="600" w:lineRule="exact"/>
        <w:jc w:val="center"/>
        <w:outlineLvl w:val="0"/>
        <w:rPr>
          <w:rStyle w:val="25"/>
          <w:rFonts w:ascii="黑体" w:hAnsi="黑体" w:eastAsia="黑体"/>
          <w:b w:val="0"/>
        </w:rPr>
      </w:pPr>
      <w:bookmarkStart w:id="57" w:name="_Toc15396614"/>
      <w:bookmarkStart w:id="58" w:name="_Toc15377226"/>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渠县医疗保障局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2019年部门整体支出绩效评价报告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（一）机构组成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渠县医疗保障局于2019年3月26日挂牌成立，内设机构有：办公室、待遇保障股、综合业务股、基金监管股、信息管理股，下属事业单位渠县医疗保障事务中心。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（二）机构职能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1.组织起草医疗保险、生育保险、医疗救助等医疗保障的规范性文件。拟订全县医疗保障事业发展规划并组织实施和监督检查。编制全县医疗保障基金预决算草案。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2.组织拟订并实施医疗保障基金监督管理制度，建立健全医疗保障基金安全防控机制。组织实施医疗保障基金审批、支付管理，监督强化全县医疗保障基金运行管理。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3.组织拟订全县医疗保障筹资政策，组织实施城乡统一的医疗保障待遇标准和长期护理保险制度改革方案。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4.按照全省医疗保障目录，组织拟订全县城乡统一的医疗服务项目、医疗服务设施等支付标准，建立动态调整机制并组织实施。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组织拟订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6.负责国家和省、市、县药品、医用耗材招标采购政策的监督实施工作。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推进医疗保障基金支付方式改革，拟订全县定点医药机构协议和支付管理办法并组织实施，负责全县医疗保障定点机构管理。建立健全医疗保障信用评价体系和信息披露制度，监督管理纳入医疗保障范围内的医疗服务行为和医疗费用。拟订基金稽核管理办法并组织实施，依法查处医疗保障领域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8.负责全县医疗保障经办管理和公共服务体系建设。组织实施异地就医管理。建立健全医疗保障关系转移接续制度。监督管理全县医保经办服务工作。开展医疗保障领域对外合作交流。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9.负责规划实施全县医疗保障信息化系统建设。组织开展医疗保障大数据管理和应用。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10.负责职责范围内的安全生产和职业健康、生态环境保护、审批服务便民化等工作。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11.完成县委、县政府交办的其他任务。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（三）人员概况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rPr>
      </w:pPr>
      <w:r>
        <w:rPr>
          <w:rFonts w:hint="eastAsia" w:ascii="仿宋_GB2312" w:hAnsi="仿宋" w:eastAsia="仿宋_GB2312"/>
          <w:sz w:val="32"/>
          <w:szCs w:val="32"/>
          <w:lang w:eastAsia="zh-CN"/>
        </w:rPr>
        <w:t>渠县医疗保障局属</w:t>
      </w:r>
      <w:r>
        <w:rPr>
          <w:rFonts w:hint="eastAsia" w:ascii="仿宋_GB2312" w:hAnsi="仿宋" w:eastAsia="仿宋_GB2312"/>
          <w:sz w:val="32"/>
          <w:szCs w:val="32"/>
          <w:lang w:val="en-US" w:eastAsia="zh-CN"/>
        </w:rPr>
        <w:t>行政</w:t>
      </w:r>
      <w:r>
        <w:rPr>
          <w:rFonts w:hint="eastAsia" w:ascii="仿宋_GB2312" w:hAnsi="仿宋" w:eastAsia="仿宋_GB2312"/>
          <w:sz w:val="32"/>
          <w:szCs w:val="32"/>
          <w:lang w:eastAsia="zh-CN"/>
        </w:rPr>
        <w:t>单位，</w:t>
      </w:r>
      <w:r>
        <w:rPr>
          <w:rFonts w:hint="eastAsia" w:ascii="仿宋" w:hAnsi="仿宋" w:eastAsia="仿宋" w:cs="仿宋"/>
          <w:sz w:val="32"/>
          <w:szCs w:val="32"/>
          <w:lang w:val="en-US" w:eastAsia="zh-CN"/>
        </w:rPr>
        <w:t>行政编制10名，实有公务员10人；下属事业单位渠县医疗保障事务中心，参公事业编制39名，实有27人。共计37人。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二、部门财政资金收支情况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（一）部门财政资金收入情况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2019年度年初预算安排</w:t>
      </w:r>
      <w:r>
        <w:rPr>
          <w:rFonts w:hint="eastAsia" w:ascii="仿宋" w:hAnsi="仿宋" w:eastAsia="仿宋" w:cs="仿宋"/>
          <w:sz w:val="32"/>
          <w:szCs w:val="32"/>
          <w:lang w:val="en-US" w:eastAsia="zh-CN"/>
        </w:rPr>
        <w:t>368.42</w:t>
      </w:r>
      <w:r>
        <w:rPr>
          <w:rFonts w:hint="eastAsia" w:ascii="仿宋" w:hAnsi="仿宋" w:eastAsia="仿宋" w:cs="仿宋"/>
          <w:sz w:val="32"/>
          <w:szCs w:val="32"/>
        </w:rPr>
        <w:t>万元，追加预算</w:t>
      </w:r>
      <w:r>
        <w:rPr>
          <w:rFonts w:hint="eastAsia" w:ascii="仿宋" w:hAnsi="仿宋" w:eastAsia="仿宋" w:cs="仿宋"/>
          <w:sz w:val="32"/>
          <w:szCs w:val="32"/>
          <w:lang w:val="en-US" w:eastAsia="zh-CN"/>
        </w:rPr>
        <w:t>7846.59</w:t>
      </w:r>
      <w:r>
        <w:rPr>
          <w:rFonts w:hint="eastAsia" w:ascii="仿宋" w:hAnsi="仿宋" w:eastAsia="仿宋" w:cs="仿宋"/>
          <w:sz w:val="32"/>
          <w:szCs w:val="32"/>
        </w:rPr>
        <w:t>万元，全年财政收入拨款</w:t>
      </w:r>
      <w:r>
        <w:rPr>
          <w:rFonts w:hint="eastAsia" w:ascii="仿宋" w:hAnsi="仿宋" w:eastAsia="仿宋" w:cs="仿宋"/>
          <w:sz w:val="32"/>
          <w:szCs w:val="32"/>
          <w:lang w:val="en-US" w:eastAsia="zh-CN"/>
        </w:rPr>
        <w:t>8215.01</w:t>
      </w:r>
      <w:r>
        <w:rPr>
          <w:rFonts w:hint="eastAsia" w:ascii="仿宋" w:hAnsi="仿宋" w:eastAsia="仿宋" w:cs="仿宋"/>
          <w:sz w:val="32"/>
          <w:szCs w:val="32"/>
        </w:rPr>
        <w:t xml:space="preserve">万元。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部门财政资金支出情况。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2019年度全年支出</w:t>
      </w:r>
      <w:r>
        <w:rPr>
          <w:rFonts w:hint="eastAsia" w:ascii="仿宋" w:hAnsi="仿宋" w:eastAsia="仿宋" w:cs="仿宋"/>
          <w:sz w:val="32"/>
          <w:szCs w:val="32"/>
          <w:lang w:val="en-US" w:eastAsia="zh-CN"/>
        </w:rPr>
        <w:t>8215.01</w:t>
      </w:r>
      <w:r>
        <w:rPr>
          <w:rFonts w:hint="eastAsia" w:ascii="仿宋" w:hAnsi="仿宋" w:eastAsia="仿宋" w:cs="仿宋"/>
          <w:sz w:val="32"/>
          <w:szCs w:val="32"/>
          <w:lang w:eastAsia="zh-CN"/>
        </w:rPr>
        <w:t>万元，其中：</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347.55</w:t>
      </w:r>
      <w:r>
        <w:rPr>
          <w:rFonts w:hint="eastAsia" w:ascii="仿宋" w:hAnsi="仿宋" w:eastAsia="仿宋" w:cs="仿宋"/>
          <w:sz w:val="32"/>
          <w:szCs w:val="32"/>
        </w:rPr>
        <w:t>万元，占4.23%；卫生</w:t>
      </w:r>
      <w:r>
        <w:rPr>
          <w:rFonts w:hint="eastAsia" w:ascii="仿宋" w:hAnsi="仿宋" w:eastAsia="仿宋" w:cs="仿宋"/>
          <w:sz w:val="32"/>
          <w:szCs w:val="32"/>
          <w:lang w:val="en-US" w:eastAsia="zh-CN"/>
        </w:rPr>
        <w:t>健康</w:t>
      </w:r>
      <w:r>
        <w:rPr>
          <w:rFonts w:hint="eastAsia" w:ascii="仿宋" w:hAnsi="仿宋" w:eastAsia="仿宋" w:cs="仿宋"/>
          <w:sz w:val="32"/>
          <w:szCs w:val="32"/>
        </w:rPr>
        <w:t>支出4,662.42万元，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56.75%；</w:t>
      </w:r>
      <w:r>
        <w:rPr>
          <w:rFonts w:hint="eastAsia" w:ascii="仿宋" w:hAnsi="仿宋" w:eastAsia="仿宋" w:cs="仿宋"/>
          <w:sz w:val="32"/>
          <w:szCs w:val="32"/>
          <w:lang w:eastAsia="zh-CN"/>
        </w:rPr>
        <w:t>农林水</w:t>
      </w:r>
      <w:r>
        <w:rPr>
          <w:rFonts w:hint="eastAsia" w:ascii="仿宋" w:hAnsi="仿宋" w:eastAsia="仿宋" w:cs="仿宋"/>
          <w:sz w:val="32"/>
          <w:szCs w:val="32"/>
        </w:rPr>
        <w:t>支出3,181.12万元，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38.72%；</w:t>
      </w:r>
      <w:r>
        <w:rPr>
          <w:rFonts w:hint="eastAsia" w:ascii="仿宋" w:hAnsi="仿宋" w:eastAsia="仿宋" w:cs="仿宋"/>
          <w:sz w:val="32"/>
          <w:szCs w:val="32"/>
        </w:rPr>
        <w:t>住房保障支出23.92万元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0.29%</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部门整体预算绩效管理情况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（一）部门预算管理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预算编制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目标制定。严格按照县财政局部门预算编制通知和有关要求，在支出预算编制上，人员经费按照配置定额，逐人核定编制，公用经费按定额编制；根据“总量控制、计划管理”的要求从严控制行政经费，压缩公务费开支，严格控制“三公”经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（2）目标完成。2019年年初预算绩效目标项目</w:t>
      </w:r>
      <w:r>
        <w:rPr>
          <w:rFonts w:hint="eastAsia" w:ascii="仿宋" w:hAnsi="仿宋" w:eastAsia="仿宋" w:cs="仿宋"/>
          <w:sz w:val="32"/>
          <w:szCs w:val="32"/>
          <w:lang w:val="en-US" w:eastAsia="zh-CN"/>
        </w:rPr>
        <w:t>6</w:t>
      </w:r>
      <w:r>
        <w:rPr>
          <w:rFonts w:hint="eastAsia" w:ascii="仿宋" w:hAnsi="仿宋" w:eastAsia="仿宋" w:cs="仿宋"/>
          <w:sz w:val="32"/>
          <w:szCs w:val="32"/>
        </w:rPr>
        <w:t>个，预算调整绩效目标项目</w:t>
      </w:r>
      <w:r>
        <w:rPr>
          <w:rFonts w:hint="eastAsia" w:ascii="仿宋" w:hAnsi="仿宋" w:eastAsia="仿宋" w:cs="仿宋"/>
          <w:sz w:val="32"/>
          <w:szCs w:val="32"/>
          <w:lang w:val="en-US" w:eastAsia="zh-CN"/>
        </w:rPr>
        <w:t>0</w:t>
      </w:r>
      <w:r>
        <w:rPr>
          <w:rFonts w:hint="eastAsia" w:ascii="仿宋" w:hAnsi="仿宋" w:eastAsia="仿宋" w:cs="仿宋"/>
          <w:sz w:val="32"/>
          <w:szCs w:val="32"/>
        </w:rPr>
        <w:t>个，当年完成项目</w:t>
      </w:r>
      <w:r>
        <w:rPr>
          <w:rFonts w:hint="eastAsia" w:ascii="仿宋" w:hAnsi="仿宋" w:eastAsia="仿宋" w:cs="仿宋"/>
          <w:sz w:val="32"/>
          <w:szCs w:val="32"/>
          <w:lang w:val="en-US" w:eastAsia="zh-CN"/>
        </w:rPr>
        <w:t>6</w:t>
      </w:r>
      <w:r>
        <w:rPr>
          <w:rFonts w:hint="eastAsia" w:ascii="仿宋" w:hAnsi="仿宋" w:eastAsia="仿宋" w:cs="仿宋"/>
          <w:sz w:val="32"/>
          <w:szCs w:val="32"/>
        </w:rPr>
        <w:t>个，实际完成情况均符合预期绩效目标，完成率</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（3）编制准确。2019年度编制部门预算总额</w:t>
      </w:r>
      <w:r>
        <w:rPr>
          <w:rFonts w:hint="eastAsia" w:ascii="仿宋" w:hAnsi="仿宋" w:eastAsia="仿宋" w:cs="仿宋"/>
          <w:sz w:val="32"/>
          <w:szCs w:val="32"/>
          <w:lang w:val="en-US" w:eastAsia="zh-CN"/>
        </w:rPr>
        <w:t>8215.01</w:t>
      </w:r>
      <w:r>
        <w:rPr>
          <w:rFonts w:hint="eastAsia" w:ascii="仿宋" w:hAnsi="仿宋" w:eastAsia="仿宋" w:cs="仿宋"/>
          <w:sz w:val="32"/>
          <w:szCs w:val="32"/>
        </w:rPr>
        <w:t>万元,支出决算数完成预算的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2.预算执行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（1）支出控制。2019年按财政年初下达的资金计划进度申请资金拨付，资金使用效果良好，财政资金得到有效利用，达到了预期目标。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（2）动态调整。自实行对绩效目标实现程度和预算执行进度实行“双监控”以来，我单位无支付业务异常提示和部门绩效监控调整取消预算情况。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（3）执行进度。2019年，上半年执行力度相对偏弱，下半年基本达到了实际支出进度。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3.完成结果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（1）预算完成。2019年一般公共预算财政拨款收入</w:t>
      </w:r>
      <w:r>
        <w:rPr>
          <w:rFonts w:hint="eastAsia" w:ascii="仿宋" w:hAnsi="仿宋" w:eastAsia="仿宋" w:cs="仿宋"/>
          <w:sz w:val="32"/>
          <w:szCs w:val="32"/>
          <w:lang w:val="en-US" w:eastAsia="zh-CN"/>
        </w:rPr>
        <w:t>8215.01</w:t>
      </w:r>
      <w:r>
        <w:rPr>
          <w:rFonts w:hint="eastAsia" w:ascii="仿宋" w:hAnsi="仿宋" w:eastAsia="仿宋" w:cs="仿宋"/>
          <w:sz w:val="32"/>
          <w:szCs w:val="32"/>
        </w:rPr>
        <w:t>万元，一般公共预算财政拨款支出决算数为</w:t>
      </w:r>
      <w:r>
        <w:rPr>
          <w:rFonts w:hint="eastAsia" w:ascii="仿宋" w:hAnsi="仿宋" w:eastAsia="仿宋" w:cs="仿宋"/>
          <w:sz w:val="32"/>
          <w:szCs w:val="32"/>
          <w:lang w:val="en-US" w:eastAsia="zh-CN"/>
        </w:rPr>
        <w:t>8215.01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%。决算数大于预算数的主要原因是上年项目结转资金用于当年支付。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（2）违规记录。2019年，无违规记录。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.我单位无该项指标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（三）结果应用情况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1.自评质量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渠县医疗保障局</w:t>
      </w:r>
      <w:r>
        <w:rPr>
          <w:rFonts w:hint="eastAsia" w:ascii="仿宋" w:hAnsi="仿宋" w:eastAsia="仿宋" w:cs="仿宋"/>
          <w:sz w:val="32"/>
          <w:szCs w:val="32"/>
        </w:rPr>
        <w:t>2019年部门支出绩效评价得分</w:t>
      </w:r>
      <w:r>
        <w:rPr>
          <w:rFonts w:hint="eastAsia" w:ascii="仿宋" w:hAnsi="仿宋" w:eastAsia="仿宋" w:cs="仿宋"/>
          <w:sz w:val="32"/>
          <w:szCs w:val="32"/>
          <w:lang w:val="en-US" w:eastAsia="zh-CN"/>
        </w:rPr>
        <w:t>100</w:t>
      </w:r>
      <w:r>
        <w:rPr>
          <w:rFonts w:hint="eastAsia" w:ascii="仿宋" w:hAnsi="仿宋" w:eastAsia="仿宋" w:cs="仿宋"/>
          <w:sz w:val="32"/>
          <w:szCs w:val="32"/>
        </w:rPr>
        <w:t>分，详见下表。</w:t>
      </w:r>
    </w:p>
    <w:tbl>
      <w:tblPr>
        <w:tblStyle w:val="13"/>
        <w:tblW w:w="9568" w:type="dxa"/>
        <w:tblInd w:w="-308" w:type="dxa"/>
        <w:shd w:val="clear" w:color="auto" w:fill="auto"/>
        <w:tblLayout w:type="autofit"/>
        <w:tblCellMar>
          <w:top w:w="0" w:type="dxa"/>
          <w:left w:w="0" w:type="dxa"/>
          <w:bottom w:w="0" w:type="dxa"/>
          <w:right w:w="0" w:type="dxa"/>
        </w:tblCellMar>
      </w:tblPr>
      <w:tblGrid>
        <w:gridCol w:w="2310"/>
        <w:gridCol w:w="1860"/>
        <w:gridCol w:w="1692"/>
        <w:gridCol w:w="1845"/>
        <w:gridCol w:w="1861"/>
      </w:tblGrid>
      <w:tr>
        <w:tblPrEx>
          <w:shd w:val="clear" w:color="auto" w:fill="auto"/>
          <w:tblCellMar>
            <w:top w:w="0" w:type="dxa"/>
            <w:left w:w="0" w:type="dxa"/>
            <w:bottom w:w="0" w:type="dxa"/>
            <w:right w:w="0" w:type="dxa"/>
          </w:tblCellMar>
        </w:tblPrEx>
        <w:trPr>
          <w:trHeight w:val="720" w:hRule="atLeast"/>
        </w:trPr>
        <w:tc>
          <w:tcPr>
            <w:tcW w:w="956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2020年度县级部门整体支出绩效评价指标体系</w:t>
            </w:r>
          </w:p>
        </w:tc>
      </w:tr>
      <w:tr>
        <w:tblPrEx>
          <w:tblCellMar>
            <w:top w:w="0" w:type="dxa"/>
            <w:left w:w="0" w:type="dxa"/>
            <w:bottom w:w="0" w:type="dxa"/>
            <w:right w:w="0" w:type="dxa"/>
          </w:tblCellMar>
        </w:tblPrEx>
        <w:trPr>
          <w:trHeight w:val="300" w:hRule="atLeast"/>
        </w:trPr>
        <w:tc>
          <w:tcPr>
            <w:tcW w:w="58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绩效指标</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指标分值</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实得分</w:t>
            </w:r>
          </w:p>
        </w:tc>
      </w:tr>
      <w:tr>
        <w:tblPrEx>
          <w:tblCellMar>
            <w:top w:w="0" w:type="dxa"/>
            <w:left w:w="0" w:type="dxa"/>
            <w:bottom w:w="0" w:type="dxa"/>
            <w:right w:w="0" w:type="dxa"/>
          </w:tblCellMar>
        </w:tblPrEx>
        <w:trPr>
          <w:trHeight w:val="300"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一级指标</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二级指标</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三级指标</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8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部门预算（80分）</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预算编制（30分）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目标制定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tblPrEx>
          <w:tblCellMar>
            <w:top w:w="0" w:type="dxa"/>
            <w:left w:w="0" w:type="dxa"/>
            <w:bottom w:w="0" w:type="dxa"/>
            <w:right w:w="0" w:type="dxa"/>
          </w:tblCellMar>
        </w:tblPrEx>
        <w:trPr>
          <w:trHeight w:val="6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目标完成</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tblPrEx>
          <w:tblCellMar>
            <w:top w:w="0" w:type="dxa"/>
            <w:left w:w="0" w:type="dxa"/>
            <w:bottom w:w="0" w:type="dxa"/>
            <w:right w:w="0" w:type="dxa"/>
          </w:tblCellMar>
        </w:tblPrEx>
        <w:trPr>
          <w:trHeight w:val="6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编制准确</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tblPrEx>
          <w:tblCellMar>
            <w:top w:w="0" w:type="dxa"/>
            <w:left w:w="0" w:type="dxa"/>
            <w:bottom w:w="0" w:type="dxa"/>
            <w:right w:w="0" w:type="dxa"/>
          </w:tblCellMar>
        </w:tblPrEx>
        <w:trPr>
          <w:trHeight w:val="6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预算执行（30分）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支出控制</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tblPrEx>
          <w:tblCellMar>
            <w:top w:w="0" w:type="dxa"/>
            <w:left w:w="0" w:type="dxa"/>
            <w:bottom w:w="0" w:type="dxa"/>
            <w:right w:w="0" w:type="dxa"/>
          </w:tblCellMar>
        </w:tblPrEx>
        <w:trPr>
          <w:trHeight w:val="6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动态调整</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tblPrEx>
          <w:tblCellMar>
            <w:top w:w="0" w:type="dxa"/>
            <w:left w:w="0" w:type="dxa"/>
            <w:bottom w:w="0" w:type="dxa"/>
            <w:right w:w="0" w:type="dxa"/>
          </w:tblCellMar>
        </w:tblPrEx>
        <w:trPr>
          <w:trHeight w:val="6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执行进度</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tblPrEx>
          <w:tblCellMar>
            <w:top w:w="0" w:type="dxa"/>
            <w:left w:w="0" w:type="dxa"/>
            <w:bottom w:w="0" w:type="dxa"/>
            <w:right w:w="0" w:type="dxa"/>
          </w:tblCellMar>
        </w:tblPrEx>
        <w:trPr>
          <w:trHeight w:val="6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完成结果（20分）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预算完成</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tblPrEx>
          <w:tblCellMar>
            <w:top w:w="0" w:type="dxa"/>
            <w:left w:w="0" w:type="dxa"/>
            <w:bottom w:w="0" w:type="dxa"/>
            <w:right w:w="0" w:type="dxa"/>
          </w:tblCellMar>
        </w:tblPrEx>
        <w:trPr>
          <w:trHeight w:val="6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违规记录</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tblPrEx>
          <w:tblCellMar>
            <w:top w:w="0" w:type="dxa"/>
            <w:left w:w="0" w:type="dxa"/>
            <w:bottom w:w="0" w:type="dxa"/>
            <w:right w:w="0" w:type="dxa"/>
          </w:tblCellMar>
        </w:tblPrEx>
        <w:trPr>
          <w:trHeight w:val="660"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绩效结果应用（20分）</w:t>
            </w:r>
          </w:p>
        </w:tc>
        <w:tc>
          <w:tcPr>
            <w:tcW w:w="18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自评质量（4分）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自评准确</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r>
      <w:tr>
        <w:tblPrEx>
          <w:tblCellMar>
            <w:top w:w="0" w:type="dxa"/>
            <w:left w:w="0" w:type="dxa"/>
            <w:bottom w:w="0" w:type="dxa"/>
            <w:right w:w="0" w:type="dxa"/>
          </w:tblCellMar>
        </w:tblPrEx>
        <w:trPr>
          <w:trHeight w:val="6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信息公开（8分）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目标公开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r>
      <w:tr>
        <w:tblPrEx>
          <w:tblCellMar>
            <w:top w:w="0" w:type="dxa"/>
            <w:left w:w="0" w:type="dxa"/>
            <w:bottom w:w="0" w:type="dxa"/>
            <w:right w:w="0" w:type="dxa"/>
          </w:tblCellMar>
        </w:tblPrEx>
        <w:trPr>
          <w:trHeight w:val="6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自评公开</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r>
      <w:tr>
        <w:tblPrEx>
          <w:tblCellMar>
            <w:top w:w="0" w:type="dxa"/>
            <w:left w:w="0" w:type="dxa"/>
            <w:bottom w:w="0" w:type="dxa"/>
            <w:right w:w="0" w:type="dxa"/>
          </w:tblCellMar>
        </w:tblPrEx>
        <w:trPr>
          <w:trHeight w:val="6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整改反映（8分）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结果整改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r>
      <w:tr>
        <w:tblPrEx>
          <w:tblCellMar>
            <w:top w:w="0" w:type="dxa"/>
            <w:left w:w="0" w:type="dxa"/>
            <w:bottom w:w="0" w:type="dxa"/>
            <w:right w:w="0" w:type="dxa"/>
          </w:tblCellMar>
        </w:tblPrEx>
        <w:trPr>
          <w:trHeight w:val="6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应用反馈</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r>
      <w:tr>
        <w:tblPrEx>
          <w:tblCellMar>
            <w:top w:w="0" w:type="dxa"/>
            <w:left w:w="0" w:type="dxa"/>
            <w:bottom w:w="0" w:type="dxa"/>
            <w:right w:w="0" w:type="dxa"/>
          </w:tblCellMar>
        </w:tblPrEx>
        <w:trPr>
          <w:trHeight w:val="800" w:hRule="atLeast"/>
        </w:trPr>
        <w:tc>
          <w:tcPr>
            <w:tcW w:w="95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注：若某部门不存在某项评价内容或评价指标，则该评价内容或评价指标不计入该部门考核评价范围，即该部门评价总分＝不含该评价内容或指标的评价总分/（100-该评价内容或指标所占分值）*100。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2.信息公开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（1）目标公开。根据部门预决算公开要求，绩效目标已经同时向社会公开。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（2）自评公开。按照2019年度决算公开要求，部门整体绩效自评情况与决算同时公开。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3.整改反馈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结果整改。根据评价指标体系测算，本单位部门整体支出绩效评价评价结果良好。针对评价报告中反应的问题，本部门认真开展自查自纠，不断加强学习，不断完善绩效评价指标体系，科学编制预算，严格预算执行，优化资源配置、控制节约成本、提高公共务服务质量和财政资金使用效益，充分发挥本单位的职能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（2）应用反馈。强化绩效评价结果的应用，将绩效评价结果作为项目预算编制的重要参考依据，并将评价结果反馈</w:t>
      </w:r>
      <w:r>
        <w:rPr>
          <w:rFonts w:hint="eastAsia" w:ascii="仿宋" w:hAnsi="仿宋" w:eastAsia="仿宋" w:cs="仿宋"/>
          <w:sz w:val="32"/>
          <w:szCs w:val="32"/>
          <w:lang w:val="en-US" w:eastAsia="zh-CN"/>
        </w:rPr>
        <w:t>相关股室</w:t>
      </w:r>
      <w:r>
        <w:rPr>
          <w:rFonts w:hint="eastAsia" w:ascii="仿宋" w:hAnsi="仿宋" w:eastAsia="仿宋" w:cs="仿宋"/>
          <w:sz w:val="32"/>
          <w:szCs w:val="32"/>
        </w:rPr>
        <w:t xml:space="preserve">，要求其根据评价结果改进项目管理。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、评价结论及建议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（一）评价结论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通过对2019年年初预算在6月末、9月末和12月末的执行进度进行自评和绩效分析，结论如下：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1.基本支出方面：</w:t>
      </w:r>
      <w:r>
        <w:rPr>
          <w:rFonts w:hint="eastAsia" w:ascii="仿宋" w:hAnsi="仿宋" w:eastAsia="仿宋" w:cs="仿宋"/>
          <w:sz w:val="32"/>
          <w:szCs w:val="32"/>
          <w:lang w:eastAsia="zh-CN"/>
        </w:rPr>
        <w:t>我局</w:t>
      </w:r>
      <w:r>
        <w:rPr>
          <w:rFonts w:hint="eastAsia" w:ascii="仿宋" w:hAnsi="仿宋" w:eastAsia="仿宋" w:cs="仿宋"/>
          <w:sz w:val="32"/>
          <w:szCs w:val="32"/>
        </w:rPr>
        <w:t>能按时间按进度完成各项支付，包含人员工资、</w:t>
      </w:r>
      <w:r>
        <w:rPr>
          <w:rFonts w:hint="eastAsia" w:ascii="仿宋" w:hAnsi="仿宋" w:eastAsia="仿宋" w:cs="仿宋"/>
          <w:sz w:val="32"/>
          <w:szCs w:val="32"/>
          <w:lang w:val="en-US" w:eastAsia="zh-CN"/>
        </w:rPr>
        <w:t>医疗</w:t>
      </w:r>
      <w:r>
        <w:rPr>
          <w:rFonts w:hint="eastAsia" w:ascii="仿宋" w:hAnsi="仿宋" w:eastAsia="仿宋" w:cs="仿宋"/>
          <w:sz w:val="32"/>
          <w:szCs w:val="32"/>
        </w:rPr>
        <w:t xml:space="preserve">保险等社保支出、住房公积金、办公费等，确保了我单位的基本运转。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2.项目支出方面：</w:t>
      </w:r>
      <w:r>
        <w:rPr>
          <w:rFonts w:hint="eastAsia" w:ascii="仿宋" w:hAnsi="仿宋" w:eastAsia="仿宋" w:cs="仿宋"/>
          <w:sz w:val="32"/>
          <w:szCs w:val="32"/>
          <w:lang w:eastAsia="zh-CN"/>
        </w:rPr>
        <w:t>我局</w:t>
      </w:r>
      <w:r>
        <w:rPr>
          <w:rFonts w:hint="eastAsia" w:ascii="仿宋" w:hAnsi="仿宋" w:eastAsia="仿宋" w:cs="仿宋"/>
          <w:sz w:val="32"/>
          <w:szCs w:val="32"/>
        </w:rPr>
        <w:t xml:space="preserve">能按照项目的使用范围和用途进行支出，但在上半年资金执行进度相对缓慢，下半年使用情况良好。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3.年中追加项目经费方面：均能按项目经费支出用途、范围及时使用。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综上，我单位2019年度财政资金收支符合财务管理制度，严格执行项目有关制度规定，目标完成情况良好，财政资金得到有效利用，达到了预期的目标。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（二）存在问题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财务人员票据审核不严</w:t>
      </w:r>
      <w:r>
        <w:rPr>
          <w:rFonts w:hint="eastAsia" w:ascii="仿宋" w:hAnsi="仿宋" w:eastAsia="仿宋" w:cs="仿宋"/>
          <w:sz w:val="32"/>
          <w:szCs w:val="32"/>
          <w:lang w:val="en-US" w:eastAsia="zh-CN"/>
        </w:rPr>
        <w:t>；</w:t>
      </w:r>
      <w:r>
        <w:rPr>
          <w:rFonts w:hint="eastAsia" w:ascii="仿宋" w:hAnsi="仿宋" w:eastAsia="仿宋" w:cs="仿宋"/>
          <w:sz w:val="32"/>
          <w:szCs w:val="32"/>
        </w:rPr>
        <w:t>绩效管理工作有待加强等问题。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）改进建议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在今后的工作中,</w:t>
      </w:r>
      <w:r>
        <w:rPr>
          <w:rFonts w:hint="eastAsia" w:ascii="仿宋" w:hAnsi="仿宋" w:eastAsia="仿宋" w:cs="仿宋"/>
          <w:sz w:val="32"/>
          <w:szCs w:val="32"/>
          <w:lang w:eastAsia="zh-CN"/>
        </w:rPr>
        <w:t>我局</w:t>
      </w:r>
      <w:r>
        <w:rPr>
          <w:rFonts w:hint="eastAsia" w:ascii="仿宋" w:hAnsi="仿宋" w:eastAsia="仿宋" w:cs="仿宋"/>
          <w:sz w:val="32"/>
          <w:szCs w:val="32"/>
          <w:lang w:val="en-US" w:eastAsia="zh-CN"/>
        </w:rPr>
        <w:t>将</w:t>
      </w:r>
      <w:r>
        <w:rPr>
          <w:rFonts w:hint="eastAsia" w:ascii="仿宋" w:hAnsi="仿宋" w:eastAsia="仿宋" w:cs="仿宋"/>
          <w:sz w:val="32"/>
          <w:szCs w:val="32"/>
        </w:rPr>
        <w:t>加强财务人员财务知识学习和培训，提高业务能力；严格票据审核，控制经费支出。加强预算绩效管理，增强预算约束力，做好预算项目支出绩效目标及各项绩效指标的细化、量化工作</w:t>
      </w:r>
      <w:r>
        <w:rPr>
          <w:rFonts w:hint="eastAsia" w:ascii="仿宋" w:hAnsi="仿宋" w:eastAsia="仿宋" w:cs="仿宋"/>
          <w:sz w:val="32"/>
          <w:szCs w:val="32"/>
          <w:lang w:eastAsia="zh-CN"/>
        </w:rPr>
        <w:t>，</w:t>
      </w:r>
      <w:r>
        <w:rPr>
          <w:rFonts w:hint="eastAsia" w:ascii="仿宋" w:hAnsi="仿宋" w:eastAsia="仿宋" w:cs="仿宋"/>
          <w:sz w:val="32"/>
          <w:szCs w:val="32"/>
        </w:rPr>
        <w:t>用好用活各类财政资金，提高财政资金的使用效益。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216" w:firstLineChars="163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216" w:firstLineChars="1630"/>
        <w:textAlignment w:val="auto"/>
        <w:rPr>
          <w:rFonts w:hint="default" w:ascii="仿宋" w:hAnsi="仿宋" w:eastAsia="仿宋" w:cs="仿宋"/>
          <w:sz w:val="32"/>
          <w:szCs w:val="32"/>
          <w:lang w:val="en-US" w:eastAsia="zh-CN"/>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292"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E169E"/>
    <w:rsid w:val="020714C1"/>
    <w:rsid w:val="03D02478"/>
    <w:rsid w:val="053005EE"/>
    <w:rsid w:val="06437A12"/>
    <w:rsid w:val="07D22C57"/>
    <w:rsid w:val="10C055FF"/>
    <w:rsid w:val="11321CFF"/>
    <w:rsid w:val="125A7684"/>
    <w:rsid w:val="134752A6"/>
    <w:rsid w:val="16BB723D"/>
    <w:rsid w:val="198A16B4"/>
    <w:rsid w:val="207F3DE2"/>
    <w:rsid w:val="21DB71FA"/>
    <w:rsid w:val="240371BF"/>
    <w:rsid w:val="244E3254"/>
    <w:rsid w:val="252640A8"/>
    <w:rsid w:val="2550021C"/>
    <w:rsid w:val="272C5168"/>
    <w:rsid w:val="278D1B78"/>
    <w:rsid w:val="29177763"/>
    <w:rsid w:val="29FD04D3"/>
    <w:rsid w:val="2A570AE1"/>
    <w:rsid w:val="2B255C8E"/>
    <w:rsid w:val="2B4504B8"/>
    <w:rsid w:val="2EAD3145"/>
    <w:rsid w:val="319F7F4E"/>
    <w:rsid w:val="31BD0949"/>
    <w:rsid w:val="35A43D82"/>
    <w:rsid w:val="372514CD"/>
    <w:rsid w:val="37556750"/>
    <w:rsid w:val="3AD50BB0"/>
    <w:rsid w:val="3CF16EB2"/>
    <w:rsid w:val="3DD50B65"/>
    <w:rsid w:val="407975E5"/>
    <w:rsid w:val="43176A0F"/>
    <w:rsid w:val="444070E4"/>
    <w:rsid w:val="456C5711"/>
    <w:rsid w:val="472A0557"/>
    <w:rsid w:val="4E3E75A2"/>
    <w:rsid w:val="4ECE2238"/>
    <w:rsid w:val="4F257FDB"/>
    <w:rsid w:val="4F9149BC"/>
    <w:rsid w:val="503F5496"/>
    <w:rsid w:val="531356F0"/>
    <w:rsid w:val="55715A5F"/>
    <w:rsid w:val="565E6501"/>
    <w:rsid w:val="571871CB"/>
    <w:rsid w:val="57462A7E"/>
    <w:rsid w:val="574B7827"/>
    <w:rsid w:val="57517339"/>
    <w:rsid w:val="5A2A50C2"/>
    <w:rsid w:val="5A792396"/>
    <w:rsid w:val="5AD81351"/>
    <w:rsid w:val="5C703E24"/>
    <w:rsid w:val="5CF374C8"/>
    <w:rsid w:val="5DDC2227"/>
    <w:rsid w:val="5E87599E"/>
    <w:rsid w:val="607F457C"/>
    <w:rsid w:val="61AD422E"/>
    <w:rsid w:val="61D47F48"/>
    <w:rsid w:val="622D2B89"/>
    <w:rsid w:val="62541C30"/>
    <w:rsid w:val="67E73C37"/>
    <w:rsid w:val="688F65D1"/>
    <w:rsid w:val="6A327DC6"/>
    <w:rsid w:val="6B7D70FA"/>
    <w:rsid w:val="6C5E18C0"/>
    <w:rsid w:val="6CA017B2"/>
    <w:rsid w:val="6CAA61B3"/>
    <w:rsid w:val="6CC253FC"/>
    <w:rsid w:val="6FDD26CC"/>
    <w:rsid w:val="70667A50"/>
    <w:rsid w:val="708F1C17"/>
    <w:rsid w:val="72734D90"/>
    <w:rsid w:val="729D1481"/>
    <w:rsid w:val="72E423FA"/>
    <w:rsid w:val="771D30EB"/>
    <w:rsid w:val="775822DA"/>
    <w:rsid w:val="77A878A1"/>
    <w:rsid w:val="77CD0192"/>
    <w:rsid w:val="7E6C791E"/>
    <w:rsid w:val="7ED53124"/>
    <w:rsid w:val="7FA6086A"/>
    <w:rsid w:val="7FE26B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01"/>
    <w:basedOn w:val="14"/>
    <w:qFormat/>
    <w:uiPriority w:val="0"/>
    <w:rPr>
      <w:rFonts w:ascii="Arial" w:hAnsi="Arial" w:cs="Arial"/>
      <w:color w:val="000000"/>
      <w:sz w:val="18"/>
      <w:szCs w:val="18"/>
      <w:u w:val="none"/>
    </w:rPr>
  </w:style>
  <w:style w:type="character" w:customStyle="1" w:styleId="32">
    <w:name w:val="font1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1.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a:t>收、支决算总计变动情况图</a:t>
            </a:r>
            <a:endParaRPr sz="1200"/>
          </a:p>
        </c:rich>
      </c:tx>
      <c:layout>
        <c:manualLayout>
          <c:xMode val="edge"/>
          <c:yMode val="edge"/>
          <c:x val="0.33178100863244"/>
          <c:y val="0.0263215617459969"/>
        </c:manualLayout>
      </c:layout>
      <c:overlay val="0"/>
      <c:spPr>
        <a:noFill/>
        <a:ln>
          <a:noFill/>
        </a:ln>
        <a:effectLst/>
      </c:spPr>
    </c:title>
    <c:autoTitleDeleted val="0"/>
    <c:plotArea>
      <c:layout>
        <c:manualLayout>
          <c:layoutTarget val="inner"/>
          <c:xMode val="edge"/>
          <c:yMode val="edge"/>
          <c:x val="0.0873937333009473"/>
          <c:y val="0.113565326109606"/>
          <c:w val="0.884794753461258"/>
          <c:h val="0.753365284434257"/>
        </c:manualLayout>
      </c:layout>
      <c:barChart>
        <c:barDir val="col"/>
        <c:grouping val="clustered"/>
        <c:varyColors val="0"/>
        <c:ser>
          <c:idx val="0"/>
          <c:order val="0"/>
          <c:tx>
            <c:strRef>
              <c:f>'[新建 XLS 工作表.xls]Sheet1'!$A$3</c:f>
              <c:strCache>
                <c:ptCount val="1"/>
                <c:pt idx="0">
                  <c:v>收入</c:v>
                </c:pt>
              </c:strCache>
            </c:strRef>
          </c:tx>
          <c:spPr>
            <a:solidFill>
              <a:schemeClr val="accent1"/>
            </a:solidFill>
            <a:ln>
              <a:noFill/>
            </a:ln>
            <a:effectLst/>
          </c:spPr>
          <c:invertIfNegative val="0"/>
          <c:dPt>
            <c:idx val="0"/>
            <c:invertIfNegative val="0"/>
            <c:bubble3D val="0"/>
            <c:spPr>
              <a:solidFill>
                <a:schemeClr val="accent5"/>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工作表.xls]Sheet1'!$B$1:$C$2</c:f>
              <c:multiLvlStrCache>
                <c:ptCount val="2"/>
                <c:lvl>
                  <c:pt idx="0">
                    <c:v>2018年</c:v>
                  </c:pt>
                  <c:pt idx="1">
                    <c:v>2019年</c:v>
                  </c:pt>
                </c:lvl>
                <c:lvl/>
              </c:multiLvlStrCache>
            </c:multiLvlStrRef>
          </c:cat>
          <c:val>
            <c:numRef>
              <c:f>'[新建 XLS 工作表.xls]Sheet1'!$B$3:$C$3</c:f>
              <c:numCache>
                <c:formatCode>General</c:formatCode>
                <c:ptCount val="2"/>
                <c:pt idx="0">
                  <c:v>6082.14</c:v>
                </c:pt>
                <c:pt idx="1">
                  <c:v>8215.01</c:v>
                </c:pt>
              </c:numCache>
            </c:numRef>
          </c:val>
        </c:ser>
        <c:ser>
          <c:idx val="1"/>
          <c:order val="1"/>
          <c:tx>
            <c:strRef>
              <c:f>'[新建 XLS 工作表.xls]Sheet1'!$A$4</c:f>
              <c:strCache>
                <c:ptCount val="1"/>
                <c:pt idx="0">
                  <c:v>支出</c:v>
                </c:pt>
              </c:strCache>
            </c:strRef>
          </c:tx>
          <c:spPr>
            <a:solidFill>
              <a:srgbClr val="C00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工作表.xls]Sheet1'!$B$1:$C$2</c:f>
              <c:multiLvlStrCache>
                <c:ptCount val="2"/>
                <c:lvl>
                  <c:pt idx="0">
                    <c:v>2018年</c:v>
                  </c:pt>
                  <c:pt idx="1">
                    <c:v>2019年</c:v>
                  </c:pt>
                </c:lvl>
                <c:lvl/>
              </c:multiLvlStrCache>
            </c:multiLvlStrRef>
          </c:cat>
          <c:val>
            <c:numRef>
              <c:f>'[新建 XLS 工作表.xls]Sheet1'!$B$4:$C$4</c:f>
              <c:numCache>
                <c:formatCode>General</c:formatCode>
                <c:ptCount val="2"/>
                <c:pt idx="0">
                  <c:v>6082.14</c:v>
                </c:pt>
                <c:pt idx="1">
                  <c:v>8215.01</c:v>
                </c:pt>
              </c:numCache>
            </c:numRef>
          </c:val>
        </c:ser>
        <c:dLbls>
          <c:showLegendKey val="0"/>
          <c:showVal val="1"/>
          <c:showCatName val="0"/>
          <c:showSerName val="0"/>
          <c:showPercent val="0"/>
          <c:showBubbleSize val="0"/>
        </c:dLbls>
        <c:gapWidth val="219"/>
        <c:overlap val="-27"/>
        <c:axId val="148144288"/>
        <c:axId val="528317559"/>
      </c:barChart>
      <c:catAx>
        <c:axId val="14814428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4300461501093"/>
              <c:y val="0.0350072931860804"/>
            </c:manualLayout>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317559"/>
        <c:crosses val="autoZero"/>
        <c:auto val="1"/>
        <c:lblAlgn val="ctr"/>
        <c:lblOffset val="100"/>
        <c:noMultiLvlLbl val="0"/>
      </c:catAx>
      <c:valAx>
        <c:axId val="528317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144288"/>
        <c:crosses val="autoZero"/>
        <c:crossBetween val="between"/>
      </c:valAx>
      <c:spPr>
        <a:noFill/>
        <a:ln>
          <a:noFill/>
        </a:ln>
        <a:effectLst/>
      </c:spPr>
    </c:plotArea>
    <c:legend>
      <c:legendPos val="b"/>
      <c:layout>
        <c:manualLayout>
          <c:xMode val="edge"/>
          <c:yMode val="edge"/>
          <c:x val="0.433325236822929"/>
          <c:y val="0.910606376328402"/>
          <c:w val="0.151688122419237"/>
          <c:h val="0.080016670139612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6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1200"/>
              <a:t>收入决算结构图</a:t>
            </a:r>
            <a:endParaRPr sz="1200"/>
          </a:p>
        </c:rich>
      </c:tx>
      <c:layout>
        <c:manualLayout>
          <c:xMode val="edge"/>
          <c:yMode val="edge"/>
          <c:x val="0.36990138951143"/>
          <c:y val="0.0287769784172662"/>
        </c:manualLayout>
      </c:layout>
      <c:overlay val="0"/>
      <c:spPr>
        <a:noFill/>
        <a:ln>
          <a:noFill/>
        </a:ln>
        <a:effectLst/>
      </c:spPr>
    </c:title>
    <c:autoTitleDeleted val="0"/>
    <c:plotArea>
      <c:layout>
        <c:manualLayout>
          <c:layoutTarget val="inner"/>
          <c:xMode val="edge"/>
          <c:yMode val="edge"/>
          <c:x val="0.26465889612255"/>
          <c:y val="0.211675094816688"/>
          <c:w val="0.400959024181846"/>
          <c:h val="0.669068338249754"/>
        </c:manualLayout>
      </c:layout>
      <c:pieChart>
        <c:varyColors val="1"/>
        <c:ser>
          <c:idx val="0"/>
          <c:order val="0"/>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0070C0"/>
              </a:solidFill>
              <a:ln w="19050" cap="rnd" cmpd="sng">
                <a:solidFill>
                  <a:schemeClr val="tx1">
                    <a:lumMod val="65000"/>
                    <a:lumOff val="35000"/>
                  </a:schemeClr>
                </a:solidFill>
                <a:prstDash val="solid"/>
                <a:round/>
              </a:ln>
              <a:effectLst/>
            </c:spPr>
          </c:dPt>
          <c:dPt>
            <c:idx val="1"/>
            <c:bubble3D val="0"/>
            <c:spPr>
              <a:solidFill>
                <a:srgbClr val="00CCD5"/>
              </a:solidFill>
              <a:ln w="19050" cap="rnd" cmpd="sng">
                <a:solidFill>
                  <a:schemeClr val="tx1">
                    <a:lumMod val="65000"/>
                    <a:lumOff val="35000"/>
                  </a:schemeClr>
                </a:solidFill>
                <a:prstDash val="solid"/>
                <a:round/>
              </a:ln>
              <a:effectLst/>
            </c:spPr>
          </c:dPt>
          <c:dPt>
            <c:idx val="2"/>
            <c:bubble3D val="0"/>
            <c:spPr>
              <a:pattFill prst="wdUpDiag">
                <a:fgClr>
                  <a:srgbClr val="B1A4FF"/>
                </a:fgClr>
                <a:bgClr>
                  <a:schemeClr val="bg1"/>
                </a:bgClr>
              </a:pattFill>
              <a:ln w="19050" cap="rnd" cmpd="sng">
                <a:solidFill>
                  <a:schemeClr val="tx1">
                    <a:lumMod val="65000"/>
                    <a:lumOff val="35000"/>
                  </a:schemeClr>
                </a:solidFill>
                <a:prstDash val="solid"/>
                <a:round/>
              </a:ln>
              <a:effectLst/>
            </c:spPr>
          </c:dPt>
          <c:dPt>
            <c:idx val="3"/>
            <c:bubble3D val="0"/>
            <c:spPr>
              <a:solidFill>
                <a:srgbClr val="1E2223"/>
              </a:solidFill>
              <a:ln w="19050" cap="rnd" cmpd="sng">
                <a:solidFill>
                  <a:schemeClr val="tx1">
                    <a:lumMod val="65000"/>
                    <a:lumOff val="35000"/>
                  </a:schemeClr>
                </a:solidFill>
                <a:prstDash val="solid"/>
                <a:round/>
              </a:ln>
              <a:effectLst/>
            </c:spPr>
          </c:dPt>
          <c:dPt>
            <c:idx val="4"/>
            <c:bubble3D val="0"/>
            <c:spPr>
              <a:solidFill>
                <a:srgbClr val="1E2223"/>
              </a:solidFill>
              <a:ln w="19050" cap="rnd" cmpd="sng">
                <a:solidFill>
                  <a:schemeClr val="tx1">
                    <a:lumMod val="65000"/>
                    <a:lumOff val="35000"/>
                  </a:schemeClr>
                </a:solidFill>
                <a:prstDash val="solid"/>
                <a:round/>
              </a:ln>
              <a:effectLst/>
            </c:spPr>
          </c:dPt>
          <c:dPt>
            <c:idx val="5"/>
            <c:bubble3D val="0"/>
            <c:spPr>
              <a:solidFill>
                <a:srgbClr val="1E2223"/>
              </a:solidFill>
              <a:ln w="19050" cap="rnd" cmpd="sng">
                <a:solidFill>
                  <a:schemeClr val="tx1">
                    <a:lumMod val="65000"/>
                    <a:lumOff val="35000"/>
                  </a:schemeClr>
                </a:solidFill>
                <a:prstDash val="solid"/>
                <a:round/>
              </a:ln>
              <a:effectLst/>
            </c:spPr>
          </c:dPt>
          <c:dPt>
            <c:idx val="6"/>
            <c:bubble3D val="0"/>
            <c:spPr>
              <a:solidFill>
                <a:srgbClr val="1E2223"/>
              </a:solidFill>
              <a:ln w="19050" cap="rnd" cmpd="sng">
                <a:solidFill>
                  <a:schemeClr val="tx1">
                    <a:lumMod val="65000"/>
                    <a:lumOff val="35000"/>
                  </a:schemeClr>
                </a:solidFill>
                <a:prstDash val="solid"/>
                <a:round/>
              </a:ln>
              <a:effectLst/>
            </c:spPr>
          </c:dPt>
          <c:dLbls>
            <c:dLbl>
              <c:idx val="0"/>
              <c:layout>
                <c:manualLayout>
                  <c:x val="0.0974892150665781"/>
                  <c:y val="-0.0251798561151079"/>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32227700582698"/>
                      <c:h val="0.12997601918465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工作表.xls]Sheet1'!$A$48:$A$54</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'[新建 XLS 工作表.xls]Sheet1'!$B$48:$B$54</c:f>
              <c:numCache>
                <c:formatCode>General</c:formatCode>
                <c:ptCount val="7"/>
                <c:pt idx="0">
                  <c:v>8215.01</c:v>
                </c:pt>
                <c:pt idx="1">
                  <c:v>0</c:v>
                </c:pt>
                <c:pt idx="2">
                  <c:v>0</c:v>
                </c:pt>
                <c:pt idx="3">
                  <c:v>0</c:v>
                </c:pt>
                <c:pt idx="4">
                  <c:v>0</c:v>
                </c:pt>
                <c:pt idx="5">
                  <c:v>0</c:v>
                </c:pt>
                <c:pt idx="6">
                  <c:v>0</c:v>
                </c:pt>
              </c:numCache>
            </c:numRef>
          </c:val>
        </c:ser>
        <c:ser>
          <c:idx val="1"/>
          <c:order val="1"/>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FFD588"/>
              </a:solidFill>
              <a:ln w="19050" cap="rnd" cmpd="sng">
                <a:solidFill>
                  <a:schemeClr val="tx1">
                    <a:lumMod val="65000"/>
                    <a:lumOff val="35000"/>
                  </a:schemeClr>
                </a:solidFill>
                <a:prstDash val="solid"/>
                <a:round/>
              </a:ln>
              <a:effectLst/>
            </c:spPr>
          </c:dPt>
          <c:dPt>
            <c:idx val="1"/>
            <c:bubble3D val="0"/>
            <c:spPr>
              <a:solidFill>
                <a:srgbClr val="00CCD5"/>
              </a:solidFill>
              <a:ln w="19050" cap="rnd" cmpd="sng">
                <a:solidFill>
                  <a:schemeClr val="tx1">
                    <a:lumMod val="65000"/>
                    <a:lumOff val="35000"/>
                  </a:schemeClr>
                </a:solidFill>
                <a:prstDash val="solid"/>
                <a:round/>
              </a:ln>
              <a:effectLst/>
            </c:spPr>
          </c:dPt>
          <c:dPt>
            <c:idx val="2"/>
            <c:bubble3D val="0"/>
            <c:spPr>
              <a:pattFill prst="wdUpDiag">
                <a:fgClr>
                  <a:srgbClr val="B1A4FF"/>
                </a:fgClr>
                <a:bgClr>
                  <a:schemeClr val="bg1"/>
                </a:bgClr>
              </a:pattFill>
              <a:ln w="19050" cap="rnd" cmpd="sng">
                <a:solidFill>
                  <a:schemeClr val="tx1">
                    <a:lumMod val="65000"/>
                    <a:lumOff val="35000"/>
                  </a:schemeClr>
                </a:solidFill>
                <a:prstDash val="solid"/>
                <a:round/>
              </a:ln>
              <a:effectLst/>
            </c:spPr>
          </c:dPt>
          <c:dPt>
            <c:idx val="3"/>
            <c:bubble3D val="0"/>
            <c:spPr>
              <a:solidFill>
                <a:srgbClr val="1E2223"/>
              </a:solidFill>
              <a:ln w="19050" cap="rnd" cmpd="sng">
                <a:solidFill>
                  <a:schemeClr val="tx1">
                    <a:lumMod val="65000"/>
                    <a:lumOff val="35000"/>
                  </a:schemeClr>
                </a:solidFill>
                <a:prstDash val="solid"/>
                <a:round/>
              </a:ln>
              <a:effectLst/>
            </c:spPr>
          </c:dPt>
          <c:dPt>
            <c:idx val="4"/>
            <c:bubble3D val="0"/>
            <c:spPr>
              <a:solidFill>
                <a:srgbClr val="1E2223"/>
              </a:solidFill>
              <a:ln w="19050" cap="rnd" cmpd="sng">
                <a:solidFill>
                  <a:schemeClr val="tx1">
                    <a:lumMod val="65000"/>
                    <a:lumOff val="35000"/>
                  </a:schemeClr>
                </a:solidFill>
                <a:prstDash val="solid"/>
                <a:round/>
              </a:ln>
              <a:effectLst/>
            </c:spPr>
          </c:dPt>
          <c:dPt>
            <c:idx val="5"/>
            <c:bubble3D val="0"/>
            <c:spPr>
              <a:solidFill>
                <a:srgbClr val="1E2223"/>
              </a:solidFill>
              <a:ln w="19050" cap="rnd" cmpd="sng">
                <a:solidFill>
                  <a:schemeClr val="tx1">
                    <a:lumMod val="65000"/>
                    <a:lumOff val="35000"/>
                  </a:schemeClr>
                </a:solidFill>
                <a:prstDash val="solid"/>
                <a:round/>
              </a:ln>
              <a:effectLst/>
            </c:spPr>
          </c:dPt>
          <c:dPt>
            <c:idx val="6"/>
            <c:bubble3D val="0"/>
            <c:spPr>
              <a:solidFill>
                <a:srgbClr val="1E2223"/>
              </a:solidFill>
              <a:ln w="19050" cap="rnd" cmpd="sng">
                <a:solidFill>
                  <a:schemeClr val="tx1">
                    <a:lumMod val="65000"/>
                    <a:lumOff val="35000"/>
                  </a:schemeClr>
                </a:solidFill>
                <a:prstDash val="solid"/>
                <a:round/>
              </a:ln>
              <a:effectLst/>
            </c:spPr>
          </c:dPt>
          <c:dLbls>
            <c:delete val="1"/>
          </c:dLbls>
          <c:cat>
            <c:strRef>
              <c:f>'[新建 XLS 工作表.xls]Sheet1'!$A$48:$A$54</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'[新建 XLS 工作表.xls]Sheet1'!$C$48:$C$54</c:f>
              <c:numCache>
                <c:formatCode>0%</c:formatCode>
                <c:ptCount val="7"/>
                <c:pt idx="0">
                  <c:v>1</c:v>
                </c:pt>
                <c:pt idx="1">
                  <c:v>0</c:v>
                </c:pt>
                <c:pt idx="2">
                  <c:v>0</c:v>
                </c:pt>
                <c:pt idx="3">
                  <c:v>0</c:v>
                </c:pt>
                <c:pt idx="4">
                  <c:v>0</c:v>
                </c:pt>
                <c:pt idx="5">
                  <c:v>0</c:v>
                </c:pt>
                <c:pt idx="6">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72845696996862"/>
          <c:y val="0.138552491340261"/>
          <c:w val="0.31875"/>
          <c:h val="0.638425925925926"/>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noFill/>
    <a:ln w="9525" cap="flat" cmpd="sng" algn="ctr">
      <a:solidFill>
        <a:srgbClr val="E7E6E6"/>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支出决算结构图</a:t>
            </a:r>
            <a:endParaRPr sz="12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rgbClr val="C00000"/>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工作表.xls]Sheet1'!$A$99:$A$103</c:f>
              <c:strCache>
                <c:ptCount val="5"/>
                <c:pt idx="0">
                  <c:v>基本支出</c:v>
                </c:pt>
                <c:pt idx="1">
                  <c:v>项目支出</c:v>
                </c:pt>
                <c:pt idx="2">
                  <c:v>上缴上级支出</c:v>
                </c:pt>
                <c:pt idx="3">
                  <c:v>经营支出</c:v>
                </c:pt>
                <c:pt idx="4">
                  <c:v>对附属单位补助支出</c:v>
                </c:pt>
              </c:strCache>
            </c:strRef>
          </c:cat>
          <c:val>
            <c:numRef>
              <c:f>'[新建 XLS 工作表.xls]Sheet1'!$B$99:$B$103</c:f>
              <c:numCache>
                <c:formatCode>General</c:formatCode>
                <c:ptCount val="5"/>
                <c:pt idx="0">
                  <c:v>522.36</c:v>
                </c:pt>
                <c:pt idx="1">
                  <c:v>7692.65</c:v>
                </c:pt>
                <c:pt idx="2">
                  <c:v>0</c:v>
                </c:pt>
                <c:pt idx="3">
                  <c:v>0</c:v>
                </c:pt>
                <c:pt idx="4">
                  <c:v>0</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工作表.xls]Sheet1'!$A$99:$A$103</c:f>
              <c:strCache>
                <c:ptCount val="5"/>
                <c:pt idx="0">
                  <c:v>基本支出</c:v>
                </c:pt>
                <c:pt idx="1">
                  <c:v>项目支出</c:v>
                </c:pt>
                <c:pt idx="2">
                  <c:v>上缴上级支出</c:v>
                </c:pt>
                <c:pt idx="3">
                  <c:v>经营支出</c:v>
                </c:pt>
                <c:pt idx="4">
                  <c:v>对附属单位补助支出</c:v>
                </c:pt>
              </c:strCache>
            </c:strRef>
          </c:cat>
          <c:val>
            <c:numRef>
              <c:f>'[新建 XLS 工作表.xls]Sheet1'!$C$99:$C$103</c:f>
              <c:numCache>
                <c:formatCode>0.00%</c:formatCode>
                <c:ptCount val="5"/>
                <c:pt idx="0">
                  <c:v>0.0636</c:v>
                </c:pt>
                <c:pt idx="1">
                  <c:v>0.9364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99305555555556"/>
          <c:y val="0.153935185185185"/>
          <c:w val="0.296527777777778"/>
          <c:h val="0.656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a:t>收、支决算总计变动情况图</a:t>
            </a:r>
            <a:endParaRPr sz="1200"/>
          </a:p>
        </c:rich>
      </c:tx>
      <c:layout>
        <c:manualLayout>
          <c:xMode val="edge"/>
          <c:yMode val="edge"/>
          <c:x val="0.33178100863244"/>
          <c:y val="0.0263215617459969"/>
        </c:manualLayout>
      </c:layout>
      <c:overlay val="0"/>
      <c:spPr>
        <a:noFill/>
        <a:ln>
          <a:noFill/>
        </a:ln>
        <a:effectLst/>
      </c:spPr>
    </c:title>
    <c:autoTitleDeleted val="0"/>
    <c:plotArea>
      <c:layout>
        <c:manualLayout>
          <c:layoutTarget val="inner"/>
          <c:xMode val="edge"/>
          <c:yMode val="edge"/>
          <c:x val="0.0873937333009473"/>
          <c:y val="0.113565326109606"/>
          <c:w val="0.884794753461258"/>
          <c:h val="0.753365284434257"/>
        </c:manualLayout>
      </c:layout>
      <c:barChart>
        <c:barDir val="col"/>
        <c:grouping val="clustered"/>
        <c:varyColors val="0"/>
        <c:ser>
          <c:idx val="0"/>
          <c:order val="0"/>
          <c:tx>
            <c:strRef>
              <c:f>'[新建 XLS 工作表.xls]Sheet1'!$A$3</c:f>
              <c:strCache>
                <c:ptCount val="1"/>
                <c:pt idx="0">
                  <c:v>收入</c:v>
                </c:pt>
              </c:strCache>
            </c:strRef>
          </c:tx>
          <c:spPr>
            <a:solidFill>
              <a:schemeClr val="accent1"/>
            </a:solidFill>
            <a:ln>
              <a:noFill/>
            </a:ln>
            <a:effectLst/>
          </c:spPr>
          <c:invertIfNegative val="0"/>
          <c:dPt>
            <c:idx val="0"/>
            <c:invertIfNegative val="0"/>
            <c:bubble3D val="0"/>
            <c:spPr>
              <a:solidFill>
                <a:schemeClr val="accent5"/>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工作表.xls]Sheet1'!$B$1:$C$2</c:f>
              <c:multiLvlStrCache>
                <c:ptCount val="2"/>
                <c:lvl>
                  <c:pt idx="0">
                    <c:v>2018年</c:v>
                  </c:pt>
                  <c:pt idx="1">
                    <c:v>2019年</c:v>
                  </c:pt>
                </c:lvl>
                <c:lvl/>
              </c:multiLvlStrCache>
            </c:multiLvlStrRef>
          </c:cat>
          <c:val>
            <c:numRef>
              <c:f>'[新建 XLS 工作表.xls]Sheet1'!$B$3:$C$3</c:f>
              <c:numCache>
                <c:formatCode>General</c:formatCode>
                <c:ptCount val="2"/>
                <c:pt idx="0">
                  <c:v>6082.14</c:v>
                </c:pt>
                <c:pt idx="1">
                  <c:v>8215.01</c:v>
                </c:pt>
              </c:numCache>
            </c:numRef>
          </c:val>
        </c:ser>
        <c:ser>
          <c:idx val="1"/>
          <c:order val="1"/>
          <c:tx>
            <c:strRef>
              <c:f>'[新建 XLS 工作表.xls]Sheet1'!$A$4</c:f>
              <c:strCache>
                <c:ptCount val="1"/>
                <c:pt idx="0">
                  <c:v>支出</c:v>
                </c:pt>
              </c:strCache>
            </c:strRef>
          </c:tx>
          <c:spPr>
            <a:solidFill>
              <a:srgbClr val="C00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工作表.xls]Sheet1'!$B$1:$C$2</c:f>
              <c:multiLvlStrCache>
                <c:ptCount val="2"/>
                <c:lvl>
                  <c:pt idx="0">
                    <c:v>2018年</c:v>
                  </c:pt>
                  <c:pt idx="1">
                    <c:v>2019年</c:v>
                  </c:pt>
                </c:lvl>
                <c:lvl/>
              </c:multiLvlStrCache>
            </c:multiLvlStrRef>
          </c:cat>
          <c:val>
            <c:numRef>
              <c:f>'[新建 XLS 工作表.xls]Sheet1'!$B$4:$C$4</c:f>
              <c:numCache>
                <c:formatCode>General</c:formatCode>
                <c:ptCount val="2"/>
                <c:pt idx="0">
                  <c:v>6082.14</c:v>
                </c:pt>
                <c:pt idx="1">
                  <c:v>8215.01</c:v>
                </c:pt>
              </c:numCache>
            </c:numRef>
          </c:val>
        </c:ser>
        <c:dLbls>
          <c:showLegendKey val="0"/>
          <c:showVal val="1"/>
          <c:showCatName val="0"/>
          <c:showSerName val="0"/>
          <c:showPercent val="0"/>
          <c:showBubbleSize val="0"/>
        </c:dLbls>
        <c:gapWidth val="219"/>
        <c:overlap val="-27"/>
        <c:axId val="148144288"/>
        <c:axId val="528317559"/>
      </c:barChart>
      <c:catAx>
        <c:axId val="14814428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4300461501093"/>
              <c:y val="0.0350072931860804"/>
            </c:manualLayout>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317559"/>
        <c:crosses val="autoZero"/>
        <c:auto val="1"/>
        <c:lblAlgn val="ctr"/>
        <c:lblOffset val="100"/>
        <c:noMultiLvlLbl val="0"/>
      </c:catAx>
      <c:valAx>
        <c:axId val="528317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8144288"/>
        <c:crosses val="autoZero"/>
        <c:crossBetween val="between"/>
      </c:valAx>
      <c:spPr>
        <a:noFill/>
        <a:ln>
          <a:noFill/>
        </a:ln>
        <a:effectLst/>
      </c:spPr>
    </c:plotArea>
    <c:legend>
      <c:legendPos val="b"/>
      <c:layout>
        <c:manualLayout>
          <c:xMode val="edge"/>
          <c:yMode val="edge"/>
          <c:x val="0.433325236822929"/>
          <c:y val="0.910606376328402"/>
          <c:w val="0.151688122419237"/>
          <c:h val="0.080016670139612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一般公共预算财政拨款支出决算变动情况</a:t>
            </a:r>
            <a:endParaRPr sz="1200"/>
          </a:p>
        </c:rich>
      </c:tx>
      <c:layout/>
      <c:overlay val="0"/>
      <c:spPr>
        <a:noFill/>
        <a:ln>
          <a:noFill/>
        </a:ln>
        <a:effectLst/>
      </c:spPr>
    </c:title>
    <c:autoTitleDeleted val="0"/>
    <c:plotArea>
      <c:layout>
        <c:manualLayout>
          <c:layoutTarget val="inner"/>
          <c:xMode val="edge"/>
          <c:yMode val="edge"/>
          <c:x val="0.106888888888889"/>
          <c:y val="0.169444444444444"/>
          <c:w val="0.882"/>
          <c:h val="0.711666666666667"/>
        </c:manualLayout>
      </c:layout>
      <c:barChart>
        <c:barDir val="col"/>
        <c:grouping val="stacked"/>
        <c:varyColors val="0"/>
        <c:ser>
          <c:idx val="0"/>
          <c:order val="0"/>
          <c:tx>
            <c:strRef>
              <c:f>'[新建 XLS 工作表.xls]Sheet1'!$A$79</c:f>
              <c:strCache>
                <c:ptCount val="1"/>
                <c:pt idx="0">
                  <c:v>支出</c:v>
                </c:pt>
              </c:strCache>
            </c:strRef>
          </c:tx>
          <c:spPr>
            <a:solidFill>
              <a:schemeClr val="accent1"/>
            </a:solidFill>
            <a:ln>
              <a:noFill/>
            </a:ln>
            <a:effectLst/>
          </c:spPr>
          <c:invertIfNegative val="0"/>
          <c:dPt>
            <c:idx val="1"/>
            <c:invertIfNegative val="0"/>
            <c:bubble3D val="0"/>
            <c:spPr>
              <a:solidFill>
                <a:schemeClr val="accent6"/>
              </a:solidFill>
              <a:ln>
                <a:noFill/>
              </a:ln>
              <a:effectLst/>
            </c:spPr>
          </c:dPt>
          <c:dLbls>
            <c:dLbl>
              <c:idx val="0"/>
              <c:layout>
                <c:manualLayout>
                  <c:x val="-0.00208333333333333"/>
                  <c:y val="-0.270833333333333"/>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9875"/>
                      <c:h val="0.0592592592592593"/>
                    </c:manualLayout>
                  </c15:layout>
                </c:ext>
              </c:extLst>
            </c:dLbl>
            <c:dLbl>
              <c:idx val="1"/>
              <c:layout>
                <c:manualLayout>
                  <c:x val="0.00625"/>
                  <c:y val="-0.35069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工作表.xls]Sheet1'!$B$78:$C$78</c:f>
              <c:strCache>
                <c:ptCount val="2"/>
                <c:pt idx="0">
                  <c:v>2018年</c:v>
                </c:pt>
                <c:pt idx="1">
                  <c:v>2019年</c:v>
                </c:pt>
              </c:strCache>
            </c:strRef>
          </c:cat>
          <c:val>
            <c:numRef>
              <c:f>'[新建 XLS 工作表.xls]Sheet1'!$B$79:$C$79</c:f>
              <c:numCache>
                <c:formatCode>General</c:formatCode>
                <c:ptCount val="2"/>
                <c:pt idx="0">
                  <c:v>6082.14</c:v>
                </c:pt>
                <c:pt idx="1">
                  <c:v>8215.01</c:v>
                </c:pt>
              </c:numCache>
            </c:numRef>
          </c:val>
        </c:ser>
        <c:dLbls>
          <c:showLegendKey val="0"/>
          <c:showVal val="1"/>
          <c:showCatName val="0"/>
          <c:showSerName val="0"/>
          <c:showPercent val="0"/>
          <c:showBubbleSize val="0"/>
        </c:dLbls>
        <c:gapWidth val="150"/>
        <c:overlap val="100"/>
        <c:axId val="117270730"/>
        <c:axId val="201201645"/>
      </c:barChart>
      <c:catAx>
        <c:axId val="11727073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14416666666667"/>
              <c:y val="0.0981481481481482"/>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201645"/>
        <c:crosses val="autoZero"/>
        <c:auto val="1"/>
        <c:lblAlgn val="ctr"/>
        <c:lblOffset val="100"/>
        <c:noMultiLvlLbl val="0"/>
      </c:catAx>
      <c:valAx>
        <c:axId val="2012016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27073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r>
              <a:rPr sz="1200" u="none" strike="noStrike" cap="none" normalizeH="0">
                <a:solidFill>
                  <a:schemeClr val="tx1">
                    <a:lumMod val="65000"/>
                    <a:lumOff val="35000"/>
                  </a:schemeClr>
                </a:solidFill>
                <a:uFill>
                  <a:solidFill>
                    <a:schemeClr val="tx1">
                      <a:lumMod val="65000"/>
                      <a:lumOff val="35000"/>
                    </a:schemeClr>
                  </a:solidFill>
                </a:uFill>
              </a:rPr>
              <a:t>支出决算结构图</a:t>
            </a:r>
            <a:endParaRPr sz="1200" u="none" strike="noStrike" cap="none" normalizeH="0">
              <a:solidFill>
                <a:schemeClr val="tx1">
                  <a:lumMod val="65000"/>
                  <a:lumOff val="35000"/>
                </a:schemeClr>
              </a:solidFill>
              <a:uFill>
                <a:solidFill>
                  <a:schemeClr val="tx1">
                    <a:lumMod val="65000"/>
                    <a:lumOff val="35000"/>
                  </a:schemeClr>
                </a:solidFill>
              </a:uFill>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gradFill>
                <a:gsLst>
                  <a:gs pos="0">
                    <a:srgbClr val="FE4444"/>
                  </a:gs>
                  <a:gs pos="100000">
                    <a:srgbClr val="832B2B"/>
                  </a:gs>
                </a:gsLst>
                <a:lin ang="5400000" scaled="0"/>
              </a:gradFill>
              <a:ln w="19050">
                <a:solidFill>
                  <a:schemeClr val="lt1"/>
                </a:solidFill>
              </a:ln>
              <a:effectLst/>
            </c:spPr>
          </c:dPt>
          <c:dPt>
            <c:idx val="2"/>
            <c:bubble3D val="0"/>
            <c:spPr>
              <a:solidFill>
                <a:srgbClr val="FFC000"/>
              </a:solidFill>
              <a:ln w="19050">
                <a:solidFill>
                  <a:schemeClr val="lt1"/>
                </a:solidFill>
              </a:ln>
              <a:effectLst/>
            </c:spPr>
          </c:dPt>
          <c:dPt>
            <c:idx val="3"/>
            <c:bubble3D val="0"/>
            <c:spPr>
              <a:solidFill>
                <a:srgbClr val="002060"/>
              </a:solidFill>
              <a:ln w="19050">
                <a:solidFill>
                  <a:schemeClr val="lt1"/>
                </a:solidFill>
              </a:ln>
              <a:effectLst/>
            </c:spPr>
          </c:dPt>
          <c:dLbls>
            <c:dLbl>
              <c:idx val="0"/>
              <c:layout>
                <c:manualLayout>
                  <c:x val="0.0358092277034811"/>
                  <c:y val="0.037075850177705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15780882361382"/>
                  <c:y val="0.02642248921893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工作表.xls]Sheet1'!$A$21:$A$24</c:f>
              <c:strCache>
                <c:ptCount val="4"/>
                <c:pt idx="0">
                  <c:v>社会保障和就业支出</c:v>
                </c:pt>
                <c:pt idx="1">
                  <c:v>卫生健康支出</c:v>
                </c:pt>
                <c:pt idx="2">
                  <c:v>农林水支出</c:v>
                </c:pt>
                <c:pt idx="3">
                  <c:v>住房保障支出</c:v>
                </c:pt>
              </c:strCache>
            </c:strRef>
          </c:cat>
          <c:val>
            <c:numRef>
              <c:f>'[新建 XLS 工作表.xls]Sheet1'!$B$21:$B$24</c:f>
              <c:numCache>
                <c:formatCode>General</c:formatCode>
                <c:ptCount val="4"/>
                <c:pt idx="0">
                  <c:v>347.55</c:v>
                </c:pt>
                <c:pt idx="1">
                  <c:v>4662.42</c:v>
                </c:pt>
                <c:pt idx="2">
                  <c:v>3181.12</c:v>
                </c:pt>
                <c:pt idx="3">
                  <c:v>23.92</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工作表.xls]Sheet1'!$A$21:$A$24</c:f>
              <c:strCache>
                <c:ptCount val="4"/>
                <c:pt idx="0">
                  <c:v>社会保障和就业支出</c:v>
                </c:pt>
                <c:pt idx="1">
                  <c:v>卫生健康支出</c:v>
                </c:pt>
                <c:pt idx="2">
                  <c:v>农林水支出</c:v>
                </c:pt>
                <c:pt idx="3">
                  <c:v>住房保障支出</c:v>
                </c:pt>
              </c:strCache>
            </c:strRef>
          </c:cat>
          <c:val>
            <c:numRef>
              <c:f>'[新建 XLS 工作表.xls]Sheet1'!$C$21:$C$24</c:f>
              <c:numCache>
                <c:formatCode>0.00%</c:formatCode>
                <c:ptCount val="4"/>
                <c:pt idx="0">
                  <c:v>0.0423</c:v>
                </c:pt>
                <c:pt idx="1">
                  <c:v>0.5676</c:v>
                </c:pt>
                <c:pt idx="2">
                  <c:v>0.3872</c:v>
                </c:pt>
                <c:pt idx="3">
                  <c:v>0.0029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27485380116959"/>
          <c:y val="0.175563463819692"/>
          <c:w val="0.266081871345029"/>
          <c:h val="0.6322657176749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lang="en-US" altLang="zh-CN" sz="1200"/>
              <a:t>“</a:t>
            </a:r>
            <a:r>
              <a:rPr altLang="en-US" sz="1200"/>
              <a:t>三公</a:t>
            </a:r>
            <a:r>
              <a:rPr lang="en-US" altLang="zh-CN" sz="1200"/>
              <a:t>”</a:t>
            </a:r>
            <a:r>
              <a:rPr altLang="en-US" sz="1200"/>
              <a:t>经费财政拨款支出结构图</a:t>
            </a:r>
            <a:endParaRPr altLang="en-US" sz="1200"/>
          </a:p>
        </c:rich>
      </c:tx>
      <c:layout/>
      <c:overlay val="0"/>
      <c:spPr>
        <a:noFill/>
        <a:ln>
          <a:noFill/>
        </a:ln>
        <a:effectLst/>
      </c:spPr>
    </c:title>
    <c:autoTitleDeleted val="0"/>
    <c:plotArea>
      <c:layout>
        <c:manualLayout>
          <c:layoutTarget val="inner"/>
          <c:xMode val="edge"/>
          <c:yMode val="edge"/>
          <c:x val="0.277216374269006"/>
          <c:y val="0.171971326164875"/>
          <c:w val="0.287672514619883"/>
          <c:h val="0.587718040621266"/>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rgbClr val="C00000"/>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017543343307625"/>
                  <c:y val="-0.12156276915299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工作表.xls]Sheet1'!$A$122:$A$124</c:f>
              <c:strCache>
                <c:ptCount val="3"/>
                <c:pt idx="0">
                  <c:v>因公出国（境）费支出</c:v>
                </c:pt>
                <c:pt idx="1">
                  <c:v>公务用车购置及运行维护费支出</c:v>
                </c:pt>
                <c:pt idx="2">
                  <c:v>公务接待费支出</c:v>
                </c:pt>
              </c:strCache>
            </c:strRef>
          </c:cat>
          <c:val>
            <c:numRef>
              <c:f>'[新建 XLS 工作表.xls]Sheet1'!$B$122:$B$124</c:f>
              <c:numCache>
                <c:formatCode>General</c:formatCode>
                <c:ptCount val="3"/>
                <c:pt idx="0">
                  <c:v>0</c:v>
                </c:pt>
                <c:pt idx="1">
                  <c:v>1.5</c:v>
                </c:pt>
                <c:pt idx="2">
                  <c:v>0</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'[新建 XLS 工作表.xls]Sheet1'!$A$122:$A$124</c:f>
              <c:strCache>
                <c:ptCount val="3"/>
                <c:pt idx="0">
                  <c:v>因公出国（境）费支出</c:v>
                </c:pt>
                <c:pt idx="1">
                  <c:v>公务用车购置及运行维护费支出</c:v>
                </c:pt>
                <c:pt idx="2">
                  <c:v>公务接待费支出</c:v>
                </c:pt>
              </c:strCache>
            </c:strRef>
          </c:cat>
          <c:val>
            <c:numRef>
              <c:f>'[新建 XLS 工作表.xls]Sheet1'!$C$122:$C$124</c:f>
              <c:numCache>
                <c:formatCode>General</c:formatCode>
                <c:ptCount val="3"/>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72865497076023"/>
          <c:y val="0.223416965352449"/>
          <c:w val="0.323625730994152"/>
          <c:h val="0.4896057347670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11</TotalTime>
  <ScaleCrop>false</ScaleCrop>
  <LinksUpToDate>false</LinksUpToDate>
  <CharactersWithSpaces>8536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2020-09-14T08:35:04Z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