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704" w:rsidRDefault="00EC2704">
      <w:pPr>
        <w:spacing w:line="600" w:lineRule="exact"/>
        <w:jc w:val="center"/>
        <w:outlineLvl w:val="0"/>
        <w:rPr>
          <w:rFonts w:ascii="方正小标宋简体" w:eastAsia="方正小标宋简体" w:hAnsi="宋体"/>
          <w:color w:val="000000"/>
          <w:sz w:val="72"/>
          <w:szCs w:val="72"/>
        </w:rPr>
      </w:pPr>
      <w:bookmarkStart w:id="0" w:name="_Toc15306267"/>
    </w:p>
    <w:p w:rsidR="00EC2704" w:rsidRDefault="00EC2704">
      <w:pPr>
        <w:spacing w:line="600" w:lineRule="exact"/>
        <w:jc w:val="center"/>
        <w:outlineLvl w:val="0"/>
        <w:rPr>
          <w:rFonts w:ascii="方正小标宋简体" w:eastAsia="方正小标宋简体" w:hAnsi="宋体"/>
          <w:color w:val="000000"/>
          <w:sz w:val="72"/>
          <w:szCs w:val="72"/>
        </w:rPr>
      </w:pPr>
    </w:p>
    <w:p w:rsidR="00EC2704" w:rsidRDefault="00EC2704">
      <w:pPr>
        <w:spacing w:line="600" w:lineRule="exact"/>
        <w:jc w:val="center"/>
        <w:outlineLvl w:val="0"/>
        <w:rPr>
          <w:rFonts w:ascii="方正小标宋简体" w:eastAsia="方正小标宋简体" w:hAnsi="宋体"/>
          <w:color w:val="000000"/>
          <w:sz w:val="72"/>
          <w:szCs w:val="72"/>
        </w:rPr>
      </w:pPr>
    </w:p>
    <w:p w:rsidR="00EC2704" w:rsidRDefault="00EC2704">
      <w:pPr>
        <w:spacing w:line="600" w:lineRule="exact"/>
        <w:jc w:val="center"/>
        <w:outlineLvl w:val="0"/>
        <w:rPr>
          <w:rFonts w:ascii="方正小标宋简体" w:eastAsia="方正小标宋简体" w:hAnsi="宋体"/>
          <w:color w:val="000000"/>
          <w:sz w:val="72"/>
          <w:szCs w:val="72"/>
        </w:rPr>
      </w:pPr>
    </w:p>
    <w:p w:rsidR="00EC2704" w:rsidRDefault="001F5732">
      <w:pPr>
        <w:jc w:val="center"/>
        <w:rPr>
          <w:b/>
          <w:bCs/>
          <w:sz w:val="72"/>
          <w:szCs w:val="144"/>
        </w:rPr>
      </w:pPr>
      <w:bookmarkStart w:id="1" w:name="_Toc15377193"/>
      <w:bookmarkStart w:id="2" w:name="_Toc15377425"/>
      <w:bookmarkStart w:id="3" w:name="_Toc15378441"/>
      <w:bookmarkStart w:id="4" w:name="_Toc15396475"/>
      <w:bookmarkStart w:id="5" w:name="_Toc15396597"/>
      <w:bookmarkStart w:id="6" w:name="_Toc26650"/>
      <w:r>
        <w:rPr>
          <w:b/>
          <w:bCs/>
          <w:sz w:val="72"/>
          <w:szCs w:val="144"/>
        </w:rPr>
        <w:t>201</w:t>
      </w:r>
      <w:r>
        <w:rPr>
          <w:rFonts w:hint="eastAsia"/>
          <w:b/>
          <w:bCs/>
          <w:sz w:val="72"/>
          <w:szCs w:val="144"/>
        </w:rPr>
        <w:t>8</w:t>
      </w:r>
      <w:r>
        <w:rPr>
          <w:rFonts w:hint="eastAsia"/>
          <w:b/>
          <w:bCs/>
          <w:sz w:val="72"/>
          <w:szCs w:val="144"/>
        </w:rPr>
        <w:t>年度</w:t>
      </w:r>
      <w:bookmarkEnd w:id="1"/>
      <w:bookmarkEnd w:id="2"/>
      <w:bookmarkEnd w:id="3"/>
      <w:bookmarkEnd w:id="4"/>
      <w:bookmarkEnd w:id="5"/>
      <w:bookmarkEnd w:id="6"/>
    </w:p>
    <w:p w:rsidR="00EC2704" w:rsidRDefault="001F5732">
      <w:pPr>
        <w:jc w:val="center"/>
        <w:rPr>
          <w:b/>
          <w:bCs/>
          <w:sz w:val="72"/>
          <w:szCs w:val="144"/>
        </w:rPr>
      </w:pPr>
      <w:bookmarkStart w:id="7" w:name="_Toc15377426"/>
      <w:bookmarkStart w:id="8" w:name="_Toc15377194"/>
      <w:bookmarkStart w:id="9" w:name="_Toc15378442"/>
      <w:bookmarkStart w:id="10" w:name="_Toc15396476"/>
      <w:bookmarkStart w:id="11" w:name="_Toc15396598"/>
      <w:bookmarkStart w:id="12" w:name="_Toc31637"/>
      <w:r>
        <w:rPr>
          <w:rFonts w:hint="eastAsia"/>
          <w:b/>
          <w:bCs/>
          <w:sz w:val="72"/>
          <w:szCs w:val="144"/>
        </w:rPr>
        <w:t>四川省</w:t>
      </w:r>
      <w:bookmarkStart w:id="13" w:name="_Toc15306268"/>
      <w:bookmarkEnd w:id="0"/>
      <w:r>
        <w:rPr>
          <w:rFonts w:hint="eastAsia"/>
          <w:b/>
          <w:bCs/>
          <w:sz w:val="72"/>
          <w:szCs w:val="144"/>
        </w:rPr>
        <w:t>达州市渠县财政局</w:t>
      </w:r>
    </w:p>
    <w:p w:rsidR="00EC2704" w:rsidRDefault="001F5732">
      <w:pPr>
        <w:jc w:val="center"/>
        <w:rPr>
          <w:b/>
          <w:bCs/>
          <w:sz w:val="72"/>
          <w:szCs w:val="144"/>
        </w:rPr>
      </w:pPr>
      <w:r>
        <w:rPr>
          <w:rFonts w:hint="eastAsia"/>
          <w:b/>
          <w:bCs/>
          <w:sz w:val="72"/>
          <w:szCs w:val="144"/>
        </w:rPr>
        <w:t>部门决算</w:t>
      </w:r>
      <w:bookmarkEnd w:id="7"/>
      <w:bookmarkEnd w:id="8"/>
      <w:bookmarkEnd w:id="9"/>
      <w:bookmarkEnd w:id="10"/>
      <w:bookmarkEnd w:id="11"/>
      <w:bookmarkEnd w:id="12"/>
      <w:bookmarkEnd w:id="13"/>
    </w:p>
    <w:p w:rsidR="00EC2704" w:rsidRDefault="001F5732">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EC2704" w:rsidRDefault="00FA1712">
      <w:pPr>
        <w:pStyle w:val="10"/>
        <w:tabs>
          <w:tab w:val="clear" w:pos="8296"/>
          <w:tab w:val="right" w:leader="dot" w:pos="8306"/>
        </w:tabs>
      </w:pPr>
      <w:r w:rsidRPr="00FA1712">
        <w:rPr>
          <w:rFonts w:ascii="黑体" w:eastAsia="黑体" w:hAnsi="黑体"/>
          <w:color w:val="000000"/>
          <w:sz w:val="48"/>
          <w:szCs w:val="48"/>
        </w:rPr>
        <w:fldChar w:fldCharType="begin"/>
      </w:r>
      <w:r w:rsidR="001F5732">
        <w:rPr>
          <w:rFonts w:ascii="黑体" w:eastAsia="黑体" w:hAnsi="黑体"/>
          <w:color w:val="000000"/>
          <w:sz w:val="48"/>
          <w:szCs w:val="48"/>
        </w:rPr>
        <w:instrText xml:space="preserve"> TOC \o "1-2" \h \z \u </w:instrText>
      </w:r>
      <w:r w:rsidRPr="00FA1712">
        <w:rPr>
          <w:rFonts w:ascii="黑体" w:eastAsia="黑体" w:hAnsi="黑体"/>
          <w:color w:val="000000"/>
          <w:sz w:val="48"/>
          <w:szCs w:val="48"/>
        </w:rPr>
        <w:fldChar w:fldCharType="separate"/>
      </w:r>
      <w:hyperlink w:anchor="_Toc29454" w:history="1">
        <w:r w:rsidR="001F5732">
          <w:rPr>
            <w:rFonts w:ascii="黑体" w:eastAsia="黑体" w:hAnsi="黑体" w:hint="eastAsia"/>
          </w:rPr>
          <w:t>第一部分 部门概况</w:t>
        </w:r>
        <w:r w:rsidR="001F5732">
          <w:tab/>
        </w:r>
        <w:r>
          <w:fldChar w:fldCharType="begin"/>
        </w:r>
        <w:r w:rsidR="001F5732">
          <w:instrText xml:space="preserve"> PAGEREF _Toc29454 </w:instrText>
        </w:r>
        <w:r>
          <w:fldChar w:fldCharType="separate"/>
        </w:r>
        <w:r w:rsidR="001F5732">
          <w:t>3</w:t>
        </w:r>
        <w:r>
          <w:fldChar w:fldCharType="end"/>
        </w:r>
      </w:hyperlink>
    </w:p>
    <w:p w:rsidR="00EC2704" w:rsidRDefault="00FA1712">
      <w:pPr>
        <w:pStyle w:val="20"/>
        <w:tabs>
          <w:tab w:val="clear" w:pos="8296"/>
          <w:tab w:val="right" w:leader="dot" w:pos="8306"/>
        </w:tabs>
      </w:pPr>
      <w:hyperlink w:anchor="_Toc4930" w:history="1">
        <w:r w:rsidR="001F5732">
          <w:rPr>
            <w:rFonts w:ascii="黑体" w:eastAsia="黑体" w:hAnsi="黑体" w:hint="eastAsia"/>
          </w:rPr>
          <w:t>一、基本职能及主要工作</w:t>
        </w:r>
        <w:r w:rsidR="001F5732">
          <w:tab/>
        </w:r>
        <w:r>
          <w:fldChar w:fldCharType="begin"/>
        </w:r>
        <w:r w:rsidR="001F5732">
          <w:instrText xml:space="preserve"> PAGEREF _Toc4930 </w:instrText>
        </w:r>
        <w:r>
          <w:fldChar w:fldCharType="separate"/>
        </w:r>
        <w:r w:rsidR="001F5732">
          <w:t>3</w:t>
        </w:r>
        <w:r>
          <w:fldChar w:fldCharType="end"/>
        </w:r>
      </w:hyperlink>
    </w:p>
    <w:p w:rsidR="00EC2704" w:rsidRDefault="00FA1712">
      <w:pPr>
        <w:pStyle w:val="20"/>
        <w:tabs>
          <w:tab w:val="clear" w:pos="8296"/>
          <w:tab w:val="right" w:leader="dot" w:pos="8306"/>
        </w:tabs>
      </w:pPr>
      <w:hyperlink w:anchor="_Toc29726" w:history="1">
        <w:r w:rsidR="001F5732">
          <w:rPr>
            <w:rFonts w:ascii="黑体" w:eastAsia="黑体" w:hint="eastAsia"/>
          </w:rPr>
          <w:t>二、</w:t>
        </w:r>
        <w:r w:rsidR="001F5732">
          <w:rPr>
            <w:rFonts w:ascii="黑体" w:eastAsia="黑体" w:hAnsi="黑体" w:hint="eastAsia"/>
          </w:rPr>
          <w:t>机构设置</w:t>
        </w:r>
        <w:r w:rsidR="001F5732">
          <w:tab/>
        </w:r>
        <w:r>
          <w:fldChar w:fldCharType="begin"/>
        </w:r>
        <w:r w:rsidR="001F5732">
          <w:instrText xml:space="preserve"> PAGEREF _Toc29726 </w:instrText>
        </w:r>
        <w:r>
          <w:fldChar w:fldCharType="separate"/>
        </w:r>
        <w:r w:rsidR="001F5732">
          <w:t>5</w:t>
        </w:r>
        <w:r>
          <w:fldChar w:fldCharType="end"/>
        </w:r>
      </w:hyperlink>
    </w:p>
    <w:p w:rsidR="00EC2704" w:rsidRDefault="00FA1712">
      <w:pPr>
        <w:pStyle w:val="10"/>
        <w:tabs>
          <w:tab w:val="clear" w:pos="8296"/>
          <w:tab w:val="right" w:leader="dot" w:pos="8306"/>
        </w:tabs>
      </w:pPr>
      <w:hyperlink w:anchor="_Toc9931" w:history="1">
        <w:r w:rsidR="001F5732">
          <w:rPr>
            <w:rFonts w:ascii="黑体" w:eastAsia="黑体" w:hAnsi="黑体" w:hint="eastAsia"/>
          </w:rPr>
          <w:t>第二部分 2018年度部门决算情况说明</w:t>
        </w:r>
        <w:r w:rsidR="001F5732">
          <w:tab/>
        </w:r>
        <w:r>
          <w:fldChar w:fldCharType="begin"/>
        </w:r>
        <w:r w:rsidR="001F5732">
          <w:instrText xml:space="preserve"> PAGEREF _Toc9931 </w:instrText>
        </w:r>
        <w:r>
          <w:fldChar w:fldCharType="separate"/>
        </w:r>
        <w:r w:rsidR="001F5732">
          <w:t>6</w:t>
        </w:r>
        <w:r>
          <w:fldChar w:fldCharType="end"/>
        </w:r>
      </w:hyperlink>
    </w:p>
    <w:p w:rsidR="00EC2704" w:rsidRDefault="00FA1712">
      <w:pPr>
        <w:pStyle w:val="20"/>
        <w:tabs>
          <w:tab w:val="clear" w:pos="8296"/>
          <w:tab w:val="right" w:leader="dot" w:pos="8306"/>
        </w:tabs>
      </w:pPr>
      <w:hyperlink w:anchor="_Toc502" w:history="1">
        <w:r w:rsidR="001F5732">
          <w:rPr>
            <w:rFonts w:ascii="黑体" w:eastAsia="黑体" w:hAnsi="黑体"/>
          </w:rPr>
          <w:t xml:space="preserve">一、 </w:t>
        </w:r>
        <w:r w:rsidR="001F5732">
          <w:rPr>
            <w:rFonts w:ascii="黑体" w:eastAsia="黑体" w:hAnsi="黑体" w:hint="eastAsia"/>
            <w:szCs w:val="32"/>
          </w:rPr>
          <w:t>收</w:t>
        </w:r>
        <w:r w:rsidR="001F5732">
          <w:rPr>
            <w:rFonts w:ascii="黑体" w:eastAsia="黑体" w:hAnsi="黑体" w:hint="eastAsia"/>
          </w:rPr>
          <w:t>入支出决算总体情况说明</w:t>
        </w:r>
        <w:r w:rsidR="001F5732">
          <w:tab/>
        </w:r>
        <w:r>
          <w:fldChar w:fldCharType="begin"/>
        </w:r>
        <w:r w:rsidR="001F5732">
          <w:instrText xml:space="preserve"> PAGEREF _Toc502 </w:instrText>
        </w:r>
        <w:r>
          <w:fldChar w:fldCharType="separate"/>
        </w:r>
        <w:r w:rsidR="001F5732">
          <w:t>6</w:t>
        </w:r>
        <w:r>
          <w:fldChar w:fldCharType="end"/>
        </w:r>
      </w:hyperlink>
    </w:p>
    <w:p w:rsidR="00EC2704" w:rsidRDefault="00FA1712">
      <w:pPr>
        <w:pStyle w:val="20"/>
        <w:tabs>
          <w:tab w:val="clear" w:pos="8296"/>
          <w:tab w:val="right" w:leader="dot" w:pos="8306"/>
        </w:tabs>
      </w:pPr>
      <w:hyperlink w:anchor="_Toc32275" w:history="1">
        <w:r w:rsidR="001F5732">
          <w:rPr>
            <w:rFonts w:ascii="黑体" w:eastAsia="黑体" w:hAnsi="黑体"/>
          </w:rPr>
          <w:t xml:space="preserve">二、 </w:t>
        </w:r>
        <w:r w:rsidR="001F5732">
          <w:rPr>
            <w:rFonts w:ascii="黑体" w:eastAsia="黑体" w:hAnsi="黑体" w:hint="eastAsia"/>
            <w:szCs w:val="32"/>
          </w:rPr>
          <w:t>收</w:t>
        </w:r>
        <w:r w:rsidR="001F5732">
          <w:rPr>
            <w:rFonts w:ascii="黑体" w:eastAsia="黑体" w:hAnsi="黑体" w:hint="eastAsia"/>
          </w:rPr>
          <w:t>入决算情况说明</w:t>
        </w:r>
        <w:r w:rsidR="001F5732">
          <w:tab/>
        </w:r>
        <w:r>
          <w:fldChar w:fldCharType="begin"/>
        </w:r>
        <w:r w:rsidR="001F5732">
          <w:instrText xml:space="preserve"> PAGEREF _Toc32275 </w:instrText>
        </w:r>
        <w:r>
          <w:fldChar w:fldCharType="separate"/>
        </w:r>
        <w:r w:rsidR="001F5732">
          <w:t>6</w:t>
        </w:r>
        <w:r>
          <w:fldChar w:fldCharType="end"/>
        </w:r>
      </w:hyperlink>
    </w:p>
    <w:p w:rsidR="00EC2704" w:rsidRDefault="00FA1712">
      <w:pPr>
        <w:pStyle w:val="20"/>
        <w:tabs>
          <w:tab w:val="clear" w:pos="8296"/>
          <w:tab w:val="right" w:leader="dot" w:pos="8306"/>
        </w:tabs>
      </w:pPr>
      <w:hyperlink w:anchor="_Toc27470" w:history="1">
        <w:r w:rsidR="001F5732">
          <w:rPr>
            <w:rFonts w:ascii="黑体" w:eastAsia="黑体" w:hAnsi="黑体"/>
          </w:rPr>
          <w:t xml:space="preserve">三、 </w:t>
        </w:r>
        <w:r w:rsidR="001F5732">
          <w:rPr>
            <w:rFonts w:ascii="黑体" w:eastAsia="黑体" w:hAnsi="黑体" w:hint="eastAsia"/>
            <w:szCs w:val="32"/>
          </w:rPr>
          <w:t>支</w:t>
        </w:r>
        <w:r w:rsidR="001F5732">
          <w:rPr>
            <w:rFonts w:ascii="黑体" w:eastAsia="黑体" w:hAnsi="黑体" w:hint="eastAsia"/>
          </w:rPr>
          <w:t>出决算情况说明</w:t>
        </w:r>
        <w:r w:rsidR="001F5732">
          <w:tab/>
        </w:r>
        <w:r>
          <w:fldChar w:fldCharType="begin"/>
        </w:r>
        <w:r w:rsidR="001F5732">
          <w:instrText xml:space="preserve"> PAGEREF _Toc27470 </w:instrText>
        </w:r>
        <w:r>
          <w:fldChar w:fldCharType="separate"/>
        </w:r>
        <w:r w:rsidR="001F5732">
          <w:t>7</w:t>
        </w:r>
        <w:r>
          <w:fldChar w:fldCharType="end"/>
        </w:r>
      </w:hyperlink>
    </w:p>
    <w:p w:rsidR="00EC2704" w:rsidRDefault="00FA1712">
      <w:pPr>
        <w:pStyle w:val="20"/>
        <w:tabs>
          <w:tab w:val="clear" w:pos="8296"/>
          <w:tab w:val="right" w:leader="dot" w:pos="8306"/>
        </w:tabs>
      </w:pPr>
      <w:hyperlink w:anchor="_Toc8091" w:history="1">
        <w:r w:rsidR="001F5732">
          <w:rPr>
            <w:rFonts w:ascii="黑体" w:eastAsia="黑体" w:hAnsi="黑体" w:hint="eastAsia"/>
            <w:szCs w:val="32"/>
          </w:rPr>
          <w:t>四、财</w:t>
        </w:r>
        <w:r w:rsidR="001F5732">
          <w:rPr>
            <w:rFonts w:ascii="黑体" w:eastAsia="黑体" w:hAnsi="黑体" w:hint="eastAsia"/>
          </w:rPr>
          <w:t>政拨款收入支出决算总体情况说明</w:t>
        </w:r>
        <w:r w:rsidR="001F5732">
          <w:tab/>
        </w:r>
        <w:r>
          <w:fldChar w:fldCharType="begin"/>
        </w:r>
        <w:r w:rsidR="001F5732">
          <w:instrText xml:space="preserve"> PAGEREF _Toc8091 </w:instrText>
        </w:r>
        <w:r>
          <w:fldChar w:fldCharType="separate"/>
        </w:r>
        <w:r w:rsidR="001F5732">
          <w:t>7</w:t>
        </w:r>
        <w:r>
          <w:fldChar w:fldCharType="end"/>
        </w:r>
      </w:hyperlink>
    </w:p>
    <w:p w:rsidR="00EC2704" w:rsidRDefault="00FA1712">
      <w:pPr>
        <w:pStyle w:val="20"/>
        <w:tabs>
          <w:tab w:val="clear" w:pos="8296"/>
          <w:tab w:val="right" w:leader="dot" w:pos="8306"/>
        </w:tabs>
      </w:pPr>
      <w:hyperlink w:anchor="_Toc27815" w:history="1">
        <w:r w:rsidR="001F5732">
          <w:rPr>
            <w:rFonts w:ascii="黑体" w:eastAsia="黑体" w:hAnsi="黑体" w:hint="eastAsia"/>
            <w:szCs w:val="32"/>
          </w:rPr>
          <w:t>五、一</w:t>
        </w:r>
        <w:r w:rsidR="001F5732">
          <w:rPr>
            <w:rFonts w:ascii="黑体" w:eastAsia="黑体" w:hAnsi="黑体" w:hint="eastAsia"/>
          </w:rPr>
          <w:t>般公共预算财政拨款支出决算情况说明</w:t>
        </w:r>
        <w:r w:rsidR="001F5732">
          <w:tab/>
        </w:r>
        <w:r>
          <w:fldChar w:fldCharType="begin"/>
        </w:r>
        <w:r w:rsidR="001F5732">
          <w:instrText xml:space="preserve"> PAGEREF _Toc27815 </w:instrText>
        </w:r>
        <w:r>
          <w:fldChar w:fldCharType="separate"/>
        </w:r>
        <w:r w:rsidR="001F5732">
          <w:t>8</w:t>
        </w:r>
        <w:r>
          <w:fldChar w:fldCharType="end"/>
        </w:r>
      </w:hyperlink>
    </w:p>
    <w:p w:rsidR="00EC2704" w:rsidRDefault="00FA1712">
      <w:pPr>
        <w:pStyle w:val="20"/>
        <w:tabs>
          <w:tab w:val="clear" w:pos="8296"/>
          <w:tab w:val="right" w:leader="dot" w:pos="8306"/>
        </w:tabs>
      </w:pPr>
      <w:hyperlink w:anchor="_Toc28121" w:history="1">
        <w:r w:rsidR="001F5732">
          <w:rPr>
            <w:rFonts w:ascii="黑体" w:eastAsia="黑体" w:hint="eastAsia"/>
            <w:szCs w:val="32"/>
          </w:rPr>
          <w:t>六、</w:t>
        </w:r>
        <w:r w:rsidR="001F5732">
          <w:rPr>
            <w:rFonts w:ascii="黑体" w:eastAsia="黑体" w:hAnsi="黑体" w:hint="eastAsia"/>
            <w:szCs w:val="32"/>
          </w:rPr>
          <w:t>一</w:t>
        </w:r>
        <w:r w:rsidR="001F5732">
          <w:rPr>
            <w:rFonts w:ascii="黑体" w:eastAsia="黑体" w:hAnsi="黑体" w:hint="eastAsia"/>
          </w:rPr>
          <w:t>般公共预算财政拨款基本支出决算情况说明</w:t>
        </w:r>
        <w:r w:rsidR="001F5732">
          <w:tab/>
        </w:r>
        <w:r>
          <w:fldChar w:fldCharType="begin"/>
        </w:r>
        <w:r w:rsidR="001F5732">
          <w:instrText xml:space="preserve"> PAGEREF _Toc28121 </w:instrText>
        </w:r>
        <w:r>
          <w:fldChar w:fldCharType="separate"/>
        </w:r>
        <w:r w:rsidR="001F5732">
          <w:t>9</w:t>
        </w:r>
        <w:r>
          <w:fldChar w:fldCharType="end"/>
        </w:r>
      </w:hyperlink>
    </w:p>
    <w:p w:rsidR="00EC2704" w:rsidRDefault="00FA1712">
      <w:pPr>
        <w:pStyle w:val="20"/>
        <w:tabs>
          <w:tab w:val="clear" w:pos="8296"/>
          <w:tab w:val="right" w:leader="dot" w:pos="8306"/>
        </w:tabs>
      </w:pPr>
      <w:hyperlink w:anchor="_Toc32436" w:history="1">
        <w:r w:rsidR="001F5732">
          <w:rPr>
            <w:rFonts w:ascii="黑体" w:eastAsia="黑体" w:hint="eastAsia"/>
            <w:szCs w:val="32"/>
          </w:rPr>
          <w:t>七、</w:t>
        </w:r>
        <w:r w:rsidR="001F5732">
          <w:rPr>
            <w:rFonts w:ascii="黑体" w:eastAsia="黑体" w:hAnsi="黑体" w:hint="eastAsia"/>
          </w:rPr>
          <w:t>“三公”经费财政拨款支出决算情况说明</w:t>
        </w:r>
        <w:r w:rsidR="001F5732">
          <w:tab/>
        </w:r>
        <w:r>
          <w:fldChar w:fldCharType="begin"/>
        </w:r>
        <w:r w:rsidR="001F5732">
          <w:instrText xml:space="preserve"> PAGEREF _Toc32436 </w:instrText>
        </w:r>
        <w:r>
          <w:fldChar w:fldCharType="separate"/>
        </w:r>
        <w:r w:rsidR="001F5732">
          <w:t>10</w:t>
        </w:r>
        <w:r>
          <w:fldChar w:fldCharType="end"/>
        </w:r>
      </w:hyperlink>
    </w:p>
    <w:p w:rsidR="00EC2704" w:rsidRDefault="00FA1712">
      <w:pPr>
        <w:pStyle w:val="20"/>
        <w:tabs>
          <w:tab w:val="clear" w:pos="8296"/>
          <w:tab w:val="right" w:leader="dot" w:pos="8306"/>
        </w:tabs>
      </w:pPr>
      <w:hyperlink w:anchor="_Toc26236" w:history="1">
        <w:r w:rsidR="001F5732">
          <w:rPr>
            <w:rFonts w:ascii="黑体" w:eastAsia="黑体" w:hint="eastAsia"/>
            <w:szCs w:val="32"/>
          </w:rPr>
          <w:t>八、</w:t>
        </w:r>
        <w:r w:rsidR="001F5732">
          <w:rPr>
            <w:rFonts w:ascii="黑体" w:eastAsia="黑体" w:hAnsi="黑体" w:hint="eastAsia"/>
          </w:rPr>
          <w:t>政府性基金预算支出决算情况说明</w:t>
        </w:r>
        <w:r w:rsidR="001F5732">
          <w:tab/>
        </w:r>
        <w:r>
          <w:fldChar w:fldCharType="begin"/>
        </w:r>
        <w:r w:rsidR="001F5732">
          <w:instrText xml:space="preserve"> PAGEREF _Toc26236 </w:instrText>
        </w:r>
        <w:r>
          <w:fldChar w:fldCharType="separate"/>
        </w:r>
        <w:r w:rsidR="001F5732">
          <w:t>10</w:t>
        </w:r>
        <w:r>
          <w:fldChar w:fldCharType="end"/>
        </w:r>
      </w:hyperlink>
    </w:p>
    <w:p w:rsidR="00EC2704" w:rsidRDefault="00FA1712">
      <w:pPr>
        <w:pStyle w:val="20"/>
        <w:tabs>
          <w:tab w:val="clear" w:pos="8296"/>
          <w:tab w:val="right" w:leader="dot" w:pos="8306"/>
        </w:tabs>
      </w:pPr>
      <w:hyperlink w:anchor="_Toc6410" w:history="1">
        <w:r w:rsidR="001F5732">
          <w:rPr>
            <w:rFonts w:ascii="黑体" w:eastAsia="黑体" w:hAnsi="黑体" w:hint="eastAsia"/>
          </w:rPr>
          <w:t>九、国有资本经营预算支出决算情况说明</w:t>
        </w:r>
        <w:r w:rsidR="001F5732">
          <w:tab/>
        </w:r>
        <w:r>
          <w:fldChar w:fldCharType="begin"/>
        </w:r>
        <w:r w:rsidR="001F5732">
          <w:instrText xml:space="preserve"> PAGEREF _Toc6410 </w:instrText>
        </w:r>
        <w:r>
          <w:fldChar w:fldCharType="separate"/>
        </w:r>
        <w:r w:rsidR="001F5732">
          <w:t>10</w:t>
        </w:r>
        <w:r>
          <w:fldChar w:fldCharType="end"/>
        </w:r>
      </w:hyperlink>
    </w:p>
    <w:p w:rsidR="00EC2704" w:rsidRDefault="00FA1712">
      <w:pPr>
        <w:pStyle w:val="10"/>
        <w:tabs>
          <w:tab w:val="clear" w:pos="8296"/>
          <w:tab w:val="right" w:leader="dot" w:pos="8306"/>
        </w:tabs>
      </w:pPr>
      <w:hyperlink w:anchor="_Toc22757" w:history="1">
        <w:r w:rsidR="001F5732">
          <w:rPr>
            <w:rFonts w:ascii="黑体" w:eastAsia="黑体" w:hAnsi="黑体" w:hint="eastAsia"/>
          </w:rPr>
          <w:t xml:space="preserve">第三部分 </w:t>
        </w:r>
        <w:r w:rsidR="001F5732">
          <w:rPr>
            <w:rFonts w:ascii="黑体" w:eastAsia="黑体" w:hAnsi="黑体" w:hint="eastAsia"/>
            <w:szCs w:val="44"/>
          </w:rPr>
          <w:t>名</w:t>
        </w:r>
        <w:r w:rsidR="001F5732">
          <w:rPr>
            <w:rFonts w:ascii="黑体" w:eastAsia="黑体" w:hAnsi="黑体" w:hint="eastAsia"/>
          </w:rPr>
          <w:t>词解释</w:t>
        </w:r>
        <w:r w:rsidR="001F5732">
          <w:tab/>
        </w:r>
        <w:r>
          <w:fldChar w:fldCharType="begin"/>
        </w:r>
        <w:r w:rsidR="001F5732">
          <w:instrText xml:space="preserve"> PAGEREF _Toc22757 </w:instrText>
        </w:r>
        <w:r>
          <w:fldChar w:fldCharType="separate"/>
        </w:r>
        <w:r w:rsidR="001F5732">
          <w:t>11</w:t>
        </w:r>
        <w:r>
          <w:fldChar w:fldCharType="end"/>
        </w:r>
      </w:hyperlink>
    </w:p>
    <w:p w:rsidR="00EC2704" w:rsidRDefault="00FA1712">
      <w:pPr>
        <w:pStyle w:val="10"/>
        <w:tabs>
          <w:tab w:val="clear" w:pos="8296"/>
          <w:tab w:val="right" w:leader="dot" w:pos="8306"/>
        </w:tabs>
      </w:pPr>
      <w:hyperlink w:anchor="_Toc4915" w:history="1">
        <w:r w:rsidR="001F5732">
          <w:rPr>
            <w:rFonts w:ascii="黑体" w:eastAsia="黑体" w:hAnsi="黑体" w:hint="eastAsia"/>
            <w:szCs w:val="44"/>
          </w:rPr>
          <w:t>第</w:t>
        </w:r>
        <w:r w:rsidR="001F5732">
          <w:rPr>
            <w:rFonts w:ascii="黑体" w:eastAsia="黑体" w:hAnsi="黑体" w:hint="eastAsia"/>
          </w:rPr>
          <w:t>四部分 附表</w:t>
        </w:r>
        <w:r w:rsidR="001F5732">
          <w:tab/>
        </w:r>
        <w:r>
          <w:fldChar w:fldCharType="begin"/>
        </w:r>
        <w:r w:rsidR="001F5732">
          <w:instrText xml:space="preserve"> PAGEREF _Toc4915 </w:instrText>
        </w:r>
        <w:r>
          <w:fldChar w:fldCharType="separate"/>
        </w:r>
        <w:r w:rsidR="001F5732">
          <w:t>12</w:t>
        </w:r>
        <w:r>
          <w:fldChar w:fldCharType="end"/>
        </w:r>
      </w:hyperlink>
    </w:p>
    <w:p w:rsidR="00EC2704" w:rsidRDefault="00FA1712">
      <w:pPr>
        <w:pStyle w:val="20"/>
        <w:tabs>
          <w:tab w:val="clear" w:pos="8296"/>
          <w:tab w:val="right" w:leader="dot" w:pos="8306"/>
        </w:tabs>
      </w:pPr>
      <w:hyperlink w:anchor="_Toc13657" w:history="1">
        <w:r w:rsidR="001F5732">
          <w:rPr>
            <w:rFonts w:ascii="仿宋" w:eastAsia="仿宋" w:hAnsi="仿宋" w:hint="eastAsia"/>
          </w:rPr>
          <w:t>一、收入支出决算总表</w:t>
        </w:r>
        <w:r w:rsidR="001F5732">
          <w:tab/>
        </w:r>
        <w:r>
          <w:fldChar w:fldCharType="begin"/>
        </w:r>
        <w:r w:rsidR="001F5732">
          <w:instrText xml:space="preserve"> PAGEREF _Toc13657 </w:instrText>
        </w:r>
        <w:r>
          <w:fldChar w:fldCharType="separate"/>
        </w:r>
        <w:r w:rsidR="001F5732">
          <w:t>12</w:t>
        </w:r>
        <w:r>
          <w:fldChar w:fldCharType="end"/>
        </w:r>
      </w:hyperlink>
    </w:p>
    <w:p w:rsidR="00EC2704" w:rsidRDefault="00FA1712">
      <w:pPr>
        <w:pStyle w:val="20"/>
        <w:tabs>
          <w:tab w:val="clear" w:pos="8296"/>
          <w:tab w:val="right" w:leader="dot" w:pos="8306"/>
        </w:tabs>
      </w:pPr>
      <w:hyperlink w:anchor="_Toc24487" w:history="1">
        <w:r w:rsidR="001F5732">
          <w:rPr>
            <w:rFonts w:ascii="仿宋" w:eastAsia="仿宋" w:hAnsi="仿宋" w:hint="eastAsia"/>
          </w:rPr>
          <w:t>二、收入决算表</w:t>
        </w:r>
        <w:r w:rsidR="001F5732">
          <w:tab/>
        </w:r>
        <w:r>
          <w:fldChar w:fldCharType="begin"/>
        </w:r>
        <w:r w:rsidR="001F5732">
          <w:instrText xml:space="preserve"> PAGEREF _Toc24487 </w:instrText>
        </w:r>
        <w:r>
          <w:fldChar w:fldCharType="separate"/>
        </w:r>
        <w:r w:rsidR="001F5732">
          <w:t>12</w:t>
        </w:r>
        <w:r>
          <w:fldChar w:fldCharType="end"/>
        </w:r>
      </w:hyperlink>
    </w:p>
    <w:p w:rsidR="00EC2704" w:rsidRDefault="00FA1712">
      <w:pPr>
        <w:pStyle w:val="20"/>
        <w:tabs>
          <w:tab w:val="clear" w:pos="8296"/>
          <w:tab w:val="right" w:leader="dot" w:pos="8306"/>
        </w:tabs>
      </w:pPr>
      <w:hyperlink w:anchor="_Toc25262" w:history="1">
        <w:r w:rsidR="001F5732">
          <w:rPr>
            <w:rFonts w:ascii="仿宋" w:eastAsia="仿宋" w:hAnsi="仿宋" w:hint="eastAsia"/>
          </w:rPr>
          <w:t>三、支出决算表</w:t>
        </w:r>
        <w:r w:rsidR="001F5732">
          <w:tab/>
        </w:r>
        <w:r>
          <w:fldChar w:fldCharType="begin"/>
        </w:r>
        <w:r w:rsidR="001F5732">
          <w:instrText xml:space="preserve"> PAGEREF _Toc25262 </w:instrText>
        </w:r>
        <w:r>
          <w:fldChar w:fldCharType="separate"/>
        </w:r>
        <w:r w:rsidR="001F5732">
          <w:t>12</w:t>
        </w:r>
        <w:r>
          <w:fldChar w:fldCharType="end"/>
        </w:r>
      </w:hyperlink>
    </w:p>
    <w:p w:rsidR="00EC2704" w:rsidRDefault="00FA1712">
      <w:pPr>
        <w:pStyle w:val="20"/>
        <w:tabs>
          <w:tab w:val="clear" w:pos="8296"/>
          <w:tab w:val="right" w:leader="dot" w:pos="8306"/>
        </w:tabs>
      </w:pPr>
      <w:hyperlink w:anchor="_Toc30514" w:history="1">
        <w:r w:rsidR="001F5732">
          <w:rPr>
            <w:rFonts w:ascii="仿宋" w:eastAsia="仿宋" w:hAnsi="仿宋" w:hint="eastAsia"/>
          </w:rPr>
          <w:t>四、财政拨款收入支出决算总表</w:t>
        </w:r>
        <w:r w:rsidR="001F5732">
          <w:tab/>
        </w:r>
        <w:r>
          <w:fldChar w:fldCharType="begin"/>
        </w:r>
        <w:r w:rsidR="001F5732">
          <w:instrText xml:space="preserve"> PAGEREF _Toc30514 </w:instrText>
        </w:r>
        <w:r>
          <w:fldChar w:fldCharType="separate"/>
        </w:r>
        <w:r w:rsidR="001F5732">
          <w:t>12</w:t>
        </w:r>
        <w:r>
          <w:fldChar w:fldCharType="end"/>
        </w:r>
      </w:hyperlink>
      <w:bookmarkStart w:id="14" w:name="_GoBack"/>
      <w:bookmarkEnd w:id="14"/>
    </w:p>
    <w:p w:rsidR="00EC2704" w:rsidRDefault="00FA1712">
      <w:pPr>
        <w:pStyle w:val="20"/>
        <w:tabs>
          <w:tab w:val="clear" w:pos="8296"/>
          <w:tab w:val="right" w:leader="dot" w:pos="8306"/>
        </w:tabs>
      </w:pPr>
      <w:hyperlink w:anchor="_Toc13962" w:history="1">
        <w:r w:rsidR="001F5732">
          <w:rPr>
            <w:rFonts w:ascii="仿宋" w:eastAsia="仿宋" w:hAnsi="仿宋" w:hint="eastAsia"/>
          </w:rPr>
          <w:t>五、财政拨款支出决算明细表（政府经济分类科目）</w:t>
        </w:r>
        <w:r w:rsidR="001F5732">
          <w:tab/>
        </w:r>
        <w:r>
          <w:fldChar w:fldCharType="begin"/>
        </w:r>
        <w:r w:rsidR="001F5732">
          <w:instrText xml:space="preserve"> PAGEREF _Toc13962 </w:instrText>
        </w:r>
        <w:r>
          <w:fldChar w:fldCharType="separate"/>
        </w:r>
        <w:r w:rsidR="001F5732">
          <w:t>12</w:t>
        </w:r>
        <w:r>
          <w:fldChar w:fldCharType="end"/>
        </w:r>
      </w:hyperlink>
    </w:p>
    <w:p w:rsidR="00EC2704" w:rsidRDefault="00FA1712">
      <w:pPr>
        <w:pStyle w:val="20"/>
        <w:tabs>
          <w:tab w:val="clear" w:pos="8296"/>
          <w:tab w:val="right" w:leader="dot" w:pos="8306"/>
        </w:tabs>
      </w:pPr>
      <w:hyperlink w:anchor="_Toc16584" w:history="1">
        <w:r w:rsidR="001F5732">
          <w:rPr>
            <w:rFonts w:ascii="仿宋" w:eastAsia="仿宋" w:hAnsi="仿宋" w:hint="eastAsia"/>
          </w:rPr>
          <w:t>六、一般公共预算财政拨款支出决算表</w:t>
        </w:r>
        <w:r w:rsidR="001F5732">
          <w:tab/>
        </w:r>
        <w:r>
          <w:fldChar w:fldCharType="begin"/>
        </w:r>
        <w:r w:rsidR="001F5732">
          <w:instrText xml:space="preserve"> PAGEREF _Toc16584 </w:instrText>
        </w:r>
        <w:r>
          <w:fldChar w:fldCharType="separate"/>
        </w:r>
        <w:r w:rsidR="001F5732">
          <w:t>12</w:t>
        </w:r>
        <w:r>
          <w:fldChar w:fldCharType="end"/>
        </w:r>
      </w:hyperlink>
    </w:p>
    <w:p w:rsidR="00EC2704" w:rsidRDefault="00FA1712">
      <w:pPr>
        <w:pStyle w:val="20"/>
        <w:tabs>
          <w:tab w:val="clear" w:pos="8296"/>
          <w:tab w:val="right" w:leader="dot" w:pos="8306"/>
        </w:tabs>
      </w:pPr>
      <w:hyperlink w:anchor="_Toc19562" w:history="1">
        <w:r w:rsidR="001F5732">
          <w:rPr>
            <w:rFonts w:ascii="仿宋" w:eastAsia="仿宋" w:hAnsi="仿宋" w:hint="eastAsia"/>
          </w:rPr>
          <w:t>七、一般公共预算财政拨款支出决算明细表</w:t>
        </w:r>
        <w:r w:rsidR="001F5732">
          <w:tab/>
        </w:r>
        <w:r>
          <w:fldChar w:fldCharType="begin"/>
        </w:r>
        <w:r w:rsidR="001F5732">
          <w:instrText xml:space="preserve"> PAGEREF _Toc19562 </w:instrText>
        </w:r>
        <w:r>
          <w:fldChar w:fldCharType="separate"/>
        </w:r>
        <w:r w:rsidR="001F5732">
          <w:t>12</w:t>
        </w:r>
        <w:r>
          <w:fldChar w:fldCharType="end"/>
        </w:r>
      </w:hyperlink>
    </w:p>
    <w:p w:rsidR="00EC2704" w:rsidRDefault="00FA1712">
      <w:pPr>
        <w:pStyle w:val="20"/>
        <w:tabs>
          <w:tab w:val="clear" w:pos="8296"/>
          <w:tab w:val="right" w:leader="dot" w:pos="8306"/>
        </w:tabs>
      </w:pPr>
      <w:hyperlink w:anchor="_Toc24804" w:history="1">
        <w:r w:rsidR="001F5732">
          <w:rPr>
            <w:rFonts w:ascii="仿宋" w:eastAsia="仿宋" w:hAnsi="仿宋" w:hint="eastAsia"/>
          </w:rPr>
          <w:t>八、一般公共预算财政拨款基本支出决算表</w:t>
        </w:r>
        <w:r w:rsidR="001F5732">
          <w:tab/>
        </w:r>
        <w:r>
          <w:fldChar w:fldCharType="begin"/>
        </w:r>
        <w:r w:rsidR="001F5732">
          <w:instrText xml:space="preserve"> PAGEREF _Toc24804 </w:instrText>
        </w:r>
        <w:r>
          <w:fldChar w:fldCharType="separate"/>
        </w:r>
        <w:r w:rsidR="001F5732">
          <w:t>12</w:t>
        </w:r>
        <w:r>
          <w:fldChar w:fldCharType="end"/>
        </w:r>
      </w:hyperlink>
    </w:p>
    <w:p w:rsidR="00EC2704" w:rsidRDefault="00FA1712">
      <w:pPr>
        <w:pStyle w:val="20"/>
        <w:tabs>
          <w:tab w:val="clear" w:pos="8296"/>
          <w:tab w:val="right" w:leader="dot" w:pos="8306"/>
        </w:tabs>
      </w:pPr>
      <w:hyperlink w:anchor="_Toc6662" w:history="1">
        <w:r w:rsidR="001F5732">
          <w:rPr>
            <w:rFonts w:ascii="仿宋" w:eastAsia="仿宋" w:hAnsi="仿宋" w:hint="eastAsia"/>
          </w:rPr>
          <w:t>九、一般公共预算财政拨款项目支出决算表</w:t>
        </w:r>
        <w:r w:rsidR="001F5732">
          <w:tab/>
        </w:r>
        <w:r>
          <w:fldChar w:fldCharType="begin"/>
        </w:r>
        <w:r w:rsidR="001F5732">
          <w:instrText xml:space="preserve"> PAGEREF _Toc6662 </w:instrText>
        </w:r>
        <w:r>
          <w:fldChar w:fldCharType="separate"/>
        </w:r>
        <w:r w:rsidR="001F5732">
          <w:t>12</w:t>
        </w:r>
        <w:r>
          <w:fldChar w:fldCharType="end"/>
        </w:r>
      </w:hyperlink>
    </w:p>
    <w:p w:rsidR="00EC2704" w:rsidRDefault="00FA1712">
      <w:pPr>
        <w:pStyle w:val="20"/>
        <w:tabs>
          <w:tab w:val="clear" w:pos="8296"/>
          <w:tab w:val="right" w:leader="dot" w:pos="8306"/>
        </w:tabs>
      </w:pPr>
      <w:hyperlink w:anchor="_Toc29915" w:history="1">
        <w:r w:rsidR="001F5732">
          <w:rPr>
            <w:rFonts w:ascii="仿宋" w:eastAsia="仿宋" w:hAnsi="仿宋" w:hint="eastAsia"/>
          </w:rPr>
          <w:t>十、一般公共预算财政拨款“三公”经费支出决算表</w:t>
        </w:r>
        <w:r w:rsidR="001F5732">
          <w:tab/>
        </w:r>
        <w:r>
          <w:fldChar w:fldCharType="begin"/>
        </w:r>
        <w:r w:rsidR="001F5732">
          <w:instrText xml:space="preserve"> PAGEREF _Toc29915 </w:instrText>
        </w:r>
        <w:r>
          <w:fldChar w:fldCharType="separate"/>
        </w:r>
        <w:r w:rsidR="001F5732">
          <w:t>12</w:t>
        </w:r>
        <w:r>
          <w:fldChar w:fldCharType="end"/>
        </w:r>
      </w:hyperlink>
    </w:p>
    <w:p w:rsidR="00FB50D7" w:rsidRPr="00FB50D7" w:rsidRDefault="00FA1712" w:rsidP="00FB50D7">
      <w:pPr>
        <w:pStyle w:val="20"/>
        <w:rPr>
          <w:rFonts w:ascii="仿宋" w:eastAsia="仿宋" w:hAnsi="仿宋"/>
          <w:color w:val="000000"/>
        </w:rPr>
      </w:pPr>
      <w:r>
        <w:rPr>
          <w:rFonts w:ascii="仿宋" w:eastAsia="仿宋" w:hAnsi="仿宋"/>
          <w:color w:val="000000"/>
        </w:rPr>
        <w:fldChar w:fldCharType="end"/>
      </w:r>
      <w:r w:rsidR="00FB50D7" w:rsidRPr="00FB50D7">
        <w:rPr>
          <w:rFonts w:ascii="仿宋" w:eastAsia="仿宋" w:hAnsi="仿宋" w:hint="eastAsia"/>
          <w:color w:val="000000"/>
        </w:rPr>
        <w:t>十</w:t>
      </w:r>
      <w:r w:rsidR="00FB50D7" w:rsidRPr="00FB50D7">
        <w:rPr>
          <w:rFonts w:ascii="仿宋" w:eastAsia="仿宋" w:hAnsi="仿宋"/>
          <w:color w:val="000000"/>
        </w:rPr>
        <w:t>一</w:t>
      </w:r>
      <w:r w:rsidR="00FB50D7" w:rsidRPr="00FB50D7">
        <w:rPr>
          <w:rFonts w:ascii="仿宋" w:eastAsia="仿宋" w:hAnsi="仿宋" w:hint="eastAsia"/>
          <w:color w:val="000000"/>
        </w:rPr>
        <w:t>、Z11 政府性基金预算财政拨款收入</w:t>
      </w:r>
      <w:r w:rsidR="00FB50D7" w:rsidRPr="00FB50D7">
        <w:rPr>
          <w:rFonts w:hint="eastAsia"/>
        </w:rPr>
        <w:t>支出决算表</w:t>
      </w:r>
      <w:r w:rsidR="00FB50D7" w:rsidRPr="00FB50D7">
        <w:tab/>
      </w:r>
      <w:fldSimple w:instr=" PAGEREF _Toc29915 ">
        <w:r w:rsidR="00FB50D7" w:rsidRPr="00FB50D7">
          <w:t>12</w:t>
        </w:r>
      </w:fldSimple>
    </w:p>
    <w:p w:rsidR="00FB50D7" w:rsidRPr="00FB50D7" w:rsidRDefault="00FB50D7" w:rsidP="00FB50D7">
      <w:pPr>
        <w:pStyle w:val="20"/>
        <w:rPr>
          <w:rFonts w:ascii="仿宋" w:eastAsia="仿宋" w:hAnsi="仿宋"/>
          <w:color w:val="000000"/>
        </w:rPr>
      </w:pPr>
      <w:r w:rsidRPr="00FB50D7">
        <w:rPr>
          <w:rFonts w:ascii="仿宋" w:eastAsia="仿宋" w:hAnsi="仿宋" w:hint="eastAsia"/>
          <w:color w:val="000000"/>
        </w:rPr>
        <w:lastRenderedPageBreak/>
        <w:t>十</w:t>
      </w:r>
      <w:r w:rsidRPr="00FB50D7">
        <w:rPr>
          <w:rFonts w:ascii="仿宋" w:eastAsia="仿宋" w:hAnsi="仿宋"/>
          <w:color w:val="000000"/>
        </w:rPr>
        <w:t>二</w:t>
      </w:r>
      <w:r w:rsidRPr="00FB50D7">
        <w:rPr>
          <w:rFonts w:ascii="仿宋" w:eastAsia="仿宋" w:hAnsi="仿宋" w:hint="eastAsia"/>
          <w:color w:val="000000"/>
        </w:rPr>
        <w:t>、Z12 政府性基金预算财政拨款“三公”经费支出决算表</w:t>
      </w:r>
      <w:r w:rsidRPr="00FB50D7">
        <w:rPr>
          <w:rFonts w:ascii="仿宋" w:eastAsia="仿宋" w:hAnsi="仿宋"/>
          <w:color w:val="000000"/>
        </w:rPr>
        <w:tab/>
      </w:r>
      <w:fldSimple w:instr=" PAGEREF _Toc29915 ">
        <w:r w:rsidRPr="00FB50D7">
          <w:t>12</w:t>
        </w:r>
      </w:fldSimple>
    </w:p>
    <w:p w:rsidR="00FB50D7" w:rsidRPr="00FB50D7" w:rsidRDefault="00FB50D7" w:rsidP="00FB50D7">
      <w:pPr>
        <w:pStyle w:val="20"/>
        <w:rPr>
          <w:rFonts w:ascii="仿宋" w:eastAsia="仿宋" w:hAnsi="仿宋"/>
          <w:color w:val="000000"/>
        </w:rPr>
      </w:pPr>
      <w:r w:rsidRPr="00FB50D7">
        <w:rPr>
          <w:rFonts w:ascii="仿宋" w:eastAsia="仿宋" w:hAnsi="仿宋" w:hint="eastAsia"/>
          <w:color w:val="000000"/>
        </w:rPr>
        <w:t>十</w:t>
      </w:r>
      <w:r w:rsidRPr="00FB50D7">
        <w:rPr>
          <w:rFonts w:ascii="仿宋" w:eastAsia="仿宋" w:hAnsi="仿宋"/>
          <w:color w:val="000000"/>
        </w:rPr>
        <w:t>三</w:t>
      </w:r>
      <w:r w:rsidRPr="00FB50D7">
        <w:rPr>
          <w:rFonts w:ascii="仿宋" w:eastAsia="仿宋" w:hAnsi="仿宋" w:hint="eastAsia"/>
          <w:color w:val="000000"/>
        </w:rPr>
        <w:t>、Z13 国有资本经营预算支出决算表</w:t>
      </w:r>
      <w:r w:rsidRPr="00FB50D7">
        <w:rPr>
          <w:rFonts w:ascii="仿宋" w:eastAsia="仿宋" w:hAnsi="仿宋"/>
          <w:color w:val="000000"/>
        </w:rPr>
        <w:tab/>
      </w:r>
      <w:fldSimple w:instr=" PAGEREF _Toc29915 ">
        <w:r w:rsidRPr="00FB50D7">
          <w:t>12</w:t>
        </w:r>
      </w:fldSimple>
    </w:p>
    <w:p w:rsidR="00EC2704" w:rsidRPr="00FB50D7" w:rsidRDefault="00EC2704">
      <w:pPr>
        <w:widowControl/>
        <w:jc w:val="left"/>
        <w:rPr>
          <w:rFonts w:ascii="仿宋" w:eastAsia="仿宋" w:hAnsi="仿宋"/>
          <w:color w:val="000000"/>
          <w:sz w:val="24"/>
        </w:rPr>
      </w:pPr>
    </w:p>
    <w:p w:rsidR="00EC2704" w:rsidRDefault="001F5732">
      <w:pPr>
        <w:widowControl/>
        <w:jc w:val="left"/>
        <w:rPr>
          <w:rFonts w:ascii="黑体" w:eastAsia="黑体" w:hAnsi="黑体"/>
          <w:bCs/>
          <w:kern w:val="44"/>
          <w:sz w:val="44"/>
          <w:szCs w:val="44"/>
        </w:rPr>
      </w:pPr>
      <w:bookmarkStart w:id="15" w:name="_Toc15377196"/>
      <w:r>
        <w:rPr>
          <w:rFonts w:ascii="黑体" w:eastAsia="黑体" w:hAnsi="黑体"/>
          <w:b/>
        </w:rPr>
        <w:br w:type="page"/>
      </w:r>
    </w:p>
    <w:p w:rsidR="00EC2704" w:rsidRDefault="001F5732">
      <w:pPr>
        <w:pStyle w:val="1"/>
        <w:jc w:val="center"/>
        <w:rPr>
          <w:rStyle w:val="1Char"/>
          <w:rFonts w:ascii="黑体" w:eastAsia="黑体" w:hAnsi="黑体"/>
          <w:b/>
        </w:rPr>
      </w:pPr>
      <w:bookmarkStart w:id="16" w:name="_Toc29454"/>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5"/>
      <w:bookmarkEnd w:id="16"/>
    </w:p>
    <w:p w:rsidR="00EC2704" w:rsidRDefault="00EC2704">
      <w:pPr>
        <w:widowControl/>
        <w:jc w:val="left"/>
        <w:rPr>
          <w:rFonts w:ascii="黑体" w:eastAsia="黑体"/>
          <w:color w:val="000000"/>
          <w:sz w:val="32"/>
          <w:szCs w:val="32"/>
        </w:rPr>
      </w:pPr>
    </w:p>
    <w:p w:rsidR="00EC2704" w:rsidRDefault="001F5732">
      <w:pPr>
        <w:pStyle w:val="2"/>
        <w:rPr>
          <w:rStyle w:val="2Char"/>
          <w:rFonts w:ascii="仿宋" w:eastAsia="仿宋" w:hAnsi="仿宋"/>
        </w:rPr>
      </w:pPr>
      <w:bookmarkStart w:id="17" w:name="_Toc15377197"/>
      <w:bookmarkStart w:id="18" w:name="_Toc4930"/>
      <w:r>
        <w:rPr>
          <w:rFonts w:ascii="黑体" w:eastAsia="黑体" w:hAnsi="黑体" w:hint="eastAsia"/>
          <w:b w:val="0"/>
          <w:color w:val="000000"/>
        </w:rPr>
        <w:t>一、基</w:t>
      </w:r>
      <w:r>
        <w:rPr>
          <w:rStyle w:val="2Char"/>
          <w:rFonts w:ascii="黑体" w:eastAsia="黑体" w:hAnsi="黑体" w:hint="eastAsia"/>
        </w:rPr>
        <w:t>本职能及主要工作</w:t>
      </w:r>
      <w:bookmarkEnd w:id="17"/>
      <w:bookmarkEnd w:id="18"/>
    </w:p>
    <w:p w:rsidR="00EC2704" w:rsidRDefault="001F5732">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9" w:name="_Toc15377198"/>
      <w:bookmarkStart w:id="20" w:name="_Toc15378445"/>
      <w:r>
        <w:rPr>
          <w:rFonts w:ascii="仿宋" w:eastAsia="仿宋" w:hAnsi="仿宋" w:hint="eastAsia"/>
          <w:bCs/>
          <w:color w:val="000000"/>
          <w:sz w:val="32"/>
          <w:szCs w:val="32"/>
        </w:rPr>
        <w:t>（一）主要职能。</w:t>
      </w:r>
      <w:bookmarkEnd w:id="19"/>
      <w:bookmarkEnd w:id="20"/>
    </w:p>
    <w:p w:rsidR="00EC2704" w:rsidRDefault="001F5732">
      <w:pPr>
        <w:pStyle w:val="a7"/>
        <w:widowControl/>
        <w:shd w:val="clear" w:color="auto" w:fill="FFFFFF"/>
        <w:spacing w:beforeAutospacing="0" w:afterAutospacing="0"/>
        <w:rPr>
          <w:rFonts w:ascii="仿宋" w:eastAsia="仿宋" w:hAnsi="仿宋"/>
          <w:bCs/>
          <w:color w:val="000000"/>
          <w:sz w:val="32"/>
          <w:szCs w:val="32"/>
        </w:rPr>
      </w:pPr>
      <w:r>
        <w:rPr>
          <w:rFonts w:ascii="仿宋_GB2312" w:eastAsia="仿宋_GB2312" w:hAnsi="宋体" w:cs="仿宋_GB2312" w:hint="eastAsia"/>
          <w:sz w:val="30"/>
          <w:szCs w:val="30"/>
        </w:rPr>
        <w:t> </w:t>
      </w:r>
      <w:r>
        <w:rPr>
          <w:rFonts w:ascii="仿宋" w:eastAsia="仿宋" w:hAnsi="仿宋" w:hint="eastAsia"/>
          <w:bCs/>
          <w:color w:val="000000"/>
          <w:sz w:val="32"/>
          <w:szCs w:val="32"/>
        </w:rPr>
        <w:t xml:space="preserve">  拟定和执行全县财政、税收的发展战略、中长期规划改革方案；参与制定有关综合经济政策；提出运用财税政策实施县级调控和综合平衡社会财力的建议；拟订和执行县级与乡镇、财政与企业的分配政策。拟定财政、财务、会计管理的地方规范性文件；制定和执行全县财政、财务、会计管理规章制度编制年度县级预决算草案并组织执行；受县人民政府委托，向县人民代表大会报告县级预算及执行情况，向县人大常委会报告决算；管理上级拨款和本级财政收支；会同物价部门审核行政事业性收费项目，参与审核行政事业性收费标准；负责承办有关政策性基金审核、报批的事项；负责全县预算资金管理工作；管理县级预算外资金财政专户；管理有关政府性基金。根据预算安排，确定财政税收收入计划，并组织实施管理和监督。管理由县级财政承担的基本建设支出、农业支出、工商贸易性支出和公共支出等；负责农业综合开发项目、资金财务管理；拟定全县政府采购管理办法，指导、监督、检查全县政府采购工作。参与全县社会保障制</w:t>
      </w:r>
      <w:r>
        <w:rPr>
          <w:rFonts w:ascii="仿宋" w:eastAsia="仿宋" w:hAnsi="仿宋" w:hint="eastAsia"/>
          <w:bCs/>
          <w:color w:val="000000"/>
          <w:sz w:val="32"/>
          <w:szCs w:val="32"/>
        </w:rPr>
        <w:lastRenderedPageBreak/>
        <w:t>度和政策、行政措施的研究制定；管理、检查社会审计、会计、评估等中介机构及延伸检查相关单位会计信息质量；负责全县行政、事业和企业单位的财政监督，监督财税方针政策、法律法规的执行情况；检查监督本级预算收入征收部门征收各项预算收入情况，检查财政支出管理中的重大问题，提出加强财政管理的政策建议；制定、落实全县财政科学研究计划和全县财政教育规划，组织财政人员培训；负责财政信息和财政宣传工作；指导全县财政系统精神文明建设；负责本局机关和直属单位人事教育、党团工作；完成上级交办的其他事项。</w:t>
      </w:r>
    </w:p>
    <w:p w:rsidR="00EC2704" w:rsidRDefault="00EC2704">
      <w:pPr>
        <w:pStyle w:val="a3"/>
        <w:adjustRightInd w:val="0"/>
        <w:snapToGrid w:val="0"/>
        <w:spacing w:before="93" w:line="600" w:lineRule="exact"/>
        <w:ind w:firstLineChars="210" w:firstLine="672"/>
        <w:outlineLvl w:val="2"/>
        <w:rPr>
          <w:rFonts w:ascii="仿宋" w:eastAsia="仿宋" w:hAnsi="仿宋"/>
          <w:bCs/>
          <w:color w:val="000000"/>
          <w:sz w:val="32"/>
          <w:szCs w:val="32"/>
        </w:rPr>
      </w:pPr>
    </w:p>
    <w:p w:rsidR="00EC2704" w:rsidRDefault="001F5732">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21" w:name="_Toc15377199"/>
      <w:bookmarkStart w:id="22" w:name="_Toc15378446"/>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8年重点工作完成情况。</w:t>
      </w:r>
      <w:bookmarkEnd w:id="21"/>
      <w:bookmarkEnd w:id="22"/>
    </w:p>
    <w:p w:rsidR="00EC2704" w:rsidRDefault="001F5732">
      <w:pPr>
        <w:widowControl/>
        <w:spacing w:line="560" w:lineRule="exact"/>
        <w:ind w:firstLineChars="200" w:firstLine="600"/>
        <w:jc w:val="left"/>
        <w:rPr>
          <w:rFonts w:ascii="仿宋_GB2312" w:eastAsia="仿宋_GB2312" w:cs="仿宋_GB2312"/>
          <w:sz w:val="30"/>
          <w:szCs w:val="30"/>
        </w:rPr>
      </w:pPr>
      <w:r>
        <w:rPr>
          <w:rFonts w:ascii="仿宋_GB2312" w:eastAsia="仿宋_GB2312" w:hAnsi="宋体" w:cs="仿宋_GB2312" w:hint="eastAsia"/>
          <w:kern w:val="0"/>
          <w:sz w:val="30"/>
          <w:szCs w:val="30"/>
        </w:rPr>
        <w:t xml:space="preserve"> 我局围绕全县财政工作任务和财政改革重点，加强税政法规基础建设，进一步增强全县财政干部的法律意识，积极落实行政执法责任制，规范行政执法行为,提高依法理财、依法行政水平，严格财税执法监督，全局依法行政水平不断提高。一是加强普法培训，增强财政干部依法理财、依法行政的自觉性；二是健全机制，完善制度，规范执法程序；三是依法行政，提高财政执法水平；四是实行内部审计制度，强化内部监督。</w:t>
      </w:r>
    </w:p>
    <w:p w:rsidR="00EC2704" w:rsidRDefault="00EC2704">
      <w:pPr>
        <w:pStyle w:val="a3"/>
        <w:adjustRightInd w:val="0"/>
        <w:snapToGrid w:val="0"/>
        <w:spacing w:before="93" w:line="600" w:lineRule="exact"/>
        <w:ind w:firstLineChars="210" w:firstLine="672"/>
        <w:outlineLvl w:val="2"/>
        <w:rPr>
          <w:rFonts w:ascii="仿宋" w:eastAsia="仿宋" w:hAnsi="仿宋"/>
          <w:bCs/>
          <w:color w:val="000000"/>
          <w:sz w:val="32"/>
          <w:szCs w:val="32"/>
        </w:rPr>
      </w:pPr>
    </w:p>
    <w:p w:rsidR="00EC2704" w:rsidRDefault="001F5732">
      <w:pPr>
        <w:pStyle w:val="2"/>
        <w:rPr>
          <w:rStyle w:val="2Char"/>
        </w:rPr>
      </w:pPr>
      <w:bookmarkStart w:id="23" w:name="_Toc15377200"/>
      <w:bookmarkStart w:id="24" w:name="_Toc29726"/>
      <w:r>
        <w:rPr>
          <w:rFonts w:ascii="黑体" w:eastAsia="黑体" w:hint="eastAsia"/>
          <w:b w:val="0"/>
          <w:color w:val="000000"/>
        </w:rPr>
        <w:lastRenderedPageBreak/>
        <w:t>二、</w:t>
      </w:r>
      <w:r>
        <w:rPr>
          <w:rFonts w:ascii="黑体" w:eastAsia="黑体" w:hAnsi="黑体" w:hint="eastAsia"/>
          <w:b w:val="0"/>
          <w:color w:val="000000"/>
        </w:rPr>
        <w:t>机</w:t>
      </w:r>
      <w:r>
        <w:rPr>
          <w:rStyle w:val="2Char"/>
          <w:rFonts w:ascii="黑体" w:eastAsia="黑体" w:hAnsi="黑体" w:hint="eastAsia"/>
        </w:rPr>
        <w:t>构设置</w:t>
      </w:r>
      <w:bookmarkEnd w:id="23"/>
      <w:bookmarkEnd w:id="24"/>
    </w:p>
    <w:p w:rsidR="00EC2704" w:rsidRDefault="001F5732">
      <w:pPr>
        <w:pStyle w:val="a7"/>
        <w:widowControl/>
        <w:spacing w:line="390" w:lineRule="atLeast"/>
        <w:ind w:firstLineChars="150" w:firstLine="450"/>
        <w:rPr>
          <w:rFonts w:ascii="仿宋_GB2312" w:eastAsia="仿宋_GB2312" w:cs="仿宋_GB2312"/>
          <w:bCs/>
          <w:sz w:val="30"/>
        </w:rPr>
      </w:pPr>
      <w:r>
        <w:rPr>
          <w:rFonts w:ascii="仿宋_GB2312" w:eastAsia="仿宋_GB2312" w:cs="仿宋_GB2312" w:hint="eastAsia"/>
          <w:bCs/>
          <w:sz w:val="30"/>
        </w:rPr>
        <w:t>独立核算机构1个。总编制133名，其中行政编制73名，事业编制60名（其中参照公务员法管理25人，财政补助35人），2018年末在职人员119人 ，退休人员50人,遗嘱6人。</w:t>
      </w:r>
    </w:p>
    <w:p w:rsidR="00EC2704" w:rsidRDefault="001F5732">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EC2704" w:rsidRDefault="001F5732">
      <w:pPr>
        <w:pStyle w:val="1"/>
        <w:ind w:right="440"/>
        <w:jc w:val="right"/>
        <w:rPr>
          <w:rStyle w:val="1Char"/>
          <w:rFonts w:ascii="黑体" w:eastAsia="黑体" w:hAnsi="黑体"/>
        </w:rPr>
      </w:pPr>
      <w:bookmarkStart w:id="25" w:name="_Toc15377204"/>
      <w:bookmarkStart w:id="26" w:name="_Toc9931"/>
      <w:r>
        <w:rPr>
          <w:rFonts w:ascii="黑体" w:eastAsia="黑体" w:hAnsi="黑体" w:hint="eastAsia"/>
          <w:b w:val="0"/>
          <w:color w:val="000000"/>
        </w:rPr>
        <w:lastRenderedPageBreak/>
        <w:t>第二部分</w:t>
      </w:r>
      <w:r>
        <w:rPr>
          <w:rStyle w:val="1Char"/>
          <w:rFonts w:ascii="黑体" w:eastAsia="黑体" w:hAnsi="黑体" w:hint="eastAsia"/>
        </w:rPr>
        <w:t>2018年度部门决算情况说明</w:t>
      </w:r>
      <w:bookmarkEnd w:id="25"/>
      <w:bookmarkEnd w:id="26"/>
    </w:p>
    <w:p w:rsidR="00EC2704" w:rsidRDefault="00EC2704"/>
    <w:p w:rsidR="00EC2704" w:rsidRDefault="001F5732">
      <w:pPr>
        <w:pStyle w:val="aa"/>
        <w:numPr>
          <w:ilvl w:val="0"/>
          <w:numId w:val="1"/>
        </w:numPr>
        <w:spacing w:line="600" w:lineRule="exact"/>
        <w:ind w:firstLineChars="0"/>
        <w:outlineLvl w:val="1"/>
        <w:rPr>
          <w:rStyle w:val="2Char"/>
          <w:rFonts w:ascii="黑体" w:eastAsia="黑体" w:hAnsi="黑体"/>
          <w:b w:val="0"/>
        </w:rPr>
      </w:pPr>
      <w:bookmarkStart w:id="27" w:name="_Toc15377205"/>
      <w:bookmarkStart w:id="28" w:name="_Toc502"/>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7"/>
      <w:bookmarkEnd w:id="28"/>
    </w:p>
    <w:p w:rsidR="00EC2704" w:rsidRDefault="001F5732">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sz w:val="32"/>
          <w:szCs w:val="32"/>
        </w:rPr>
        <w:t>2018年度收、支总计1953.2万元。与2017年相比，收、支总计减少19.94万元，降低1</w:t>
      </w:r>
      <w:r>
        <w:rPr>
          <w:rFonts w:ascii="仿宋" w:eastAsia="仿宋" w:hAnsi="仿宋"/>
          <w:color w:val="000000"/>
          <w:sz w:val="32"/>
          <w:szCs w:val="32"/>
        </w:rPr>
        <w:t>%</w:t>
      </w:r>
      <w:r>
        <w:rPr>
          <w:rFonts w:ascii="仿宋" w:eastAsia="仿宋" w:hAnsi="仿宋" w:hint="eastAsia"/>
          <w:color w:val="000000"/>
          <w:sz w:val="32"/>
          <w:szCs w:val="32"/>
        </w:rPr>
        <w:t>。</w:t>
      </w:r>
    </w:p>
    <w:p w:rsidR="00EC2704" w:rsidRDefault="001F5732">
      <w:pPr>
        <w:spacing w:line="600" w:lineRule="exact"/>
        <w:ind w:firstLineChars="500" w:firstLine="1050"/>
        <w:rPr>
          <w:rFonts w:ascii="仿宋" w:eastAsia="仿宋" w:hAnsi="仿宋"/>
          <w:color w:val="000000" w:themeColor="text1"/>
          <w:sz w:val="32"/>
          <w:szCs w:val="32"/>
        </w:rPr>
      </w:pPr>
      <w:r>
        <w:rPr>
          <w:noProof/>
        </w:rPr>
        <w:drawing>
          <wp:anchor distT="0" distB="0" distL="114300" distR="114300" simplePos="0" relativeHeight="251661312" behindDoc="0" locked="0" layoutInCell="1" allowOverlap="1">
            <wp:simplePos x="0" y="0"/>
            <wp:positionH relativeFrom="column">
              <wp:posOffset>492760</wp:posOffset>
            </wp:positionH>
            <wp:positionV relativeFrom="paragraph">
              <wp:posOffset>193675</wp:posOffset>
            </wp:positionV>
            <wp:extent cx="4142105" cy="2431415"/>
            <wp:effectExtent l="0" t="0" r="10795" b="6985"/>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4142105" cy="2431415"/>
                    </a:xfrm>
                    <a:prstGeom prst="rect">
                      <a:avLst/>
                    </a:prstGeom>
                    <a:noFill/>
                    <a:ln>
                      <a:noFill/>
                    </a:ln>
                  </pic:spPr>
                </pic:pic>
              </a:graphicData>
            </a:graphic>
          </wp:anchor>
        </w:drawing>
      </w: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w:t>
      </w:r>
    </w:p>
    <w:p w:rsidR="00EC2704" w:rsidRDefault="00EC2704">
      <w:pPr>
        <w:spacing w:line="600" w:lineRule="exact"/>
        <w:ind w:firstLineChars="200" w:firstLine="640"/>
        <w:jc w:val="left"/>
        <w:rPr>
          <w:rFonts w:ascii="仿宋_GB2312" w:eastAsia="仿宋_GB2312"/>
          <w:color w:val="000000"/>
          <w:sz w:val="32"/>
          <w:szCs w:val="32"/>
        </w:rPr>
      </w:pPr>
    </w:p>
    <w:p w:rsidR="00EC2704" w:rsidRDefault="001F5732">
      <w:pPr>
        <w:pStyle w:val="aa"/>
        <w:numPr>
          <w:ilvl w:val="0"/>
          <w:numId w:val="1"/>
        </w:numPr>
        <w:spacing w:line="600" w:lineRule="exact"/>
        <w:ind w:firstLineChars="0"/>
        <w:outlineLvl w:val="1"/>
        <w:rPr>
          <w:rStyle w:val="2Char"/>
          <w:rFonts w:ascii="黑体" w:eastAsia="黑体" w:hAnsi="黑体"/>
          <w:b w:val="0"/>
        </w:rPr>
      </w:pPr>
      <w:bookmarkStart w:id="29" w:name="_Toc15377206"/>
      <w:bookmarkStart w:id="30" w:name="_Toc32275"/>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9"/>
      <w:bookmarkEnd w:id="30"/>
    </w:p>
    <w:p w:rsidR="00EC2704" w:rsidRDefault="001F5732">
      <w:pPr>
        <w:spacing w:line="600" w:lineRule="exact"/>
        <w:ind w:firstLineChars="200" w:firstLine="640"/>
        <w:rPr>
          <w:rFonts w:ascii="仿宋" w:eastAsia="仿宋" w:hAnsi="仿宋"/>
          <w:color w:val="000000"/>
          <w:sz w:val="32"/>
          <w:szCs w:val="32"/>
        </w:rPr>
      </w:pPr>
      <w:r>
        <w:rPr>
          <w:rFonts w:ascii="仿宋" w:eastAsia="仿宋" w:hAnsi="仿宋" w:hint="eastAsia"/>
          <w:noProof/>
          <w:color w:val="000000"/>
          <w:sz w:val="32"/>
          <w:szCs w:val="32"/>
        </w:rPr>
        <w:drawing>
          <wp:anchor distT="0" distB="0" distL="114300" distR="114300" simplePos="0" relativeHeight="251662336" behindDoc="0" locked="0" layoutInCell="1" allowOverlap="1">
            <wp:simplePos x="0" y="0"/>
            <wp:positionH relativeFrom="column">
              <wp:posOffset>1062990</wp:posOffset>
            </wp:positionH>
            <wp:positionV relativeFrom="paragraph">
              <wp:posOffset>1276985</wp:posOffset>
            </wp:positionV>
            <wp:extent cx="3035935" cy="1981200"/>
            <wp:effectExtent l="0" t="0" r="12065" b="0"/>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3035935" cy="1981200"/>
                    </a:xfrm>
                    <a:prstGeom prst="rect">
                      <a:avLst/>
                    </a:prstGeom>
                    <a:noFill/>
                    <a:ln>
                      <a:noFill/>
                    </a:ln>
                  </pic:spPr>
                </pic:pic>
              </a:graphicData>
            </a:graphic>
          </wp:anchor>
        </w:drawing>
      </w:r>
      <w:r>
        <w:rPr>
          <w:rFonts w:ascii="仿宋" w:eastAsia="仿宋" w:hAnsi="仿宋" w:hint="eastAsia"/>
          <w:color w:val="000000"/>
          <w:sz w:val="32"/>
          <w:szCs w:val="32"/>
        </w:rPr>
        <w:t>2018年本年收入合计1953.2万元，其中：一般公共预算财政拨款收入1431.95万元，占73%；上年结转收入521.24万元，占27%。</w:t>
      </w:r>
    </w:p>
    <w:p w:rsidR="00EC2704" w:rsidRDefault="001F5732">
      <w:pPr>
        <w:spacing w:line="600" w:lineRule="exact"/>
        <w:ind w:firstLineChars="700" w:firstLine="2240"/>
        <w:rPr>
          <w:rFonts w:ascii="仿宋" w:eastAsia="仿宋" w:hAnsi="仿宋"/>
          <w:color w:val="000000" w:themeColor="text1"/>
          <w:sz w:val="32"/>
          <w:szCs w:val="32"/>
        </w:rPr>
      </w:pPr>
      <w:r>
        <w:rPr>
          <w:rFonts w:ascii="仿宋" w:eastAsia="仿宋" w:hAnsi="仿宋" w:hint="eastAsia"/>
          <w:color w:val="000000" w:themeColor="text1"/>
          <w:sz w:val="32"/>
          <w:szCs w:val="32"/>
        </w:rPr>
        <w:lastRenderedPageBreak/>
        <w:t>（图2：收入决算结构图）</w:t>
      </w:r>
    </w:p>
    <w:p w:rsidR="00EC2704" w:rsidRDefault="00EC2704">
      <w:pPr>
        <w:spacing w:line="600" w:lineRule="exact"/>
        <w:ind w:firstLineChars="200" w:firstLine="640"/>
        <w:rPr>
          <w:rFonts w:ascii="仿宋_GB2312" w:eastAsia="仿宋_GB2312"/>
          <w:color w:val="FF0000"/>
          <w:sz w:val="32"/>
          <w:szCs w:val="32"/>
        </w:rPr>
      </w:pPr>
    </w:p>
    <w:p w:rsidR="00EC2704" w:rsidRDefault="001F5732">
      <w:pPr>
        <w:pStyle w:val="aa"/>
        <w:numPr>
          <w:ilvl w:val="0"/>
          <w:numId w:val="1"/>
        </w:numPr>
        <w:spacing w:line="600" w:lineRule="exact"/>
        <w:ind w:firstLineChars="0"/>
        <w:outlineLvl w:val="1"/>
        <w:rPr>
          <w:rStyle w:val="2Char"/>
          <w:rFonts w:ascii="黑体" w:eastAsia="黑体" w:hAnsi="黑体"/>
          <w:b w:val="0"/>
        </w:rPr>
      </w:pPr>
      <w:bookmarkStart w:id="31" w:name="_Toc15377207"/>
      <w:bookmarkStart w:id="32" w:name="_Toc27470"/>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31"/>
      <w:bookmarkEnd w:id="32"/>
    </w:p>
    <w:p w:rsidR="00EC2704" w:rsidRDefault="001F5732">
      <w:pPr>
        <w:spacing w:line="600" w:lineRule="exact"/>
        <w:ind w:firstLine="640"/>
        <w:rPr>
          <w:rFonts w:ascii="仿宋" w:eastAsia="仿宋" w:hAnsi="仿宋"/>
          <w:color w:val="000000"/>
          <w:sz w:val="32"/>
          <w:szCs w:val="32"/>
          <w:shd w:val="pct10" w:color="auto" w:fill="FFFFFF"/>
        </w:rPr>
      </w:pPr>
      <w:r>
        <w:rPr>
          <w:rFonts w:ascii="仿宋" w:eastAsia="仿宋" w:hAnsi="仿宋"/>
          <w:color w:val="000000"/>
          <w:sz w:val="32"/>
          <w:szCs w:val="32"/>
        </w:rPr>
        <w:t>201</w:t>
      </w:r>
      <w:r>
        <w:rPr>
          <w:rFonts w:ascii="仿宋" w:eastAsia="仿宋" w:hAnsi="仿宋" w:hint="eastAsia"/>
          <w:color w:val="000000"/>
          <w:sz w:val="32"/>
          <w:szCs w:val="32"/>
        </w:rPr>
        <w:t>8年本年支出合计1953.2万元，其中：基本支出1413.95万元，占72</w:t>
      </w:r>
      <w:r>
        <w:rPr>
          <w:rFonts w:ascii="仿宋" w:eastAsia="仿宋" w:hAnsi="仿宋"/>
          <w:color w:val="000000"/>
          <w:sz w:val="32"/>
          <w:szCs w:val="32"/>
        </w:rPr>
        <w:t>%</w:t>
      </w:r>
      <w:r>
        <w:rPr>
          <w:rFonts w:ascii="仿宋" w:eastAsia="仿宋" w:hAnsi="仿宋" w:hint="eastAsia"/>
          <w:color w:val="000000"/>
          <w:sz w:val="32"/>
          <w:szCs w:val="32"/>
        </w:rPr>
        <w:t>；项目支出539.24万元，占28</w:t>
      </w:r>
      <w:r>
        <w:rPr>
          <w:rFonts w:ascii="仿宋" w:eastAsia="仿宋" w:hAnsi="仿宋"/>
          <w:color w:val="000000"/>
          <w:sz w:val="32"/>
          <w:szCs w:val="32"/>
        </w:rPr>
        <w:t>%</w:t>
      </w:r>
      <w:r>
        <w:rPr>
          <w:rFonts w:ascii="仿宋" w:eastAsia="仿宋" w:hAnsi="仿宋" w:hint="eastAsia"/>
          <w:color w:val="000000"/>
          <w:sz w:val="32"/>
          <w:szCs w:val="32"/>
        </w:rPr>
        <w:t>；</w:t>
      </w:r>
    </w:p>
    <w:p w:rsidR="00EC2704" w:rsidRDefault="001F5732">
      <w:pPr>
        <w:spacing w:line="600" w:lineRule="exact"/>
        <w:ind w:firstLineChars="900" w:firstLine="1890"/>
        <w:rPr>
          <w:rFonts w:ascii="仿宋_GB2312" w:eastAsia="仿宋_GB2312"/>
          <w:color w:val="FF0000"/>
          <w:sz w:val="32"/>
          <w:szCs w:val="32"/>
        </w:rPr>
      </w:pPr>
      <w:r>
        <w:rPr>
          <w:noProof/>
        </w:rPr>
        <w:drawing>
          <wp:anchor distT="0" distB="0" distL="114300" distR="114300" simplePos="0" relativeHeight="251660288" behindDoc="0" locked="0" layoutInCell="1" allowOverlap="1">
            <wp:simplePos x="0" y="0"/>
            <wp:positionH relativeFrom="column">
              <wp:posOffset>907415</wp:posOffset>
            </wp:positionH>
            <wp:positionV relativeFrom="paragraph">
              <wp:posOffset>237490</wp:posOffset>
            </wp:positionV>
            <wp:extent cx="3148330" cy="1884045"/>
            <wp:effectExtent l="0" t="0" r="13970" b="1905"/>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3148330" cy="1884045"/>
                    </a:xfrm>
                    <a:prstGeom prst="rect">
                      <a:avLst/>
                    </a:prstGeom>
                    <a:noFill/>
                    <a:ln>
                      <a:noFill/>
                    </a:ln>
                  </pic:spPr>
                </pic:pic>
              </a:graphicData>
            </a:graphic>
          </wp:anchor>
        </w:drawing>
      </w:r>
      <w:r>
        <w:rPr>
          <w:rFonts w:ascii="仿宋" w:eastAsia="仿宋" w:hAnsi="仿宋" w:hint="eastAsia"/>
          <w:color w:val="000000" w:themeColor="text1"/>
          <w:sz w:val="32"/>
          <w:szCs w:val="32"/>
        </w:rPr>
        <w:t>（图3：支出决算结构图）</w:t>
      </w:r>
    </w:p>
    <w:p w:rsidR="00EC2704" w:rsidRDefault="001F5732">
      <w:pPr>
        <w:spacing w:line="600" w:lineRule="exact"/>
        <w:ind w:firstLineChars="200" w:firstLine="640"/>
        <w:outlineLvl w:val="1"/>
        <w:rPr>
          <w:rStyle w:val="2Char"/>
          <w:rFonts w:ascii="黑体" w:eastAsia="黑体" w:hAnsi="黑体"/>
          <w:b w:val="0"/>
        </w:rPr>
      </w:pPr>
      <w:bookmarkStart w:id="33" w:name="_Toc15377208"/>
      <w:bookmarkStart w:id="34" w:name="_Toc8091"/>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3"/>
      <w:bookmarkEnd w:id="34"/>
    </w:p>
    <w:p w:rsidR="00EC2704" w:rsidRDefault="001F5732">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8年财政拨款收、支总计1953.2万元。与</w:t>
      </w:r>
      <w:r>
        <w:rPr>
          <w:rFonts w:ascii="仿宋" w:eastAsia="仿宋" w:hAnsi="仿宋"/>
          <w:color w:val="000000"/>
          <w:sz w:val="32"/>
          <w:szCs w:val="32"/>
        </w:rPr>
        <w:t>201</w:t>
      </w:r>
      <w:r>
        <w:rPr>
          <w:rFonts w:ascii="仿宋" w:eastAsia="仿宋" w:hAnsi="仿宋" w:hint="eastAsia"/>
          <w:color w:val="000000"/>
          <w:sz w:val="32"/>
          <w:szCs w:val="32"/>
        </w:rPr>
        <w:t>7年相比，财政拨款收、支总计各减少19.94万元，下降1</w:t>
      </w:r>
      <w:r>
        <w:rPr>
          <w:rFonts w:ascii="仿宋" w:eastAsia="仿宋" w:hAnsi="仿宋"/>
          <w:color w:val="000000"/>
          <w:sz w:val="32"/>
          <w:szCs w:val="32"/>
        </w:rPr>
        <w:t>%</w:t>
      </w:r>
      <w:r>
        <w:rPr>
          <w:rFonts w:ascii="仿宋" w:eastAsia="仿宋" w:hAnsi="仿宋" w:hint="eastAsia"/>
          <w:color w:val="000000"/>
          <w:sz w:val="32"/>
          <w:szCs w:val="32"/>
        </w:rPr>
        <w:t>。</w:t>
      </w:r>
    </w:p>
    <w:p w:rsidR="00EC2704" w:rsidRDefault="001F5732">
      <w:pPr>
        <w:spacing w:line="600" w:lineRule="exact"/>
        <w:ind w:firstLineChars="200" w:firstLine="420"/>
        <w:rPr>
          <w:rFonts w:ascii="仿宋" w:eastAsia="仿宋" w:hAnsi="仿宋"/>
          <w:color w:val="000000"/>
          <w:sz w:val="32"/>
          <w:szCs w:val="32"/>
        </w:rPr>
      </w:pPr>
      <w:r>
        <w:rPr>
          <w:noProof/>
        </w:rPr>
        <w:drawing>
          <wp:anchor distT="0" distB="0" distL="114300" distR="114300" simplePos="0" relativeHeight="251666432" behindDoc="0" locked="0" layoutInCell="1" allowOverlap="1">
            <wp:simplePos x="0" y="0"/>
            <wp:positionH relativeFrom="column">
              <wp:posOffset>536575</wp:posOffset>
            </wp:positionH>
            <wp:positionV relativeFrom="paragraph">
              <wp:posOffset>165100</wp:posOffset>
            </wp:positionV>
            <wp:extent cx="4142105" cy="2431415"/>
            <wp:effectExtent l="0" t="0" r="10795" b="6985"/>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4142105" cy="2431415"/>
                    </a:xfrm>
                    <a:prstGeom prst="rect">
                      <a:avLst/>
                    </a:prstGeom>
                    <a:noFill/>
                    <a:ln>
                      <a:noFill/>
                    </a:ln>
                  </pic:spPr>
                </pic:pic>
              </a:graphicData>
            </a:graphic>
          </wp:anchor>
        </w:drawing>
      </w:r>
    </w:p>
    <w:p w:rsidR="00EC2704" w:rsidRDefault="001F5732">
      <w:pPr>
        <w:spacing w:line="600" w:lineRule="exact"/>
        <w:ind w:firstLineChars="300" w:firstLine="960"/>
        <w:rPr>
          <w:rFonts w:ascii="仿宋" w:eastAsia="仿宋" w:hAnsi="仿宋"/>
          <w:b/>
          <w:color w:val="00B050"/>
          <w:sz w:val="32"/>
          <w:szCs w:val="32"/>
        </w:rPr>
      </w:pPr>
      <w:r>
        <w:rPr>
          <w:rFonts w:ascii="仿宋" w:eastAsia="仿宋" w:hAnsi="仿宋" w:hint="eastAsia"/>
          <w:color w:val="000000" w:themeColor="text1"/>
          <w:sz w:val="32"/>
          <w:szCs w:val="32"/>
        </w:rPr>
        <w:lastRenderedPageBreak/>
        <w:t>（图4：财政拨款收、支决算总计变动情况）</w:t>
      </w:r>
    </w:p>
    <w:p w:rsidR="00EC2704" w:rsidRDefault="001F5732">
      <w:pPr>
        <w:spacing w:line="600" w:lineRule="exact"/>
        <w:ind w:firstLineChars="200" w:firstLine="640"/>
        <w:outlineLvl w:val="1"/>
        <w:rPr>
          <w:rStyle w:val="2Char"/>
          <w:rFonts w:ascii="黑体" w:eastAsia="黑体" w:hAnsi="黑体"/>
          <w:b w:val="0"/>
        </w:rPr>
      </w:pPr>
      <w:bookmarkStart w:id="35" w:name="_Toc15377209"/>
      <w:bookmarkStart w:id="36" w:name="_Toc27815"/>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5"/>
      <w:bookmarkEnd w:id="36"/>
    </w:p>
    <w:p w:rsidR="00EC2704" w:rsidRDefault="001F5732" w:rsidP="00FB50D7">
      <w:pPr>
        <w:spacing w:line="600" w:lineRule="exact"/>
        <w:ind w:firstLineChars="200" w:firstLine="640"/>
        <w:outlineLvl w:val="2"/>
        <w:rPr>
          <w:rFonts w:ascii="仿宋" w:eastAsia="仿宋" w:hAnsi="仿宋"/>
          <w:b/>
          <w:color w:val="000000"/>
          <w:sz w:val="32"/>
          <w:szCs w:val="32"/>
        </w:rPr>
      </w:pPr>
      <w:bookmarkStart w:id="37" w:name="_Toc15377210"/>
      <w:r>
        <w:rPr>
          <w:rFonts w:ascii="仿宋" w:eastAsia="仿宋" w:hAnsi="仿宋" w:hint="eastAsia"/>
          <w:b/>
          <w:color w:val="000000"/>
          <w:sz w:val="32"/>
          <w:szCs w:val="32"/>
        </w:rPr>
        <w:t>（一）一般公共预算财政拨款支出决算总体情况</w:t>
      </w:r>
      <w:bookmarkEnd w:id="37"/>
    </w:p>
    <w:p w:rsidR="00EC2704" w:rsidRDefault="001F5732">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8年一般公共预算财政拨款支出1953.20万元，占本年支出合计的100</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7年相比，一般公共预算财政拨款增加501.3万元，增长34.52</w:t>
      </w:r>
      <w:r>
        <w:rPr>
          <w:rFonts w:ascii="仿宋" w:eastAsia="仿宋" w:hAnsi="仿宋"/>
          <w:color w:val="000000"/>
          <w:sz w:val="32"/>
          <w:szCs w:val="32"/>
        </w:rPr>
        <w:t>%</w:t>
      </w:r>
      <w:r>
        <w:rPr>
          <w:rFonts w:ascii="仿宋" w:eastAsia="仿宋" w:hAnsi="仿宋" w:hint="eastAsia"/>
          <w:color w:val="000000"/>
          <w:sz w:val="32"/>
          <w:szCs w:val="32"/>
        </w:rPr>
        <w:t>。</w:t>
      </w:r>
    </w:p>
    <w:p w:rsidR="00EC2704" w:rsidRDefault="001F5732">
      <w:pPr>
        <w:spacing w:line="600" w:lineRule="exact"/>
        <w:ind w:firstLineChars="300" w:firstLine="630"/>
        <w:rPr>
          <w:rFonts w:ascii="仿宋" w:eastAsia="仿宋" w:hAnsi="仿宋"/>
          <w:color w:val="000000" w:themeColor="text1"/>
          <w:sz w:val="32"/>
          <w:szCs w:val="32"/>
        </w:rPr>
      </w:pPr>
      <w:r>
        <w:rPr>
          <w:noProof/>
        </w:rPr>
        <w:drawing>
          <wp:anchor distT="0" distB="0" distL="114300" distR="114300" simplePos="0" relativeHeight="251667456" behindDoc="0" locked="0" layoutInCell="1" allowOverlap="1">
            <wp:simplePos x="0" y="0"/>
            <wp:positionH relativeFrom="column">
              <wp:posOffset>925830</wp:posOffset>
            </wp:positionH>
            <wp:positionV relativeFrom="paragraph">
              <wp:posOffset>136525</wp:posOffset>
            </wp:positionV>
            <wp:extent cx="3503295" cy="2193290"/>
            <wp:effectExtent l="0" t="0" r="1905" b="16510"/>
            <wp:wrapTopAndBottom/>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2"/>
                    <a:stretch>
                      <a:fillRect/>
                    </a:stretch>
                  </pic:blipFill>
                  <pic:spPr>
                    <a:xfrm>
                      <a:off x="0" y="0"/>
                      <a:ext cx="3503295" cy="2193290"/>
                    </a:xfrm>
                    <a:prstGeom prst="rect">
                      <a:avLst/>
                    </a:prstGeom>
                    <a:noFill/>
                    <a:ln>
                      <a:noFill/>
                    </a:ln>
                  </pic:spPr>
                </pic:pic>
              </a:graphicData>
            </a:graphic>
          </wp:anchor>
        </w:drawing>
      </w:r>
      <w:r>
        <w:rPr>
          <w:rFonts w:ascii="仿宋" w:eastAsia="仿宋" w:hAnsi="仿宋" w:hint="eastAsia"/>
          <w:color w:val="000000" w:themeColor="text1"/>
          <w:sz w:val="32"/>
          <w:szCs w:val="32"/>
        </w:rPr>
        <w:t>（图5：一般公共预算财政拨款支出决算变动情况）</w:t>
      </w:r>
    </w:p>
    <w:p w:rsidR="00EC2704" w:rsidRDefault="001F5732" w:rsidP="00FB50D7">
      <w:pPr>
        <w:spacing w:line="600" w:lineRule="exact"/>
        <w:ind w:firstLineChars="200" w:firstLine="640"/>
        <w:outlineLvl w:val="2"/>
        <w:rPr>
          <w:rFonts w:ascii="仿宋" w:eastAsia="仿宋" w:hAnsi="仿宋"/>
          <w:b/>
          <w:color w:val="000000"/>
          <w:sz w:val="32"/>
          <w:szCs w:val="32"/>
        </w:rPr>
      </w:pPr>
      <w:bookmarkStart w:id="38" w:name="_Toc15377211"/>
      <w:r>
        <w:rPr>
          <w:rFonts w:ascii="仿宋" w:eastAsia="仿宋" w:hAnsi="仿宋" w:hint="eastAsia"/>
          <w:b/>
          <w:color w:val="000000"/>
          <w:sz w:val="32"/>
          <w:szCs w:val="32"/>
        </w:rPr>
        <w:t>（二）一般公共预算财政拨款支出决算结构情况</w:t>
      </w:r>
      <w:bookmarkEnd w:id="38"/>
    </w:p>
    <w:p w:rsidR="00EC2704" w:rsidRDefault="001F5732">
      <w:pPr>
        <w:spacing w:line="600" w:lineRule="exact"/>
        <w:ind w:firstLine="640"/>
        <w:rPr>
          <w:rFonts w:ascii="仿宋" w:eastAsia="仿宋" w:hAnsi="仿宋"/>
          <w:b/>
          <w:color w:val="000000" w:themeColor="text1"/>
          <w:sz w:val="32"/>
          <w:szCs w:val="32"/>
        </w:rPr>
      </w:pPr>
      <w:r>
        <w:rPr>
          <w:rFonts w:ascii="仿宋" w:eastAsia="仿宋" w:hAnsi="仿宋"/>
          <w:color w:val="000000"/>
          <w:sz w:val="32"/>
          <w:szCs w:val="32"/>
        </w:rPr>
        <w:t>20</w:t>
      </w:r>
      <w:r>
        <w:rPr>
          <w:rFonts w:ascii="仿宋" w:eastAsia="仿宋" w:hAnsi="仿宋" w:hint="eastAsia"/>
          <w:color w:val="000000"/>
          <w:sz w:val="32"/>
          <w:szCs w:val="32"/>
        </w:rPr>
        <w:t>18年一般公共预算财政拨款支出1953.20万元，主要用于以下方面:一般公共服务支出1319.15万元，占67.54%；教育支出352万元，占18.02%；社会保障和就业支出150.39万元，占7.7%；医疗卫生支出46.25万元，占2.37%</w:t>
      </w:r>
      <w:r>
        <w:rPr>
          <w:rFonts w:ascii="仿宋" w:eastAsia="仿宋" w:hAnsi="仿宋" w:hint="eastAsia"/>
          <w:color w:val="000000" w:themeColor="text1"/>
          <w:sz w:val="32"/>
          <w:szCs w:val="32"/>
        </w:rPr>
        <w:t>；住房保障支出85.40万元，占4.37</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p>
    <w:p w:rsidR="00EC2704" w:rsidRDefault="00EC2704">
      <w:pPr>
        <w:spacing w:line="600" w:lineRule="exact"/>
        <w:ind w:firstLine="640"/>
        <w:rPr>
          <w:rFonts w:ascii="仿宋" w:eastAsia="仿宋" w:hAnsi="仿宋"/>
          <w:b/>
          <w:color w:val="000000" w:themeColor="text1"/>
          <w:sz w:val="32"/>
          <w:szCs w:val="32"/>
        </w:rPr>
      </w:pPr>
    </w:p>
    <w:p w:rsidR="00EC2704" w:rsidRDefault="00EC2704">
      <w:pPr>
        <w:spacing w:line="600" w:lineRule="exact"/>
        <w:ind w:firstLineChars="200" w:firstLine="640"/>
        <w:rPr>
          <w:rFonts w:ascii="仿宋" w:eastAsia="仿宋" w:hAnsi="仿宋"/>
          <w:color w:val="000000"/>
          <w:sz w:val="32"/>
          <w:szCs w:val="32"/>
        </w:rPr>
      </w:pPr>
    </w:p>
    <w:p w:rsidR="00EC2704" w:rsidRDefault="00EC2704">
      <w:pPr>
        <w:spacing w:line="600" w:lineRule="exact"/>
        <w:ind w:firstLineChars="200" w:firstLine="640"/>
        <w:rPr>
          <w:rFonts w:ascii="仿宋" w:eastAsia="仿宋" w:hAnsi="仿宋"/>
          <w:color w:val="000000"/>
          <w:sz w:val="32"/>
          <w:szCs w:val="32"/>
        </w:rPr>
      </w:pPr>
    </w:p>
    <w:p w:rsidR="00EC2704" w:rsidRDefault="001F5732">
      <w:pPr>
        <w:spacing w:line="600" w:lineRule="exact"/>
        <w:ind w:firstLineChars="200" w:firstLine="420"/>
        <w:rPr>
          <w:rFonts w:ascii="仿宋" w:eastAsia="仿宋" w:hAnsi="仿宋"/>
          <w:color w:val="000000"/>
          <w:sz w:val="32"/>
          <w:szCs w:val="32"/>
        </w:rPr>
      </w:pPr>
      <w:r>
        <w:rPr>
          <w:noProof/>
        </w:rPr>
        <w:lastRenderedPageBreak/>
        <w:drawing>
          <wp:anchor distT="0" distB="0" distL="114300" distR="114300" simplePos="0" relativeHeight="251688960" behindDoc="0" locked="0" layoutInCell="1" allowOverlap="1">
            <wp:simplePos x="0" y="0"/>
            <wp:positionH relativeFrom="column">
              <wp:posOffset>727075</wp:posOffset>
            </wp:positionH>
            <wp:positionV relativeFrom="paragraph">
              <wp:posOffset>160020</wp:posOffset>
            </wp:positionV>
            <wp:extent cx="3802380" cy="2269490"/>
            <wp:effectExtent l="0" t="0" r="7620" b="16510"/>
            <wp:wrapTopAndBottom/>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3"/>
                    <a:stretch>
                      <a:fillRect/>
                    </a:stretch>
                  </pic:blipFill>
                  <pic:spPr>
                    <a:xfrm>
                      <a:off x="0" y="0"/>
                      <a:ext cx="3802380" cy="2269490"/>
                    </a:xfrm>
                    <a:prstGeom prst="rect">
                      <a:avLst/>
                    </a:prstGeom>
                    <a:noFill/>
                    <a:ln>
                      <a:noFill/>
                    </a:ln>
                  </pic:spPr>
                </pic:pic>
              </a:graphicData>
            </a:graphic>
          </wp:anchor>
        </w:drawing>
      </w:r>
    </w:p>
    <w:p w:rsidR="00EC2704" w:rsidRDefault="001F5732">
      <w:pPr>
        <w:spacing w:line="600" w:lineRule="exact"/>
        <w:ind w:firstLineChars="300" w:firstLine="960"/>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w:t>
      </w:r>
    </w:p>
    <w:p w:rsidR="00EC2704" w:rsidRDefault="00EC2704">
      <w:pPr>
        <w:spacing w:line="600" w:lineRule="exact"/>
        <w:ind w:firstLineChars="200" w:firstLine="640"/>
        <w:rPr>
          <w:rFonts w:ascii="仿宋" w:eastAsia="仿宋" w:hAnsi="仿宋"/>
          <w:color w:val="000000"/>
          <w:sz w:val="32"/>
          <w:szCs w:val="32"/>
        </w:rPr>
      </w:pPr>
    </w:p>
    <w:p w:rsidR="00EC2704" w:rsidRDefault="001F5732">
      <w:pPr>
        <w:tabs>
          <w:tab w:val="right" w:pos="8306"/>
        </w:tabs>
        <w:spacing w:line="600" w:lineRule="exact"/>
        <w:ind w:firstLine="640"/>
        <w:outlineLvl w:val="1"/>
        <w:rPr>
          <w:rStyle w:val="2Char"/>
        </w:rPr>
      </w:pPr>
      <w:bookmarkStart w:id="39" w:name="_Toc15377214"/>
      <w:bookmarkStart w:id="40" w:name="_Toc28121"/>
      <w:r>
        <w:rPr>
          <w:rFonts w:ascii="黑体" w:eastAsia="黑体" w:hint="eastAsia"/>
          <w:b/>
          <w:color w:val="000000"/>
          <w:sz w:val="32"/>
          <w:szCs w:val="32"/>
        </w:rPr>
        <w:t>六、</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39"/>
      <w:bookmarkEnd w:id="40"/>
      <w:r>
        <w:rPr>
          <w:rStyle w:val="2Char"/>
          <w:rFonts w:ascii="黑体" w:eastAsia="黑体" w:hAnsi="黑体"/>
          <w:b w:val="0"/>
        </w:rPr>
        <w:tab/>
      </w:r>
    </w:p>
    <w:p w:rsidR="00EC2704" w:rsidRDefault="001F5732">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8年一般公共预算财政拨款基本支出1413.95万元，其中：</w:t>
      </w:r>
    </w:p>
    <w:p w:rsidR="00EC2704" w:rsidRDefault="001F5732">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1329.56万元，主要包括：基本工资、津贴补贴、奖金、伙食补助费、绩效工资、机关事业单位基本养老保险缴费、职业年金缴费、其他社会保障缴费、其他工资福利支出、退休费、抚恤金、生活补助、奖励金、住房公积金、其他对个人和家庭的补助支出等。</w:t>
      </w:r>
      <w:r>
        <w:rPr>
          <w:rFonts w:ascii="仿宋" w:eastAsia="仿宋" w:hAnsi="仿宋"/>
          <w:color w:val="000000"/>
          <w:sz w:val="32"/>
          <w:szCs w:val="32"/>
        </w:rPr>
        <w:br/>
      </w:r>
      <w:r>
        <w:rPr>
          <w:rFonts w:ascii="仿宋" w:eastAsia="仿宋" w:hAnsi="仿宋" w:hint="eastAsia"/>
          <w:color w:val="000000"/>
          <w:sz w:val="32"/>
          <w:szCs w:val="32"/>
        </w:rPr>
        <w:t xml:space="preserve">　　公用经费84.39万元，主要包括：办公费、印刷费、手续费、水费、电费、邮电费、差旅费、维修（护）费、租赁费、会议费、培训费、公务接待费、劳务费、委托业务费、工会经费、公务用车运行维护费、其他交通费、税金及附加费用、其他商品和服务支出、办公设备购置、专用设备购置、</w:t>
      </w:r>
      <w:r>
        <w:rPr>
          <w:rFonts w:ascii="仿宋" w:eastAsia="仿宋" w:hAnsi="仿宋" w:hint="eastAsia"/>
          <w:color w:val="000000"/>
          <w:sz w:val="32"/>
          <w:szCs w:val="32"/>
        </w:rPr>
        <w:lastRenderedPageBreak/>
        <w:t>信息网络及软件购置更新等。</w:t>
      </w:r>
    </w:p>
    <w:p w:rsidR="004F24CB" w:rsidRPr="004F24CB" w:rsidRDefault="004F24CB" w:rsidP="004F24CB">
      <w:pPr>
        <w:pStyle w:val="a7"/>
        <w:widowControl/>
        <w:shd w:val="clear" w:color="auto" w:fill="FFFFFF"/>
        <w:spacing w:before="93" w:beforeAutospacing="0" w:afterAutospacing="0" w:line="645" w:lineRule="atLeast"/>
        <w:ind w:firstLine="645"/>
        <w:rPr>
          <w:rStyle w:val="2Char"/>
          <w:rFonts w:ascii="黑体" w:eastAsia="黑体" w:hAnsi="黑体" w:hint="eastAsia"/>
        </w:rPr>
      </w:pPr>
      <w:r w:rsidRPr="004F24CB">
        <w:rPr>
          <w:rStyle w:val="2Char"/>
          <w:rFonts w:ascii="黑体" w:eastAsia="黑体" w:hAnsi="黑体" w:hint="eastAsia"/>
        </w:rPr>
        <w:t>七、机关运行经费情况</w:t>
      </w:r>
    </w:p>
    <w:p w:rsidR="004F24CB" w:rsidRPr="004F24CB" w:rsidRDefault="004F24CB" w:rsidP="004F24CB">
      <w:pPr>
        <w:pStyle w:val="a7"/>
        <w:widowControl/>
        <w:shd w:val="clear" w:color="auto" w:fill="FFFFFF"/>
        <w:spacing w:before="93" w:beforeAutospacing="0" w:afterAutospacing="0" w:line="645" w:lineRule="atLeast"/>
        <w:ind w:firstLine="645"/>
        <w:rPr>
          <w:rStyle w:val="2Char"/>
          <w:rFonts w:ascii="黑体" w:eastAsia="黑体" w:hAnsi="黑体" w:hint="eastAsia"/>
        </w:rPr>
      </w:pPr>
      <w:r w:rsidRPr="004F24CB">
        <w:rPr>
          <w:rStyle w:val="2Char"/>
          <w:rFonts w:ascii="黑体" w:eastAsia="黑体" w:hAnsi="黑体" w:hint="eastAsia"/>
        </w:rPr>
        <w:t>全年机关运行经费271.64万元，其中办公费28.87万元，印刷费10.04万元，水费3.08万元，电费31.81万元，邮电费5.26万元，差旅费69.12万元，维护费14.32万元，培训费23万元，公务费1.68万元，劳务费11.66万元，其他商品服务支出32.56万元。</w:t>
      </w:r>
    </w:p>
    <w:p w:rsidR="00EC2704" w:rsidRPr="004F24CB" w:rsidRDefault="00EC2704">
      <w:pPr>
        <w:spacing w:line="600" w:lineRule="exact"/>
        <w:ind w:firstLine="640"/>
        <w:rPr>
          <w:rFonts w:ascii="仿宋" w:eastAsia="仿宋" w:hAnsi="仿宋"/>
          <w:b/>
          <w:color w:val="FF0000"/>
          <w:sz w:val="32"/>
          <w:szCs w:val="32"/>
        </w:rPr>
      </w:pPr>
    </w:p>
    <w:p w:rsidR="00EC2704" w:rsidRDefault="004F24CB">
      <w:pPr>
        <w:spacing w:line="600" w:lineRule="exact"/>
        <w:ind w:firstLine="640"/>
        <w:outlineLvl w:val="1"/>
        <w:rPr>
          <w:rStyle w:val="2Char"/>
          <w:rFonts w:ascii="黑体" w:eastAsia="黑体" w:hAnsi="黑体"/>
          <w:b w:val="0"/>
        </w:rPr>
      </w:pPr>
      <w:bookmarkStart w:id="41" w:name="_Toc15377215"/>
      <w:bookmarkStart w:id="42" w:name="_Toc32436"/>
      <w:r>
        <w:rPr>
          <w:rFonts w:ascii="黑体" w:eastAsia="黑体" w:hint="eastAsia"/>
          <w:color w:val="000000"/>
          <w:sz w:val="32"/>
          <w:szCs w:val="32"/>
        </w:rPr>
        <w:t>八</w:t>
      </w:r>
      <w:r w:rsidR="001F5732">
        <w:rPr>
          <w:rFonts w:ascii="黑体" w:eastAsia="黑体" w:hint="eastAsia"/>
          <w:color w:val="000000"/>
          <w:sz w:val="32"/>
          <w:szCs w:val="32"/>
        </w:rPr>
        <w:t>、</w:t>
      </w:r>
      <w:r w:rsidR="001F5732">
        <w:rPr>
          <w:rStyle w:val="2Char"/>
          <w:rFonts w:ascii="黑体" w:eastAsia="黑体" w:hAnsi="黑体" w:hint="eastAsia"/>
        </w:rPr>
        <w:t>“</w:t>
      </w:r>
      <w:r w:rsidR="001F5732">
        <w:rPr>
          <w:rStyle w:val="2Char"/>
          <w:rFonts w:ascii="黑体" w:eastAsia="黑体" w:hAnsi="黑体" w:hint="eastAsia"/>
          <w:b w:val="0"/>
        </w:rPr>
        <w:t>三公”经费财政拨款支出决算情况说明</w:t>
      </w:r>
      <w:bookmarkEnd w:id="41"/>
      <w:bookmarkEnd w:id="42"/>
    </w:p>
    <w:p w:rsidR="00EC2704" w:rsidRDefault="001F5732">
      <w:pPr>
        <w:spacing w:line="600" w:lineRule="exact"/>
        <w:ind w:firstLine="640"/>
        <w:outlineLvl w:val="2"/>
        <w:rPr>
          <w:rFonts w:ascii="仿宋" w:eastAsia="仿宋" w:hAnsi="仿宋"/>
          <w:b/>
          <w:color w:val="000000"/>
          <w:sz w:val="32"/>
          <w:szCs w:val="32"/>
        </w:rPr>
      </w:pPr>
      <w:bookmarkStart w:id="43" w:name="_Toc15377216"/>
      <w:r>
        <w:rPr>
          <w:rFonts w:ascii="仿宋" w:eastAsia="仿宋" w:hAnsi="仿宋" w:hint="eastAsia"/>
          <w:b/>
          <w:color w:val="000000"/>
          <w:sz w:val="32"/>
          <w:szCs w:val="32"/>
        </w:rPr>
        <w:t>（一）“三公”经费财政拨款支出决算总体情况说明</w:t>
      </w:r>
      <w:bookmarkEnd w:id="43"/>
    </w:p>
    <w:p w:rsidR="00EC2704" w:rsidRDefault="001F5732">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8年“三公”经费财政拨款支出决算为4.15万元。</w:t>
      </w:r>
    </w:p>
    <w:p w:rsidR="00EC2704" w:rsidRDefault="001F5732">
      <w:pPr>
        <w:spacing w:line="600" w:lineRule="exact"/>
        <w:ind w:firstLine="640"/>
        <w:outlineLvl w:val="2"/>
        <w:rPr>
          <w:rFonts w:ascii="仿宋" w:eastAsia="仿宋" w:hAnsi="仿宋"/>
          <w:b/>
          <w:color w:val="000000"/>
          <w:sz w:val="32"/>
          <w:szCs w:val="32"/>
        </w:rPr>
      </w:pPr>
      <w:bookmarkStart w:id="44" w:name="_Toc15377217"/>
      <w:r>
        <w:rPr>
          <w:rFonts w:ascii="仿宋" w:eastAsia="仿宋" w:hAnsi="仿宋" w:hint="eastAsia"/>
          <w:b/>
          <w:color w:val="000000"/>
          <w:sz w:val="32"/>
          <w:szCs w:val="32"/>
        </w:rPr>
        <w:t>（二）“三公”经费财政拨款支出决算具体情况说明</w:t>
      </w:r>
      <w:bookmarkEnd w:id="44"/>
    </w:p>
    <w:p w:rsidR="00EC2704" w:rsidRDefault="001F5732">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8年“三公”经费财政拨款支出决算中，因公出国（境）费支出决算0万元；公务用车购置及运行维护费支出决算2.47万元；公务接待费支出决算1.68万元，占100</w:t>
      </w:r>
      <w:r>
        <w:rPr>
          <w:rFonts w:ascii="仿宋" w:eastAsia="仿宋" w:hAnsi="仿宋"/>
          <w:color w:val="000000"/>
          <w:sz w:val="32"/>
          <w:szCs w:val="32"/>
        </w:rPr>
        <w:t>%</w:t>
      </w:r>
      <w:r>
        <w:rPr>
          <w:rFonts w:ascii="仿宋" w:eastAsia="仿宋" w:hAnsi="仿宋" w:hint="eastAsia"/>
          <w:color w:val="000000"/>
          <w:sz w:val="32"/>
          <w:szCs w:val="32"/>
        </w:rPr>
        <w:t>。</w:t>
      </w:r>
    </w:p>
    <w:p w:rsidR="00EC2704" w:rsidRDefault="001F5732">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1</w:t>
      </w:r>
      <w:r>
        <w:rPr>
          <w:rFonts w:ascii="仿宋_GB2312" w:eastAsia="仿宋_GB2312"/>
          <w:b/>
          <w:color w:val="000000"/>
          <w:sz w:val="32"/>
          <w:szCs w:val="32"/>
        </w:rPr>
        <w:t>.</w:t>
      </w:r>
      <w:r>
        <w:rPr>
          <w:rFonts w:ascii="仿宋_GB2312" w:eastAsia="仿宋_GB2312" w:hint="eastAsia"/>
          <w:b/>
          <w:color w:val="000000"/>
          <w:sz w:val="32"/>
          <w:szCs w:val="32"/>
        </w:rPr>
        <w:t>公务用车购置及运行维护费支出</w:t>
      </w:r>
      <w:r>
        <w:rPr>
          <w:rFonts w:ascii="仿宋_GB2312" w:eastAsia="仿宋_GB2312" w:hint="eastAsia"/>
          <w:color w:val="000000"/>
          <w:sz w:val="32"/>
          <w:szCs w:val="32"/>
        </w:rPr>
        <w:t>2.47万元。其中：</w:t>
      </w:r>
      <w:r>
        <w:rPr>
          <w:rFonts w:ascii="仿宋_GB2312" w:eastAsia="仿宋_GB2312" w:hint="eastAsia"/>
          <w:b/>
          <w:color w:val="000000"/>
          <w:sz w:val="32"/>
          <w:szCs w:val="32"/>
        </w:rPr>
        <w:t>公务用车运行维护费支出</w:t>
      </w:r>
      <w:r>
        <w:rPr>
          <w:rFonts w:ascii="仿宋_GB2312" w:eastAsia="仿宋_GB2312" w:hint="eastAsia"/>
          <w:color w:val="000000"/>
          <w:sz w:val="32"/>
          <w:szCs w:val="32"/>
        </w:rPr>
        <w:t>2.47万元。主要用于下乡扶贫、出差等所需的公务用车燃料费、维修费、过路过桥费、保险费等支出。</w:t>
      </w:r>
    </w:p>
    <w:p w:rsidR="00EC2704" w:rsidRDefault="001F5732">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2</w:t>
      </w:r>
      <w:r>
        <w:rPr>
          <w:rFonts w:ascii="仿宋_GB2312" w:eastAsia="仿宋_GB2312"/>
          <w:b/>
          <w:color w:val="000000"/>
          <w:sz w:val="32"/>
          <w:szCs w:val="32"/>
        </w:rPr>
        <w:t>.</w:t>
      </w:r>
      <w:r>
        <w:rPr>
          <w:rFonts w:ascii="仿宋_GB2312" w:eastAsia="仿宋_GB2312" w:hint="eastAsia"/>
          <w:b/>
          <w:color w:val="000000"/>
          <w:sz w:val="32"/>
          <w:szCs w:val="32"/>
        </w:rPr>
        <w:t>公务接待费支出</w:t>
      </w:r>
      <w:r>
        <w:rPr>
          <w:rFonts w:ascii="仿宋_GB2312" w:eastAsia="仿宋_GB2312" w:hint="eastAsia"/>
          <w:color w:val="000000"/>
          <w:sz w:val="32"/>
          <w:szCs w:val="32"/>
        </w:rPr>
        <w:t>1.68万元。主要用于执行公务、开展业务活动开支的交通费、住宿费、用餐费等。</w:t>
      </w:r>
    </w:p>
    <w:p w:rsidR="004F24CB" w:rsidRDefault="004F24CB" w:rsidP="004F24CB">
      <w:pPr>
        <w:pStyle w:val="a7"/>
        <w:widowControl/>
        <w:shd w:val="clear" w:color="auto" w:fill="FFFFFF"/>
        <w:spacing w:before="93" w:beforeAutospacing="0" w:afterAutospacing="0" w:line="645" w:lineRule="atLeast"/>
        <w:ind w:firstLine="645"/>
        <w:rPr>
          <w:rFonts w:ascii="微软雅黑" w:eastAsia="微软雅黑" w:hAnsi="微软雅黑" w:cs="微软雅黑" w:hint="eastAsia"/>
          <w:color w:val="333333"/>
        </w:rPr>
      </w:pPr>
      <w:bookmarkStart w:id="45" w:name="_Toc15377218"/>
      <w:r>
        <w:rPr>
          <w:rStyle w:val="a8"/>
          <w:rFonts w:ascii="仿宋" w:eastAsia="仿宋" w:hAnsi="仿宋" w:cs="仿宋" w:hint="eastAsia"/>
          <w:color w:val="333333"/>
          <w:sz w:val="31"/>
          <w:szCs w:val="31"/>
          <w:shd w:val="clear" w:color="auto" w:fill="FFFFFF"/>
        </w:rPr>
        <w:t>（三）接待批次</w:t>
      </w:r>
    </w:p>
    <w:p w:rsidR="004F24CB" w:rsidRPr="003C31D8" w:rsidRDefault="004F24CB" w:rsidP="004F24CB">
      <w:pPr>
        <w:pStyle w:val="a7"/>
        <w:widowControl/>
        <w:shd w:val="clear" w:color="auto" w:fill="FFFFFF"/>
        <w:spacing w:before="93" w:beforeAutospacing="0" w:afterAutospacing="0" w:line="645" w:lineRule="atLeast"/>
        <w:ind w:firstLine="645"/>
        <w:rPr>
          <w:rFonts w:ascii="微软雅黑" w:eastAsia="微软雅黑" w:hAnsi="微软雅黑" w:cs="微软雅黑" w:hint="eastAsia"/>
          <w:color w:val="333333"/>
        </w:rPr>
      </w:pPr>
      <w:r>
        <w:rPr>
          <w:rStyle w:val="a8"/>
          <w:rFonts w:ascii="仿宋" w:eastAsia="仿宋" w:hAnsi="仿宋" w:cs="仿宋" w:hint="eastAsia"/>
          <w:color w:val="333333"/>
          <w:sz w:val="31"/>
          <w:szCs w:val="31"/>
          <w:shd w:val="clear" w:color="auto" w:fill="FFFFFF"/>
        </w:rPr>
        <w:lastRenderedPageBreak/>
        <w:t>接待批次：7次。</w:t>
      </w:r>
    </w:p>
    <w:p w:rsidR="00EC2704" w:rsidRPr="004F24CB" w:rsidRDefault="00EC2704">
      <w:pPr>
        <w:spacing w:line="600" w:lineRule="exact"/>
        <w:ind w:firstLine="640"/>
        <w:outlineLvl w:val="1"/>
        <w:rPr>
          <w:rFonts w:ascii="黑体" w:eastAsia="黑体"/>
          <w:color w:val="000000"/>
          <w:sz w:val="32"/>
          <w:szCs w:val="32"/>
        </w:rPr>
      </w:pPr>
    </w:p>
    <w:p w:rsidR="00EC2704" w:rsidRDefault="004F24CB">
      <w:pPr>
        <w:spacing w:line="600" w:lineRule="exact"/>
        <w:ind w:firstLine="640"/>
        <w:outlineLvl w:val="1"/>
        <w:rPr>
          <w:rStyle w:val="2Char"/>
          <w:rFonts w:ascii="黑体" w:eastAsia="黑体" w:hAnsi="黑体"/>
        </w:rPr>
      </w:pPr>
      <w:bookmarkStart w:id="46" w:name="_Toc26236"/>
      <w:r>
        <w:rPr>
          <w:rFonts w:ascii="黑体" w:eastAsia="黑体" w:hint="eastAsia"/>
          <w:color w:val="000000"/>
          <w:sz w:val="32"/>
          <w:szCs w:val="32"/>
        </w:rPr>
        <w:t>九</w:t>
      </w:r>
      <w:r w:rsidR="001F5732">
        <w:rPr>
          <w:rFonts w:ascii="黑体" w:eastAsia="黑体" w:hint="eastAsia"/>
          <w:color w:val="000000"/>
          <w:sz w:val="32"/>
          <w:szCs w:val="32"/>
        </w:rPr>
        <w:t>、</w:t>
      </w:r>
      <w:r w:rsidR="001F5732">
        <w:rPr>
          <w:rStyle w:val="2Char"/>
          <w:rFonts w:ascii="黑体" w:eastAsia="黑体" w:hAnsi="黑体" w:hint="eastAsia"/>
          <w:b w:val="0"/>
        </w:rPr>
        <w:t>政府性基金预算支出决算情况说明</w:t>
      </w:r>
      <w:bookmarkEnd w:id="45"/>
      <w:bookmarkEnd w:id="46"/>
    </w:p>
    <w:p w:rsidR="00EC2704" w:rsidRDefault="001F5732">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8年政府性基金预算拨款支出0万元。</w:t>
      </w:r>
    </w:p>
    <w:p w:rsidR="00EC2704" w:rsidRDefault="00EC2704">
      <w:pPr>
        <w:spacing w:line="600" w:lineRule="exact"/>
        <w:ind w:firstLine="640"/>
        <w:rPr>
          <w:rFonts w:ascii="仿宋_GB2312" w:eastAsia="仿宋_GB2312"/>
          <w:color w:val="000000"/>
          <w:sz w:val="32"/>
          <w:szCs w:val="32"/>
        </w:rPr>
      </w:pPr>
    </w:p>
    <w:p w:rsidR="00EC2704" w:rsidRDefault="004F24CB">
      <w:pPr>
        <w:spacing w:line="600" w:lineRule="exact"/>
        <w:ind w:firstLineChars="200" w:firstLine="640"/>
        <w:outlineLvl w:val="1"/>
        <w:rPr>
          <w:rStyle w:val="2Char"/>
          <w:rFonts w:ascii="黑体" w:eastAsia="黑体" w:hAnsi="黑体"/>
          <w:b w:val="0"/>
        </w:rPr>
      </w:pPr>
      <w:bookmarkStart w:id="47" w:name="_Toc15377219"/>
      <w:bookmarkStart w:id="48" w:name="_Toc6410"/>
      <w:r>
        <w:rPr>
          <w:rStyle w:val="2Char"/>
          <w:rFonts w:ascii="黑体" w:eastAsia="黑体" w:hAnsi="黑体" w:hint="eastAsia"/>
          <w:b w:val="0"/>
        </w:rPr>
        <w:t>十</w:t>
      </w:r>
      <w:r w:rsidR="001F5732">
        <w:rPr>
          <w:rStyle w:val="2Char"/>
          <w:rFonts w:ascii="黑体" w:eastAsia="黑体" w:hAnsi="黑体" w:hint="eastAsia"/>
          <w:b w:val="0"/>
        </w:rPr>
        <w:t>、国有资本经营预算支出决算情况说明</w:t>
      </w:r>
      <w:bookmarkEnd w:id="47"/>
      <w:bookmarkEnd w:id="48"/>
    </w:p>
    <w:p w:rsidR="00EC2704" w:rsidRDefault="001F5732">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8年国有资本经营预算拨款支出0万元。</w:t>
      </w:r>
    </w:p>
    <w:p w:rsidR="000F0FB2" w:rsidRPr="000F0FB2" w:rsidRDefault="000F0FB2" w:rsidP="000F0FB2">
      <w:pPr>
        <w:pStyle w:val="a7"/>
        <w:widowControl/>
        <w:shd w:val="clear" w:color="auto" w:fill="FFFFFF"/>
        <w:spacing w:before="93" w:beforeAutospacing="0" w:afterAutospacing="0" w:line="645" w:lineRule="atLeast"/>
        <w:ind w:firstLine="645"/>
        <w:rPr>
          <w:rStyle w:val="2Char"/>
          <w:rFonts w:ascii="黑体" w:eastAsia="黑体" w:hAnsi="黑体"/>
        </w:rPr>
      </w:pPr>
      <w:r w:rsidRPr="000F0FB2">
        <w:rPr>
          <w:rStyle w:val="2Char"/>
          <w:rFonts w:ascii="黑体" w:eastAsia="黑体" w:hAnsi="黑体" w:hint="eastAsia"/>
        </w:rPr>
        <w:t>十</w:t>
      </w:r>
      <w:r w:rsidR="004F24CB">
        <w:rPr>
          <w:rStyle w:val="2Char"/>
          <w:rFonts w:ascii="黑体" w:eastAsia="黑体" w:hAnsi="黑体" w:hint="eastAsia"/>
        </w:rPr>
        <w:t>一</w:t>
      </w:r>
      <w:r w:rsidRPr="000F0FB2">
        <w:rPr>
          <w:rStyle w:val="2Char"/>
          <w:rFonts w:ascii="黑体" w:eastAsia="黑体" w:hAnsi="黑体" w:hint="eastAsia"/>
        </w:rPr>
        <w:t>、国有资产占有情况</w:t>
      </w:r>
    </w:p>
    <w:p w:rsidR="000F0FB2" w:rsidRPr="000F0FB2" w:rsidRDefault="000F0FB2" w:rsidP="000F0FB2">
      <w:pPr>
        <w:pStyle w:val="a7"/>
        <w:widowControl/>
        <w:shd w:val="clear" w:color="auto" w:fill="FFFFFF"/>
        <w:spacing w:before="93" w:beforeAutospacing="0" w:afterAutospacing="0" w:line="645" w:lineRule="atLeast"/>
        <w:ind w:firstLine="645"/>
        <w:rPr>
          <w:rFonts w:ascii="仿宋_GB2312" w:eastAsia="仿宋_GB2312"/>
          <w:color w:val="000000"/>
          <w:kern w:val="2"/>
          <w:sz w:val="32"/>
          <w:szCs w:val="32"/>
        </w:rPr>
      </w:pPr>
      <w:r w:rsidRPr="000F0FB2">
        <w:rPr>
          <w:rFonts w:ascii="仿宋_GB2312" w:eastAsia="仿宋_GB2312" w:hint="eastAsia"/>
          <w:color w:val="000000"/>
          <w:kern w:val="2"/>
          <w:sz w:val="32"/>
          <w:szCs w:val="32"/>
        </w:rPr>
        <w:t>本单位办公楼土地占用1225m2,建筑面积12336m2,共有车辆0辆，其中：领导干部用车0辆、一般公务用车0辆、一般执法执勤用车0辆、特种专业技术用车0辆、其他用车0辆；单价50万元以上通用设备0台（套），单价100万元以上专用设备0台（套）。</w:t>
      </w:r>
    </w:p>
    <w:p w:rsidR="00EC2704" w:rsidRPr="000F0FB2" w:rsidRDefault="00EC2704">
      <w:pPr>
        <w:rPr>
          <w:rFonts w:ascii="仿宋_GB2312" w:eastAsia="仿宋_GB2312"/>
          <w:color w:val="000000"/>
          <w:sz w:val="32"/>
          <w:szCs w:val="32"/>
        </w:rPr>
      </w:pPr>
    </w:p>
    <w:p w:rsidR="00EC2704" w:rsidRDefault="001F5732">
      <w:pPr>
        <w:numPr>
          <w:ilvl w:val="0"/>
          <w:numId w:val="2"/>
        </w:numPr>
        <w:spacing w:line="600" w:lineRule="exact"/>
        <w:ind w:firstLineChars="150" w:firstLine="663"/>
        <w:jc w:val="center"/>
        <w:outlineLvl w:val="0"/>
        <w:rPr>
          <w:rStyle w:val="1Char"/>
          <w:rFonts w:ascii="黑体" w:eastAsia="黑体" w:hAnsi="黑体"/>
          <w:b w:val="0"/>
        </w:rPr>
      </w:pPr>
      <w:bookmarkStart w:id="49" w:name="_Toc15377225"/>
      <w:bookmarkStart w:id="50" w:name="_Toc22757"/>
      <w:r>
        <w:rPr>
          <w:rFonts w:ascii="黑体" w:eastAsia="黑体" w:hAnsi="黑体" w:hint="eastAsia"/>
          <w:b/>
          <w:color w:val="000000"/>
          <w:sz w:val="44"/>
          <w:szCs w:val="44"/>
        </w:rPr>
        <w:t>名</w:t>
      </w:r>
      <w:r>
        <w:rPr>
          <w:rStyle w:val="1Char"/>
          <w:rFonts w:ascii="黑体" w:eastAsia="黑体" w:hAnsi="黑体" w:hint="eastAsia"/>
          <w:b w:val="0"/>
        </w:rPr>
        <w:t>词解释</w:t>
      </w:r>
      <w:bookmarkEnd w:id="49"/>
      <w:bookmarkEnd w:id="50"/>
    </w:p>
    <w:p w:rsidR="00EC2704" w:rsidRDefault="00EC2704">
      <w:pPr>
        <w:spacing w:line="600" w:lineRule="exact"/>
        <w:jc w:val="left"/>
        <w:rPr>
          <w:rFonts w:ascii="宋体"/>
          <w:b/>
          <w:color w:val="000000"/>
          <w:sz w:val="44"/>
          <w:szCs w:val="44"/>
        </w:rPr>
      </w:pPr>
    </w:p>
    <w:p w:rsidR="00EC2704" w:rsidRDefault="001F5732">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EC2704" w:rsidRDefault="001F5732">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2、年初结转和结余：指以前年度尚未完成、结转到本年按有关规定继续使用的资金。</w:t>
      </w:r>
    </w:p>
    <w:p w:rsidR="00EC2704" w:rsidRDefault="001F5732">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3、结余分配：指事业单位按照事业单位会计制度的规定从非财政补助结余中分配的事业基金和职工福利基金等。</w:t>
      </w:r>
    </w:p>
    <w:p w:rsidR="00EC2704" w:rsidRDefault="001F5732">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4、年末结转和结余：指单位按有关规定结转到下年或以后年度继续使用的资金。</w:t>
      </w:r>
    </w:p>
    <w:p w:rsidR="00EC2704" w:rsidRDefault="001F5732">
      <w:pPr>
        <w:ind w:firstLineChars="200" w:firstLine="640"/>
        <w:rPr>
          <w:rFonts w:ascii="仿宋_GB2312" w:eastAsia="仿宋_GB2312"/>
          <w:color w:val="000000"/>
          <w:sz w:val="32"/>
          <w:szCs w:val="32"/>
        </w:rPr>
      </w:pPr>
      <w:r>
        <w:rPr>
          <w:rFonts w:ascii="仿宋_GB2312" w:eastAsia="仿宋_GB2312" w:hint="eastAsia"/>
          <w:color w:val="000000"/>
          <w:sz w:val="32"/>
          <w:szCs w:val="32"/>
        </w:rPr>
        <w:t>5、基本支出：指为保障机构正常运转、完成日常工作任务而发生的人员支出和公用支出。</w:t>
      </w:r>
    </w:p>
    <w:p w:rsidR="00EC2704" w:rsidRDefault="001F5732">
      <w:pPr>
        <w:ind w:firstLineChars="200" w:firstLine="640"/>
        <w:rPr>
          <w:rFonts w:ascii="仿宋_GB2312" w:eastAsia="仿宋_GB2312"/>
          <w:color w:val="000000"/>
          <w:sz w:val="32"/>
          <w:szCs w:val="32"/>
        </w:rPr>
      </w:pPr>
      <w:r>
        <w:rPr>
          <w:rFonts w:ascii="仿宋_GB2312" w:eastAsia="仿宋_GB2312" w:hint="eastAsia"/>
          <w:color w:val="000000"/>
          <w:sz w:val="32"/>
          <w:szCs w:val="32"/>
        </w:rPr>
        <w:t>6、项目支出：指在基本支出之外为完成特定行政任务和事业发展目标所发生的支出。</w:t>
      </w:r>
    </w:p>
    <w:p w:rsidR="00EC2704" w:rsidRDefault="001F5732">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7、“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EC2704" w:rsidRDefault="00EC2704">
      <w:pPr>
        <w:pStyle w:val="Default"/>
        <w:spacing w:line="560" w:lineRule="exact"/>
        <w:ind w:firstLineChars="200" w:firstLine="640"/>
        <w:rPr>
          <w:rFonts w:ascii="仿宋_GB2312" w:eastAsia="仿宋_GB2312" w:cs="黑体"/>
          <w:sz w:val="32"/>
          <w:szCs w:val="32"/>
        </w:rPr>
      </w:pPr>
    </w:p>
    <w:p w:rsidR="00EC2704" w:rsidRDefault="001F5732">
      <w:pPr>
        <w:spacing w:line="580" w:lineRule="exact"/>
        <w:ind w:firstLineChars="200" w:firstLine="883"/>
        <w:rPr>
          <w:rStyle w:val="1Char"/>
          <w:rFonts w:ascii="仿宋" w:eastAsia="仿宋" w:hAnsi="仿宋" w:cs="仿宋_GB2312"/>
          <w:b w:val="0"/>
          <w:bCs w:val="0"/>
          <w:kern w:val="2"/>
          <w:sz w:val="32"/>
          <w:szCs w:val="32"/>
        </w:rPr>
      </w:pPr>
      <w:bookmarkStart w:id="51" w:name="_Toc15377226"/>
      <w:r>
        <w:rPr>
          <w:rFonts w:ascii="宋体"/>
          <w:b/>
          <w:color w:val="000000"/>
          <w:sz w:val="44"/>
          <w:szCs w:val="44"/>
        </w:rPr>
        <w:br w:type="page"/>
      </w:r>
    </w:p>
    <w:p w:rsidR="00EC2704" w:rsidRDefault="001F5732">
      <w:pPr>
        <w:spacing w:line="600" w:lineRule="exact"/>
        <w:jc w:val="center"/>
        <w:outlineLvl w:val="0"/>
        <w:rPr>
          <w:rStyle w:val="1Char"/>
          <w:rFonts w:ascii="黑体" w:eastAsia="黑体" w:hAnsi="黑体"/>
          <w:b w:val="0"/>
        </w:rPr>
      </w:pPr>
      <w:bookmarkStart w:id="52" w:name="_Toc4915"/>
      <w:r>
        <w:rPr>
          <w:rFonts w:ascii="黑体" w:eastAsia="黑体" w:hAnsi="黑体" w:hint="eastAsia"/>
          <w:color w:val="000000"/>
          <w:sz w:val="44"/>
          <w:szCs w:val="44"/>
        </w:rPr>
        <w:lastRenderedPageBreak/>
        <w:t>第</w:t>
      </w:r>
      <w:r>
        <w:rPr>
          <w:rStyle w:val="1Char"/>
          <w:rFonts w:ascii="黑体" w:eastAsia="黑体" w:hAnsi="黑体" w:hint="eastAsia"/>
          <w:b w:val="0"/>
        </w:rPr>
        <w:t>四部分 附表</w:t>
      </w:r>
      <w:bookmarkEnd w:id="51"/>
      <w:bookmarkEnd w:id="52"/>
    </w:p>
    <w:p w:rsidR="00EC2704" w:rsidRDefault="00EC2704">
      <w:pPr>
        <w:spacing w:line="600" w:lineRule="exact"/>
        <w:jc w:val="center"/>
        <w:outlineLvl w:val="0"/>
        <w:rPr>
          <w:rFonts w:ascii="仿宋" w:eastAsia="仿宋" w:hAnsi="仿宋"/>
          <w:b/>
          <w:color w:val="000000"/>
          <w:sz w:val="44"/>
          <w:szCs w:val="44"/>
        </w:rPr>
      </w:pPr>
    </w:p>
    <w:p w:rsidR="00EC2704" w:rsidRDefault="001F5732">
      <w:pPr>
        <w:pStyle w:val="2"/>
        <w:rPr>
          <w:rFonts w:ascii="仿宋" w:eastAsia="仿宋" w:hAnsi="仿宋"/>
          <w:color w:val="000000"/>
        </w:rPr>
      </w:pPr>
      <w:bookmarkStart w:id="53" w:name="_Toc13657"/>
      <w:r>
        <w:rPr>
          <w:rFonts w:ascii="仿宋" w:eastAsia="仿宋" w:hAnsi="仿宋" w:hint="eastAsia"/>
          <w:b w:val="0"/>
          <w:color w:val="000000"/>
        </w:rPr>
        <w:t>一、收</w:t>
      </w:r>
      <w:r>
        <w:rPr>
          <w:rStyle w:val="2Char"/>
          <w:rFonts w:ascii="仿宋" w:eastAsia="仿宋" w:hAnsi="仿宋" w:hint="eastAsia"/>
        </w:rPr>
        <w:t>入支出决算总表</w:t>
      </w:r>
      <w:bookmarkEnd w:id="53"/>
    </w:p>
    <w:p w:rsidR="00EC2704" w:rsidRDefault="001F5732">
      <w:pPr>
        <w:pStyle w:val="2"/>
        <w:rPr>
          <w:rFonts w:ascii="仿宋" w:eastAsia="仿宋" w:hAnsi="仿宋"/>
          <w:color w:val="000000"/>
        </w:rPr>
      </w:pPr>
      <w:bookmarkStart w:id="54" w:name="_Toc24487"/>
      <w:r>
        <w:rPr>
          <w:rFonts w:ascii="仿宋" w:eastAsia="仿宋" w:hAnsi="仿宋" w:hint="eastAsia"/>
          <w:b w:val="0"/>
          <w:color w:val="000000"/>
        </w:rPr>
        <w:t>二、收</w:t>
      </w:r>
      <w:r>
        <w:rPr>
          <w:rStyle w:val="2Char"/>
          <w:rFonts w:ascii="仿宋" w:eastAsia="仿宋" w:hAnsi="仿宋" w:hint="eastAsia"/>
        </w:rPr>
        <w:t>入决算表</w:t>
      </w:r>
      <w:bookmarkEnd w:id="54"/>
    </w:p>
    <w:p w:rsidR="00EC2704" w:rsidRDefault="001F5732">
      <w:pPr>
        <w:pStyle w:val="2"/>
        <w:rPr>
          <w:rFonts w:ascii="仿宋" w:eastAsia="仿宋" w:hAnsi="仿宋"/>
          <w:color w:val="000000"/>
        </w:rPr>
      </w:pPr>
      <w:bookmarkStart w:id="55" w:name="_Toc25262"/>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出决算表</w:t>
      </w:r>
      <w:bookmarkEnd w:id="55"/>
    </w:p>
    <w:p w:rsidR="00EC2704" w:rsidRDefault="001F5732">
      <w:pPr>
        <w:pStyle w:val="2"/>
        <w:rPr>
          <w:rFonts w:ascii="仿宋" w:eastAsia="仿宋" w:hAnsi="仿宋"/>
          <w:b w:val="0"/>
          <w:color w:val="000000"/>
        </w:rPr>
      </w:pPr>
      <w:bookmarkStart w:id="56" w:name="_Toc30514"/>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56"/>
    </w:p>
    <w:p w:rsidR="00EC2704" w:rsidRDefault="001F5732">
      <w:pPr>
        <w:pStyle w:val="2"/>
        <w:rPr>
          <w:rFonts w:ascii="仿宋" w:eastAsia="仿宋" w:hAnsi="仿宋"/>
          <w:color w:val="000000"/>
        </w:rPr>
      </w:pPr>
      <w:bookmarkStart w:id="57" w:name="_Toc13962"/>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政拨款支出决算明细表（政府经济分类科目）</w:t>
      </w:r>
      <w:bookmarkEnd w:id="57"/>
    </w:p>
    <w:p w:rsidR="00EC2704" w:rsidRDefault="001F5732">
      <w:pPr>
        <w:pStyle w:val="2"/>
        <w:rPr>
          <w:rFonts w:ascii="仿宋" w:eastAsia="仿宋" w:hAnsi="仿宋"/>
          <w:color w:val="000000"/>
        </w:rPr>
      </w:pPr>
      <w:bookmarkStart w:id="58" w:name="_Toc16584"/>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58"/>
    </w:p>
    <w:p w:rsidR="00EC2704" w:rsidRDefault="001F5732">
      <w:pPr>
        <w:pStyle w:val="2"/>
        <w:rPr>
          <w:rFonts w:ascii="仿宋" w:eastAsia="仿宋" w:hAnsi="仿宋"/>
          <w:color w:val="000000"/>
        </w:rPr>
      </w:pPr>
      <w:bookmarkStart w:id="59" w:name="_Toc19562"/>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59"/>
    </w:p>
    <w:p w:rsidR="00EC2704" w:rsidRDefault="001F5732">
      <w:pPr>
        <w:pStyle w:val="2"/>
        <w:rPr>
          <w:rFonts w:ascii="仿宋" w:eastAsia="仿宋" w:hAnsi="仿宋"/>
          <w:color w:val="000000"/>
        </w:rPr>
      </w:pPr>
      <w:bookmarkStart w:id="60" w:name="_Toc24804"/>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0"/>
    </w:p>
    <w:p w:rsidR="00EC2704" w:rsidRDefault="001F5732">
      <w:pPr>
        <w:pStyle w:val="2"/>
        <w:rPr>
          <w:rFonts w:ascii="仿宋" w:eastAsia="仿宋" w:hAnsi="仿宋"/>
          <w:color w:val="000000"/>
        </w:rPr>
      </w:pPr>
      <w:bookmarkStart w:id="61" w:name="_Toc6662"/>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1"/>
    </w:p>
    <w:p w:rsidR="00EC2704" w:rsidRPr="000F0FB2" w:rsidRDefault="001F5732">
      <w:pPr>
        <w:pStyle w:val="2"/>
        <w:rPr>
          <w:rStyle w:val="2Char"/>
          <w:rFonts w:ascii="仿宋" w:eastAsia="仿宋" w:hAnsi="仿宋"/>
        </w:rPr>
      </w:pPr>
      <w:bookmarkStart w:id="62" w:name="_Toc29915"/>
      <w:r>
        <w:rPr>
          <w:rStyle w:val="2Char"/>
          <w:rFonts w:ascii="仿宋" w:eastAsia="仿宋" w:hAnsi="仿宋" w:hint="eastAsia"/>
        </w:rPr>
        <w:t>十、</w:t>
      </w:r>
      <w:r w:rsidRPr="000F0FB2">
        <w:rPr>
          <w:rStyle w:val="2Char"/>
          <w:rFonts w:ascii="仿宋" w:eastAsia="仿宋" w:hAnsi="仿宋" w:hint="eastAsia"/>
          <w:b/>
        </w:rPr>
        <w:t>一</w:t>
      </w:r>
      <w:r>
        <w:rPr>
          <w:rStyle w:val="2Char"/>
          <w:rFonts w:ascii="仿宋" w:eastAsia="仿宋" w:hAnsi="仿宋" w:hint="eastAsia"/>
        </w:rPr>
        <w:t>般公共预算财政拨款“三公”经费支出决算表</w:t>
      </w:r>
      <w:bookmarkEnd w:id="62"/>
    </w:p>
    <w:p w:rsidR="000F0FB2" w:rsidRPr="000F0FB2" w:rsidRDefault="000F0FB2" w:rsidP="000F0FB2">
      <w:pPr>
        <w:pStyle w:val="2"/>
        <w:rPr>
          <w:rStyle w:val="2Char"/>
          <w:rFonts w:ascii="仿宋" w:eastAsia="仿宋" w:hAnsi="仿宋"/>
        </w:rPr>
      </w:pPr>
      <w:r w:rsidRPr="000F0FB2">
        <w:rPr>
          <w:rStyle w:val="2Char"/>
          <w:rFonts w:ascii="仿宋" w:eastAsia="仿宋" w:hAnsi="仿宋"/>
        </w:rPr>
        <w:t>十一、政府性基金预算财政拨款收入支出决算表</w:t>
      </w:r>
    </w:p>
    <w:p w:rsidR="000F0FB2" w:rsidRPr="000F0FB2" w:rsidRDefault="000F0FB2" w:rsidP="000F0FB2">
      <w:pPr>
        <w:pStyle w:val="2"/>
        <w:rPr>
          <w:rStyle w:val="2Char"/>
          <w:rFonts w:ascii="仿宋" w:eastAsia="仿宋" w:hAnsi="仿宋"/>
        </w:rPr>
      </w:pPr>
      <w:r w:rsidRPr="000F0FB2">
        <w:rPr>
          <w:rStyle w:val="2Char"/>
          <w:rFonts w:ascii="仿宋" w:eastAsia="仿宋" w:hAnsi="仿宋"/>
        </w:rPr>
        <w:t>十二、政府性基金预算财政拨款“三公”经费支出决算表</w:t>
      </w:r>
    </w:p>
    <w:p w:rsidR="00EC2704" w:rsidRPr="000F0FB2" w:rsidRDefault="000F0FB2" w:rsidP="000F0FB2">
      <w:pPr>
        <w:pStyle w:val="2"/>
        <w:rPr>
          <w:rStyle w:val="2Char"/>
          <w:rFonts w:ascii="仿宋" w:eastAsia="仿宋" w:hAnsi="仿宋"/>
        </w:rPr>
      </w:pPr>
      <w:r w:rsidRPr="000F0FB2">
        <w:rPr>
          <w:rStyle w:val="2Char"/>
          <w:rFonts w:ascii="仿宋" w:eastAsia="仿宋" w:hAnsi="仿宋"/>
        </w:rPr>
        <w:t>十三、国有资本经营预算支出决算表</w:t>
      </w:r>
    </w:p>
    <w:sectPr w:rsidR="00EC2704" w:rsidRPr="000F0FB2" w:rsidSect="00EC2704">
      <w:headerReference w:type="default" r:id="rId14"/>
      <w:footerReference w:type="default" r:id="rId15"/>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4F0" w:rsidRDefault="004D64F0" w:rsidP="00EC2704">
      <w:r>
        <w:separator/>
      </w:r>
    </w:p>
  </w:endnote>
  <w:endnote w:type="continuationSeparator" w:id="1">
    <w:p w:rsidR="004D64F0" w:rsidRDefault="004D64F0" w:rsidP="00EC2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仿宋">
    <w:altName w:val="Arial Unicode MS"/>
    <w:charset w:val="86"/>
    <w:family w:val="auto"/>
    <w:pitch w:val="default"/>
    <w:sig w:usb0="00000000"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EC2704" w:rsidRDefault="00FA1712">
        <w:pPr>
          <w:pStyle w:val="a5"/>
          <w:jc w:val="center"/>
        </w:pPr>
        <w:r>
          <w:fldChar w:fldCharType="begin"/>
        </w:r>
        <w:r w:rsidR="001F5732">
          <w:instrText>PAGE   \* MERGEFORMAT</w:instrText>
        </w:r>
        <w:r>
          <w:fldChar w:fldCharType="separate"/>
        </w:r>
        <w:r w:rsidR="004F24CB" w:rsidRPr="004F24CB">
          <w:rPr>
            <w:noProof/>
            <w:lang w:val="zh-CN"/>
          </w:rPr>
          <w:t>12</w:t>
        </w:r>
        <w:r>
          <w:fldChar w:fldCharType="end"/>
        </w:r>
      </w:p>
    </w:sdtContent>
  </w:sdt>
  <w:p w:rsidR="00EC2704" w:rsidRDefault="00EC270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4F0" w:rsidRDefault="004D64F0" w:rsidP="00EC2704">
      <w:r>
        <w:separator/>
      </w:r>
    </w:p>
  </w:footnote>
  <w:footnote w:type="continuationSeparator" w:id="1">
    <w:p w:rsidR="004D64F0" w:rsidRDefault="004D64F0" w:rsidP="00EC27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704" w:rsidRDefault="00EC2704">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FA047D"/>
    <w:multiLevelType w:val="singleLevel"/>
    <w:tmpl w:val="E2FA047D"/>
    <w:lvl w:ilvl="0">
      <w:start w:val="3"/>
      <w:numFmt w:val="chineseCounting"/>
      <w:suff w:val="space"/>
      <w:lvlText w:val="第%1部分"/>
      <w:lvlJc w:val="left"/>
      <w:rPr>
        <w:rFonts w:hint="eastAsia"/>
      </w:rPr>
    </w:lvl>
  </w:abstractNum>
  <w:abstractNum w:abstractNumId="1">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
  <w:rsids>
    <w:rsidRoot w:val="00F1361C"/>
    <w:rsid w:val="000222C6"/>
    <w:rsid w:val="0002549F"/>
    <w:rsid w:val="0006487A"/>
    <w:rsid w:val="00065F8F"/>
    <w:rsid w:val="000768F2"/>
    <w:rsid w:val="0009184B"/>
    <w:rsid w:val="0009593C"/>
    <w:rsid w:val="000B047F"/>
    <w:rsid w:val="000B5923"/>
    <w:rsid w:val="000B5A48"/>
    <w:rsid w:val="000B6FF3"/>
    <w:rsid w:val="000C3467"/>
    <w:rsid w:val="000C3CA6"/>
    <w:rsid w:val="000D1267"/>
    <w:rsid w:val="000D1D50"/>
    <w:rsid w:val="000D5782"/>
    <w:rsid w:val="000E6613"/>
    <w:rsid w:val="000E7119"/>
    <w:rsid w:val="000F0FB2"/>
    <w:rsid w:val="00114E9B"/>
    <w:rsid w:val="0014729F"/>
    <w:rsid w:val="00157BAB"/>
    <w:rsid w:val="001654D1"/>
    <w:rsid w:val="0018106D"/>
    <w:rsid w:val="001877A7"/>
    <w:rsid w:val="00191536"/>
    <w:rsid w:val="00196687"/>
    <w:rsid w:val="001C0962"/>
    <w:rsid w:val="001D7531"/>
    <w:rsid w:val="001E737D"/>
    <w:rsid w:val="001F0592"/>
    <w:rsid w:val="001F5732"/>
    <w:rsid w:val="001F7506"/>
    <w:rsid w:val="002006CD"/>
    <w:rsid w:val="00202B36"/>
    <w:rsid w:val="00204B7A"/>
    <w:rsid w:val="0021101A"/>
    <w:rsid w:val="00220536"/>
    <w:rsid w:val="00235629"/>
    <w:rsid w:val="00260C38"/>
    <w:rsid w:val="002616C0"/>
    <w:rsid w:val="002662AA"/>
    <w:rsid w:val="00280496"/>
    <w:rsid w:val="00285C06"/>
    <w:rsid w:val="00295495"/>
    <w:rsid w:val="002B2613"/>
    <w:rsid w:val="002F1818"/>
    <w:rsid w:val="002F567B"/>
    <w:rsid w:val="003216A9"/>
    <w:rsid w:val="0037013F"/>
    <w:rsid w:val="00380C92"/>
    <w:rsid w:val="003A484F"/>
    <w:rsid w:val="003B0BE0"/>
    <w:rsid w:val="003B0C1B"/>
    <w:rsid w:val="003B688C"/>
    <w:rsid w:val="003C0291"/>
    <w:rsid w:val="003C39AE"/>
    <w:rsid w:val="003C7B60"/>
    <w:rsid w:val="003D1FB2"/>
    <w:rsid w:val="003D66DA"/>
    <w:rsid w:val="003E1310"/>
    <w:rsid w:val="003E6F55"/>
    <w:rsid w:val="00406254"/>
    <w:rsid w:val="004223DE"/>
    <w:rsid w:val="00434489"/>
    <w:rsid w:val="00437085"/>
    <w:rsid w:val="00443880"/>
    <w:rsid w:val="004464F4"/>
    <w:rsid w:val="00471401"/>
    <w:rsid w:val="00473F31"/>
    <w:rsid w:val="0048263A"/>
    <w:rsid w:val="00484428"/>
    <w:rsid w:val="00487E5D"/>
    <w:rsid w:val="004A711F"/>
    <w:rsid w:val="004B199D"/>
    <w:rsid w:val="004B4690"/>
    <w:rsid w:val="004D64F0"/>
    <w:rsid w:val="004E0A2D"/>
    <w:rsid w:val="004E206B"/>
    <w:rsid w:val="004E6DF7"/>
    <w:rsid w:val="004F0FBD"/>
    <w:rsid w:val="004F24CB"/>
    <w:rsid w:val="00505A47"/>
    <w:rsid w:val="00512FDA"/>
    <w:rsid w:val="00520DA0"/>
    <w:rsid w:val="005664BB"/>
    <w:rsid w:val="0057481D"/>
    <w:rsid w:val="0058486E"/>
    <w:rsid w:val="005D1C8B"/>
    <w:rsid w:val="005D5CED"/>
    <w:rsid w:val="005F1A4C"/>
    <w:rsid w:val="00605688"/>
    <w:rsid w:val="006070AF"/>
    <w:rsid w:val="00607E6C"/>
    <w:rsid w:val="006101B1"/>
    <w:rsid w:val="00614E44"/>
    <w:rsid w:val="00622830"/>
    <w:rsid w:val="00630AEF"/>
    <w:rsid w:val="006325F8"/>
    <w:rsid w:val="00634C9A"/>
    <w:rsid w:val="006440E4"/>
    <w:rsid w:val="0066343B"/>
    <w:rsid w:val="00664777"/>
    <w:rsid w:val="006748A4"/>
    <w:rsid w:val="00683E73"/>
    <w:rsid w:val="006A3141"/>
    <w:rsid w:val="006A5E34"/>
    <w:rsid w:val="006B2422"/>
    <w:rsid w:val="006B2B9A"/>
    <w:rsid w:val="006C1937"/>
    <w:rsid w:val="006F020C"/>
    <w:rsid w:val="007127B7"/>
    <w:rsid w:val="007416B6"/>
    <w:rsid w:val="00746F48"/>
    <w:rsid w:val="0075404D"/>
    <w:rsid w:val="0076182A"/>
    <w:rsid w:val="00767B7E"/>
    <w:rsid w:val="007770C3"/>
    <w:rsid w:val="00784D24"/>
    <w:rsid w:val="00785FBA"/>
    <w:rsid w:val="00786E4A"/>
    <w:rsid w:val="007875EB"/>
    <w:rsid w:val="0079426B"/>
    <w:rsid w:val="007D312A"/>
    <w:rsid w:val="007D3F19"/>
    <w:rsid w:val="007E23B0"/>
    <w:rsid w:val="007F1991"/>
    <w:rsid w:val="007F2C2F"/>
    <w:rsid w:val="007F55FC"/>
    <w:rsid w:val="007F5665"/>
    <w:rsid w:val="00800112"/>
    <w:rsid w:val="008253BB"/>
    <w:rsid w:val="0083706E"/>
    <w:rsid w:val="008423A5"/>
    <w:rsid w:val="00850625"/>
    <w:rsid w:val="00853718"/>
    <w:rsid w:val="00855221"/>
    <w:rsid w:val="00860645"/>
    <w:rsid w:val="00871F71"/>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46945"/>
    <w:rsid w:val="00951248"/>
    <w:rsid w:val="0095152F"/>
    <w:rsid w:val="00954C49"/>
    <w:rsid w:val="0097099F"/>
    <w:rsid w:val="00971997"/>
    <w:rsid w:val="00971FFC"/>
    <w:rsid w:val="0098660A"/>
    <w:rsid w:val="009931C3"/>
    <w:rsid w:val="009B2C43"/>
    <w:rsid w:val="009B4EAE"/>
    <w:rsid w:val="009B7573"/>
    <w:rsid w:val="009C22F4"/>
    <w:rsid w:val="009C2E98"/>
    <w:rsid w:val="009D3447"/>
    <w:rsid w:val="009D4711"/>
    <w:rsid w:val="009F1185"/>
    <w:rsid w:val="009F18CD"/>
    <w:rsid w:val="009F2A13"/>
    <w:rsid w:val="00A04EB0"/>
    <w:rsid w:val="00A13CC1"/>
    <w:rsid w:val="00A16847"/>
    <w:rsid w:val="00A237D8"/>
    <w:rsid w:val="00A268C4"/>
    <w:rsid w:val="00A307CD"/>
    <w:rsid w:val="00A40A00"/>
    <w:rsid w:val="00A4142F"/>
    <w:rsid w:val="00A56DF2"/>
    <w:rsid w:val="00A67AB5"/>
    <w:rsid w:val="00A91760"/>
    <w:rsid w:val="00A93B00"/>
    <w:rsid w:val="00A93C21"/>
    <w:rsid w:val="00AC3C6A"/>
    <w:rsid w:val="00AD5620"/>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77EA6"/>
    <w:rsid w:val="00B81598"/>
    <w:rsid w:val="00B841F1"/>
    <w:rsid w:val="00B944D6"/>
    <w:rsid w:val="00BB4DF0"/>
    <w:rsid w:val="00BC289F"/>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91CBB"/>
    <w:rsid w:val="00CC09B6"/>
    <w:rsid w:val="00CC666F"/>
    <w:rsid w:val="00CD1E3F"/>
    <w:rsid w:val="00CE44F6"/>
    <w:rsid w:val="00CE49DA"/>
    <w:rsid w:val="00CE7B61"/>
    <w:rsid w:val="00D00095"/>
    <w:rsid w:val="00D20620"/>
    <w:rsid w:val="00D26091"/>
    <w:rsid w:val="00D34E7C"/>
    <w:rsid w:val="00D35489"/>
    <w:rsid w:val="00D51276"/>
    <w:rsid w:val="00D7035F"/>
    <w:rsid w:val="00DA65AC"/>
    <w:rsid w:val="00DB1913"/>
    <w:rsid w:val="00DC410D"/>
    <w:rsid w:val="00DC68CA"/>
    <w:rsid w:val="00DC7CBA"/>
    <w:rsid w:val="00DD73B7"/>
    <w:rsid w:val="00DF28BC"/>
    <w:rsid w:val="00DF34B9"/>
    <w:rsid w:val="00E01053"/>
    <w:rsid w:val="00E07ACF"/>
    <w:rsid w:val="00E331A1"/>
    <w:rsid w:val="00E33202"/>
    <w:rsid w:val="00E336A9"/>
    <w:rsid w:val="00E50624"/>
    <w:rsid w:val="00E568DF"/>
    <w:rsid w:val="00E64269"/>
    <w:rsid w:val="00E82267"/>
    <w:rsid w:val="00EA010F"/>
    <w:rsid w:val="00EC2704"/>
    <w:rsid w:val="00ED1B63"/>
    <w:rsid w:val="00ED3C1F"/>
    <w:rsid w:val="00ED4085"/>
    <w:rsid w:val="00ED420E"/>
    <w:rsid w:val="00EE2F57"/>
    <w:rsid w:val="00EF4C34"/>
    <w:rsid w:val="00EF77C6"/>
    <w:rsid w:val="00F05438"/>
    <w:rsid w:val="00F1361C"/>
    <w:rsid w:val="00F160C7"/>
    <w:rsid w:val="00F36D8F"/>
    <w:rsid w:val="00F417B1"/>
    <w:rsid w:val="00F602DF"/>
    <w:rsid w:val="00F81FD9"/>
    <w:rsid w:val="00F841AA"/>
    <w:rsid w:val="00FA1712"/>
    <w:rsid w:val="00FA23E8"/>
    <w:rsid w:val="00FB50D7"/>
    <w:rsid w:val="00FD3CC1"/>
    <w:rsid w:val="00FF1E02"/>
    <w:rsid w:val="00FF30B4"/>
    <w:rsid w:val="10C055FF"/>
    <w:rsid w:val="16BB723D"/>
    <w:rsid w:val="1B234A76"/>
    <w:rsid w:val="1BC31F8E"/>
    <w:rsid w:val="23CA35DF"/>
    <w:rsid w:val="240371BF"/>
    <w:rsid w:val="29FD04D3"/>
    <w:rsid w:val="319F7F4E"/>
    <w:rsid w:val="3F291E48"/>
    <w:rsid w:val="4471787B"/>
    <w:rsid w:val="471C5879"/>
    <w:rsid w:val="48351458"/>
    <w:rsid w:val="59112F14"/>
    <w:rsid w:val="5A490C9B"/>
    <w:rsid w:val="7D080D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704"/>
    <w:pPr>
      <w:widowControl w:val="0"/>
      <w:jc w:val="both"/>
    </w:pPr>
    <w:rPr>
      <w:kern w:val="2"/>
      <w:sz w:val="21"/>
      <w:szCs w:val="24"/>
    </w:rPr>
  </w:style>
  <w:style w:type="paragraph" w:styleId="1">
    <w:name w:val="heading 1"/>
    <w:basedOn w:val="a"/>
    <w:next w:val="a"/>
    <w:link w:val="1Char"/>
    <w:uiPriority w:val="9"/>
    <w:qFormat/>
    <w:rsid w:val="00EC270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EC270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EC270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EC2704"/>
    <w:pPr>
      <w:spacing w:beforeLines="30"/>
    </w:pPr>
    <w:rPr>
      <w:rFonts w:ascii="仿宋_GB2312" w:eastAsia="仿宋_GB2312"/>
      <w:kern w:val="0"/>
      <w:sz w:val="30"/>
    </w:rPr>
  </w:style>
  <w:style w:type="paragraph" w:styleId="30">
    <w:name w:val="toc 3"/>
    <w:basedOn w:val="a"/>
    <w:next w:val="a"/>
    <w:uiPriority w:val="39"/>
    <w:unhideWhenUsed/>
    <w:qFormat/>
    <w:rsid w:val="00EC2704"/>
    <w:pPr>
      <w:tabs>
        <w:tab w:val="right" w:leader="dot" w:pos="8296"/>
      </w:tabs>
      <w:ind w:leftChars="400" w:left="840"/>
    </w:pPr>
  </w:style>
  <w:style w:type="paragraph" w:styleId="a4">
    <w:name w:val="Balloon Text"/>
    <w:basedOn w:val="a"/>
    <w:link w:val="Char0"/>
    <w:uiPriority w:val="99"/>
    <w:semiHidden/>
    <w:unhideWhenUsed/>
    <w:qFormat/>
    <w:rsid w:val="00EC2704"/>
    <w:rPr>
      <w:sz w:val="18"/>
      <w:szCs w:val="18"/>
    </w:rPr>
  </w:style>
  <w:style w:type="paragraph" w:styleId="a5">
    <w:name w:val="footer"/>
    <w:basedOn w:val="a"/>
    <w:link w:val="Char1"/>
    <w:uiPriority w:val="99"/>
    <w:qFormat/>
    <w:rsid w:val="00EC270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EC270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EC270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EC2704"/>
    <w:pPr>
      <w:tabs>
        <w:tab w:val="right" w:leader="dot" w:pos="8296"/>
      </w:tabs>
      <w:ind w:leftChars="200" w:left="420"/>
    </w:pPr>
  </w:style>
  <w:style w:type="paragraph" w:styleId="a7">
    <w:name w:val="Normal (Web)"/>
    <w:basedOn w:val="a"/>
    <w:unhideWhenUsed/>
    <w:qFormat/>
    <w:rsid w:val="00EC2704"/>
    <w:pPr>
      <w:spacing w:beforeAutospacing="1" w:afterAutospacing="1"/>
      <w:jc w:val="left"/>
    </w:pPr>
    <w:rPr>
      <w:kern w:val="0"/>
      <w:sz w:val="24"/>
    </w:rPr>
  </w:style>
  <w:style w:type="character" w:styleId="a8">
    <w:name w:val="Strong"/>
    <w:basedOn w:val="a0"/>
    <w:qFormat/>
    <w:rsid w:val="00EC2704"/>
    <w:rPr>
      <w:b/>
    </w:rPr>
  </w:style>
  <w:style w:type="character" w:styleId="a9">
    <w:name w:val="Hyperlink"/>
    <w:basedOn w:val="a0"/>
    <w:uiPriority w:val="99"/>
    <w:unhideWhenUsed/>
    <w:qFormat/>
    <w:rsid w:val="00EC2704"/>
    <w:rPr>
      <w:color w:val="0000FF" w:themeColor="hyperlink"/>
      <w:u w:val="single"/>
    </w:rPr>
  </w:style>
  <w:style w:type="character" w:customStyle="1" w:styleId="HeaderChar">
    <w:name w:val="Header Char"/>
    <w:basedOn w:val="a0"/>
    <w:uiPriority w:val="99"/>
    <w:semiHidden/>
    <w:qFormat/>
    <w:rsid w:val="00EC2704"/>
    <w:rPr>
      <w:rFonts w:ascii="Times New Roman" w:hAnsi="Times New Roman"/>
      <w:sz w:val="18"/>
      <w:szCs w:val="18"/>
    </w:rPr>
  </w:style>
  <w:style w:type="character" w:customStyle="1" w:styleId="Char2">
    <w:name w:val="页眉 Char"/>
    <w:link w:val="a6"/>
    <w:uiPriority w:val="99"/>
    <w:semiHidden/>
    <w:qFormat/>
    <w:locked/>
    <w:rsid w:val="00EC2704"/>
    <w:rPr>
      <w:sz w:val="18"/>
    </w:rPr>
  </w:style>
  <w:style w:type="character" w:customStyle="1" w:styleId="FooterChar">
    <w:name w:val="Footer Char"/>
    <w:basedOn w:val="a0"/>
    <w:uiPriority w:val="99"/>
    <w:semiHidden/>
    <w:qFormat/>
    <w:rsid w:val="00EC2704"/>
    <w:rPr>
      <w:rFonts w:ascii="Times New Roman" w:hAnsi="Times New Roman"/>
      <w:sz w:val="18"/>
      <w:szCs w:val="18"/>
    </w:rPr>
  </w:style>
  <w:style w:type="character" w:customStyle="1" w:styleId="Char1">
    <w:name w:val="页脚 Char"/>
    <w:link w:val="a5"/>
    <w:uiPriority w:val="99"/>
    <w:qFormat/>
    <w:locked/>
    <w:rsid w:val="00EC2704"/>
    <w:rPr>
      <w:sz w:val="18"/>
    </w:rPr>
  </w:style>
  <w:style w:type="character" w:customStyle="1" w:styleId="BodyTextChar">
    <w:name w:val="Body Text Char"/>
    <w:basedOn w:val="a0"/>
    <w:uiPriority w:val="99"/>
    <w:semiHidden/>
    <w:qFormat/>
    <w:rsid w:val="00EC2704"/>
    <w:rPr>
      <w:rFonts w:ascii="Times New Roman" w:hAnsi="Times New Roman"/>
      <w:szCs w:val="24"/>
    </w:rPr>
  </w:style>
  <w:style w:type="character" w:customStyle="1" w:styleId="Char">
    <w:name w:val="正文文本 Char"/>
    <w:link w:val="a3"/>
    <w:uiPriority w:val="99"/>
    <w:qFormat/>
    <w:locked/>
    <w:rsid w:val="00EC2704"/>
    <w:rPr>
      <w:rFonts w:ascii="仿宋_GB2312" w:eastAsia="仿宋_GB2312" w:hAnsi="Times New Roman"/>
      <w:sz w:val="24"/>
    </w:rPr>
  </w:style>
  <w:style w:type="paragraph" w:customStyle="1" w:styleId="Default">
    <w:name w:val="Default"/>
    <w:uiPriority w:val="99"/>
    <w:qFormat/>
    <w:rsid w:val="00EC2704"/>
    <w:pPr>
      <w:widowControl w:val="0"/>
      <w:autoSpaceDE w:val="0"/>
      <w:autoSpaceDN w:val="0"/>
      <w:adjustRightInd w:val="0"/>
    </w:pPr>
    <w:rPr>
      <w:rFonts w:ascii="仿宋" w:eastAsia="仿宋" w:hAnsi="Calibri" w:cs="仿宋"/>
      <w:color w:val="000000"/>
      <w:sz w:val="24"/>
      <w:szCs w:val="24"/>
    </w:rPr>
  </w:style>
  <w:style w:type="paragraph" w:styleId="aa">
    <w:name w:val="List Paragraph"/>
    <w:basedOn w:val="a"/>
    <w:uiPriority w:val="34"/>
    <w:qFormat/>
    <w:rsid w:val="00EC2704"/>
    <w:pPr>
      <w:ind w:firstLineChars="200" w:firstLine="420"/>
    </w:pPr>
  </w:style>
  <w:style w:type="character" w:customStyle="1" w:styleId="1Char">
    <w:name w:val="标题 1 Char"/>
    <w:basedOn w:val="a0"/>
    <w:link w:val="1"/>
    <w:uiPriority w:val="9"/>
    <w:qFormat/>
    <w:rsid w:val="00EC2704"/>
    <w:rPr>
      <w:rFonts w:ascii="Times New Roman" w:hAnsi="Times New Roman"/>
      <w:b/>
      <w:bCs/>
      <w:kern w:val="44"/>
      <w:sz w:val="44"/>
      <w:szCs w:val="44"/>
    </w:rPr>
  </w:style>
  <w:style w:type="character" w:customStyle="1" w:styleId="2Char">
    <w:name w:val="标题 2 Char"/>
    <w:basedOn w:val="a0"/>
    <w:link w:val="2"/>
    <w:uiPriority w:val="9"/>
    <w:qFormat/>
    <w:rsid w:val="00EC270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EC270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rsid w:val="00EC2704"/>
    <w:rPr>
      <w:rFonts w:ascii="Times New Roman" w:hAnsi="Times New Roman"/>
      <w:kern w:val="2"/>
      <w:sz w:val="18"/>
      <w:szCs w:val="18"/>
    </w:rPr>
  </w:style>
  <w:style w:type="character" w:customStyle="1" w:styleId="3Char">
    <w:name w:val="标题 3 Char"/>
    <w:basedOn w:val="a0"/>
    <w:link w:val="3"/>
    <w:uiPriority w:val="9"/>
    <w:rsid w:val="00EC2704"/>
    <w:rPr>
      <w:rFonts w:ascii="Times New Roman" w:hAnsi="Times New Roman"/>
      <w:b/>
      <w:bCs/>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55EE963-AE7E-4F3B-BBF1-9AF15C920B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792</Words>
  <Characters>4519</Characters>
  <Application>Microsoft Office Word</Application>
  <DocSecurity>0</DocSecurity>
  <Lines>37</Lines>
  <Paragraphs>10</Paragraphs>
  <ScaleCrop>false</ScaleCrop>
  <Company>四川省财政厅</Company>
  <LinksUpToDate>false</LinksUpToDate>
  <CharactersWithSpaces>5301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张彬茜</dc:creator>
  <cp:lastModifiedBy>user</cp:lastModifiedBy>
  <cp:revision>22</cp:revision>
  <cp:lastPrinted>2019-08-01T00:48:00Z</cp:lastPrinted>
  <dcterms:created xsi:type="dcterms:W3CDTF">2019-08-01T01:14:00Z</dcterms:created>
  <dcterms:modified xsi:type="dcterms:W3CDTF">2021-06-10T11:48:00Z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