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96475"/>
      <w:bookmarkStart w:id="2" w:name="_Toc15396597"/>
      <w:bookmarkStart w:id="3" w:name="_Toc15378441"/>
      <w:bookmarkStart w:id="4" w:name="_Toc15377193"/>
      <w:bookmarkStart w:id="5" w:name="_Toc15377425"/>
      <w:r>
        <w:rPr>
          <w:rFonts w:ascii="黑体" w:hAnsi="黑体" w:eastAsia="黑体"/>
          <w:color w:val="000000"/>
          <w:sz w:val="72"/>
          <w:szCs w:val="72"/>
        </w:rPr>
        <w:t>201</w:t>
      </w:r>
      <w:r>
        <w:rPr>
          <w:rFonts w:hint="eastAsia" w:ascii="黑体" w:hAnsi="黑体" w:eastAsia="黑体"/>
          <w:color w:val="000000"/>
          <w:sz w:val="72"/>
          <w:szCs w:val="72"/>
        </w:rPr>
        <w:t>8</w:t>
      </w:r>
      <w:r>
        <w:rPr>
          <w:rFonts w:hint="eastAsia" w:ascii="方正小标宋简体" w:hAnsi="宋体" w:eastAsia="方正小标宋简体"/>
          <w:color w:val="000000"/>
          <w:sz w:val="72"/>
          <w:szCs w:val="72"/>
        </w:rPr>
        <w:t>年度</w:t>
      </w:r>
      <w:bookmarkEnd w:id="1"/>
      <w:bookmarkEnd w:id="2"/>
      <w:bookmarkEnd w:id="3"/>
      <w:bookmarkEnd w:id="4"/>
      <w:bookmarkEnd w:id="5"/>
    </w:p>
    <w:p>
      <w:pPr>
        <w:adjustRightInd w:val="0"/>
        <w:snapToGrid w:val="0"/>
        <w:spacing w:line="360" w:lineRule="auto"/>
        <w:jc w:val="center"/>
        <w:outlineLvl w:val="0"/>
        <w:rPr>
          <w:rFonts w:hint="eastAsia" w:ascii="方正小标宋简体" w:hAnsi="宋体" w:eastAsia="方正小标宋简体"/>
          <w:color w:val="000000"/>
          <w:sz w:val="72"/>
          <w:szCs w:val="72"/>
          <w:lang w:eastAsia="zh-CN"/>
        </w:rPr>
      </w:pPr>
      <w:bookmarkStart w:id="6" w:name="_Toc15378442"/>
      <w:bookmarkStart w:id="7" w:name="_Toc15377194"/>
      <w:bookmarkStart w:id="8" w:name="_Toc15396476"/>
      <w:bookmarkStart w:id="9" w:name="_Toc15396598"/>
      <w:bookmarkStart w:id="10" w:name="_Toc15377426"/>
      <w:r>
        <w:rPr>
          <w:rFonts w:hint="eastAsia" w:ascii="方正小标宋简体" w:hAnsi="宋体" w:eastAsia="方正小标宋简体"/>
          <w:color w:val="000000"/>
          <w:sz w:val="72"/>
          <w:szCs w:val="72"/>
        </w:rPr>
        <w:t>四川省</w:t>
      </w:r>
      <w:bookmarkEnd w:id="0"/>
      <w:bookmarkStart w:id="11" w:name="_Toc15306268"/>
      <w:r>
        <w:rPr>
          <w:rFonts w:hint="eastAsia" w:ascii="方正小标宋简体" w:hAnsi="宋体" w:eastAsia="方正小标宋简体"/>
          <w:color w:val="000000"/>
          <w:sz w:val="72"/>
          <w:szCs w:val="72"/>
          <w:lang w:eastAsia="zh-CN"/>
        </w:rPr>
        <w:t>渠县人民政府</w:t>
      </w:r>
    </w:p>
    <w:p>
      <w:pPr>
        <w:adjustRightInd w:val="0"/>
        <w:snapToGrid w:val="0"/>
        <w:spacing w:line="360" w:lineRule="auto"/>
        <w:jc w:val="center"/>
        <w:outlineLvl w:val="0"/>
        <w:rPr>
          <w:rFonts w:ascii="方正小标宋简体" w:hAnsi="宋体" w:eastAsia="方正小标宋简体"/>
          <w:color w:val="000000"/>
          <w:sz w:val="72"/>
          <w:szCs w:val="72"/>
        </w:rPr>
      </w:pPr>
      <w:r>
        <w:rPr>
          <w:rFonts w:hint="eastAsia" w:ascii="方正小标宋简体" w:hAnsi="宋体" w:eastAsia="方正小标宋简体"/>
          <w:color w:val="000000"/>
          <w:sz w:val="72"/>
          <w:szCs w:val="72"/>
          <w:lang w:eastAsia="zh-CN"/>
        </w:rPr>
        <w:t>信访局</w:t>
      </w:r>
      <w:r>
        <w:rPr>
          <w:rFonts w:hint="eastAsia" w:ascii="方正小标宋简体" w:hAnsi="宋体" w:eastAsia="方正小标宋简体"/>
          <w:color w:val="000000"/>
          <w:sz w:val="72"/>
          <w:szCs w:val="72"/>
        </w:rPr>
        <w:t>部门决算</w:t>
      </w:r>
      <w:bookmarkEnd w:id="6"/>
      <w:bookmarkEnd w:id="7"/>
      <w:bookmarkEnd w:id="8"/>
      <w:bookmarkEnd w:id="9"/>
      <w:bookmarkEnd w:id="10"/>
      <w:bookmarkEnd w:id="11"/>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Pr>
        <w:pStyle w:val="10"/>
      </w:pPr>
      <w:r>
        <w:rPr>
          <w:rFonts w:hint="eastAsia"/>
        </w:rPr>
        <w:t>公开时间：2019年8月29日</w:t>
      </w:r>
    </w:p>
    <w:p/>
    <w:p>
      <w:pPr>
        <w:pStyle w:val="10"/>
        <w:rPr>
          <w:rFonts w:cstheme="minorBidi"/>
        </w:rPr>
      </w:pPr>
      <w:r>
        <w:fldChar w:fldCharType="begin"/>
      </w:r>
      <w:r>
        <w:instrText xml:space="preserve"> HYPERLINK \l "_Toc15396599" </w:instrText>
      </w:r>
      <w:r>
        <w:fldChar w:fldCharType="separate"/>
      </w:r>
      <w:r>
        <w:rPr>
          <w:rStyle w:val="16"/>
          <w:rFonts w:hint="eastAsia"/>
        </w:rPr>
        <w:t>第一部分</w:t>
      </w:r>
      <w:r>
        <w:rPr>
          <w:rStyle w:val="16"/>
        </w:rPr>
        <w:t xml:space="preserve"> </w:t>
      </w:r>
      <w:r>
        <w:rPr>
          <w:rStyle w:val="16"/>
          <w:rFonts w:hint="eastAsia"/>
        </w:rPr>
        <w:t>部门概况</w:t>
      </w:r>
      <w:r>
        <w:tab/>
      </w:r>
      <w:r>
        <w:rPr>
          <w:rFonts w:hint="eastAsia"/>
        </w:rPr>
        <w:t>4</w:t>
      </w:r>
      <w:r>
        <w:rPr>
          <w:rFonts w:hint="eastAsia"/>
        </w:rPr>
        <w:fldChar w:fldCharType="end"/>
      </w:r>
    </w:p>
    <w:p>
      <w:pPr>
        <w:pStyle w:val="11"/>
        <w:rPr>
          <w:rFonts w:ascii="仿宋" w:hAnsi="仿宋" w:eastAsia="仿宋" w:cstheme="minorBidi"/>
          <w:sz w:val="28"/>
          <w:szCs w:val="28"/>
        </w:rPr>
      </w:pPr>
      <w:r>
        <w:fldChar w:fldCharType="begin"/>
      </w:r>
      <w:r>
        <w:instrText xml:space="preserve"> HYPERLINK \l "_Toc15396600" </w:instrText>
      </w:r>
      <w:r>
        <w:fldChar w:fldCharType="separate"/>
      </w:r>
      <w:r>
        <w:rPr>
          <w:rStyle w:val="16"/>
          <w:rFonts w:hint="eastAsia" w:ascii="仿宋" w:hAnsi="仿宋" w:eastAsia="仿宋"/>
          <w:sz w:val="28"/>
          <w:szCs w:val="28"/>
        </w:rPr>
        <w:t>一、基本职能及主要工作</w:t>
      </w:r>
      <w:r>
        <w:rPr>
          <w:rFonts w:ascii="仿宋" w:hAnsi="仿宋" w:eastAsia="仿宋"/>
          <w:sz w:val="28"/>
          <w:szCs w:val="28"/>
        </w:rPr>
        <w:tab/>
      </w:r>
      <w:r>
        <w:rPr>
          <w:rFonts w:hint="eastAsia" w:ascii="仿宋" w:hAnsi="仿宋" w:eastAsia="仿宋"/>
          <w:sz w:val="28"/>
          <w:szCs w:val="28"/>
        </w:rPr>
        <w:t>4</w:t>
      </w:r>
      <w:r>
        <w:rPr>
          <w:rFonts w:hint="eastAsia"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"_Toc15396601" </w:instrText>
      </w:r>
      <w:r>
        <w:fldChar w:fldCharType="separate"/>
      </w:r>
      <w:r>
        <w:rPr>
          <w:rStyle w:val="16"/>
          <w:rFonts w:hint="eastAsia" w:ascii="仿宋" w:hAnsi="仿宋" w:eastAsia="仿宋"/>
          <w:sz w:val="28"/>
          <w:szCs w:val="28"/>
        </w:rPr>
        <w:t>二、机构设置</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_Toc15396601 \h </w:instrText>
      </w:r>
      <w:r>
        <w:rPr>
          <w:rFonts w:ascii="仿宋" w:hAnsi="仿宋" w:eastAsia="仿宋"/>
          <w:sz w:val="28"/>
          <w:szCs w:val="28"/>
        </w:rPr>
        <w:fldChar w:fldCharType="separate"/>
      </w:r>
      <w:r>
        <w:rPr>
          <w:rFonts w:ascii="仿宋" w:hAnsi="仿宋" w:eastAsia="仿宋"/>
          <w:sz w:val="28"/>
          <w:szCs w:val="28"/>
        </w:rPr>
        <w:t>4</w:t>
      </w:r>
      <w:r>
        <w:rPr>
          <w:rFonts w:ascii="仿宋" w:hAnsi="仿宋" w:eastAsia="仿宋"/>
          <w:sz w:val="28"/>
          <w:szCs w:val="28"/>
        </w:rPr>
        <w:fldChar w:fldCharType="end"/>
      </w:r>
      <w:r>
        <w:rPr>
          <w:rFonts w:ascii="仿宋" w:hAnsi="仿宋" w:eastAsia="仿宋"/>
          <w:sz w:val="28"/>
          <w:szCs w:val="28"/>
        </w:rPr>
        <w:fldChar w:fldCharType="end"/>
      </w:r>
    </w:p>
    <w:p>
      <w:pPr>
        <w:pStyle w:val="10"/>
      </w:pPr>
      <w:r>
        <w:fldChar w:fldCharType="begin"/>
      </w:r>
      <w:r>
        <w:instrText xml:space="preserve"> HYPERLINK \l "_Toc15396602" </w:instrText>
      </w:r>
      <w:r>
        <w:fldChar w:fldCharType="separate"/>
      </w:r>
      <w:r>
        <w:rPr>
          <w:rStyle w:val="16"/>
          <w:rFonts w:hint="eastAsia"/>
        </w:rPr>
        <w:t>第二部分</w:t>
      </w:r>
      <w:r>
        <w:rPr>
          <w:rStyle w:val="16"/>
        </w:rPr>
        <w:t xml:space="preserve"> 2018</w:t>
      </w:r>
      <w:r>
        <w:rPr>
          <w:rStyle w:val="16"/>
          <w:rFonts w:hint="eastAsia"/>
        </w:rPr>
        <w:t>年度部门决算情况说明</w:t>
      </w:r>
      <w:r>
        <w:tab/>
      </w:r>
      <w:r>
        <w:fldChar w:fldCharType="begin"/>
      </w:r>
      <w:r>
        <w:instrText xml:space="preserve"> PAGEREF _Toc15396602 \h </w:instrText>
      </w:r>
      <w:r>
        <w:fldChar w:fldCharType="separate"/>
      </w:r>
      <w:r>
        <w:t>5</w:t>
      </w:r>
      <w:r>
        <w:fldChar w:fldCharType="end"/>
      </w:r>
      <w:r>
        <w:fldChar w:fldCharType="end"/>
      </w:r>
    </w:p>
    <w:p>
      <w:pPr>
        <w:pStyle w:val="11"/>
        <w:rPr>
          <w:rFonts w:ascii="仿宋" w:hAnsi="仿宋" w:eastAsia="仿宋" w:cstheme="minorBidi"/>
          <w:sz w:val="28"/>
          <w:szCs w:val="28"/>
        </w:rPr>
      </w:pPr>
      <w:r>
        <w:fldChar w:fldCharType="begin"/>
      </w:r>
      <w:r>
        <w:instrText xml:space="preserve"> HYPERLINK \l "_Toc15396603" </w:instrText>
      </w:r>
      <w:r>
        <w:fldChar w:fldCharType="separate"/>
      </w:r>
      <w:r>
        <w:rPr>
          <w:rStyle w:val="16"/>
          <w:rFonts w:hint="eastAsia" w:ascii="仿宋" w:hAnsi="仿宋" w:eastAsia="仿宋" w:cstheme="majorBidi"/>
          <w:bCs/>
          <w:sz w:val="28"/>
          <w:szCs w:val="28"/>
        </w:rPr>
        <w:t>一、</w:t>
      </w:r>
      <w:r>
        <w:rPr>
          <w:rStyle w:val="16"/>
          <w:rFonts w:hint="eastAsia" w:ascii="仿宋" w:hAnsi="仿宋" w:eastAsia="仿宋"/>
          <w:sz w:val="28"/>
          <w:szCs w:val="28"/>
        </w:rPr>
        <w:t>收</w:t>
      </w:r>
      <w:r>
        <w:rPr>
          <w:rStyle w:val="16"/>
          <w:rFonts w:hint="eastAsia" w:ascii="仿宋" w:hAnsi="仿宋" w:eastAsia="仿宋" w:cstheme="majorBidi"/>
          <w:bCs/>
          <w:sz w:val="28"/>
          <w:szCs w:val="28"/>
        </w:rPr>
        <w:t>入支出决算总体情况说明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_Toc15396603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"_Toc15396604" </w:instrText>
      </w:r>
      <w:r>
        <w:fldChar w:fldCharType="separate"/>
      </w:r>
      <w:r>
        <w:rPr>
          <w:rStyle w:val="16"/>
          <w:rFonts w:hint="eastAsia" w:ascii="仿宋" w:hAnsi="仿宋" w:eastAsia="仿宋" w:cstheme="majorBidi"/>
          <w:bCs/>
          <w:sz w:val="28"/>
          <w:szCs w:val="28"/>
        </w:rPr>
        <w:t>二、</w:t>
      </w:r>
      <w:r>
        <w:rPr>
          <w:rStyle w:val="16"/>
          <w:rFonts w:hint="eastAsia" w:ascii="仿宋" w:hAnsi="仿宋" w:eastAsia="仿宋"/>
          <w:sz w:val="28"/>
          <w:szCs w:val="28"/>
        </w:rPr>
        <w:t>收</w:t>
      </w:r>
      <w:r>
        <w:rPr>
          <w:rStyle w:val="16"/>
          <w:rFonts w:hint="eastAsia" w:ascii="仿宋" w:hAnsi="仿宋" w:eastAsia="仿宋" w:cstheme="majorBidi"/>
          <w:bCs/>
          <w:sz w:val="28"/>
          <w:szCs w:val="28"/>
        </w:rPr>
        <w:t>入决算情况说明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_Toc15396604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"_Toc15396605" </w:instrText>
      </w:r>
      <w:r>
        <w:fldChar w:fldCharType="separate"/>
      </w:r>
      <w:r>
        <w:rPr>
          <w:rStyle w:val="16"/>
          <w:rFonts w:hint="eastAsia" w:ascii="仿宋" w:hAnsi="仿宋" w:eastAsia="仿宋" w:cstheme="majorBidi"/>
          <w:bCs/>
          <w:sz w:val="28"/>
          <w:szCs w:val="28"/>
        </w:rPr>
        <w:t>三、</w:t>
      </w:r>
      <w:r>
        <w:rPr>
          <w:rStyle w:val="16"/>
          <w:rFonts w:hint="eastAsia" w:ascii="仿宋" w:hAnsi="仿宋" w:eastAsia="仿宋"/>
          <w:sz w:val="28"/>
          <w:szCs w:val="28"/>
        </w:rPr>
        <w:t>支</w:t>
      </w:r>
      <w:r>
        <w:rPr>
          <w:rStyle w:val="16"/>
          <w:rFonts w:hint="eastAsia" w:ascii="仿宋" w:hAnsi="仿宋" w:eastAsia="仿宋" w:cstheme="majorBidi"/>
          <w:bCs/>
          <w:sz w:val="28"/>
          <w:szCs w:val="28"/>
        </w:rPr>
        <w:t>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_Toc15396605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"_Toc15396606" </w:instrText>
      </w:r>
      <w:r>
        <w:fldChar w:fldCharType="separate"/>
      </w:r>
      <w:r>
        <w:rPr>
          <w:rStyle w:val="16"/>
          <w:rFonts w:hint="eastAsia" w:ascii="仿宋" w:hAnsi="仿宋" w:eastAsia="仿宋"/>
          <w:sz w:val="28"/>
          <w:szCs w:val="28"/>
        </w:rPr>
        <w:t>四、财</w:t>
      </w:r>
      <w:r>
        <w:rPr>
          <w:rStyle w:val="16"/>
          <w:rFonts w:hint="eastAsia" w:ascii="仿宋" w:hAnsi="仿宋" w:eastAsia="仿宋" w:cstheme="majorBidi"/>
          <w:bCs/>
          <w:sz w:val="28"/>
          <w:szCs w:val="28"/>
        </w:rPr>
        <w:t>政拨款收入支出决算总体情况说明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_Toc15396606 \h </w:instrText>
      </w:r>
      <w:r>
        <w:rPr>
          <w:rFonts w:ascii="仿宋" w:hAnsi="仿宋" w:eastAsia="仿宋"/>
          <w:sz w:val="28"/>
          <w:szCs w:val="28"/>
        </w:rPr>
        <w:fldChar w:fldCharType="separate"/>
      </w:r>
      <w:r>
        <w:rPr>
          <w:rFonts w:ascii="仿宋" w:hAnsi="仿宋" w:eastAsia="仿宋"/>
          <w:sz w:val="28"/>
          <w:szCs w:val="28"/>
        </w:rPr>
        <w:t>6</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"_Toc15396607" </w:instrText>
      </w:r>
      <w:r>
        <w:fldChar w:fldCharType="separate"/>
      </w:r>
      <w:r>
        <w:rPr>
          <w:rStyle w:val="16"/>
          <w:rFonts w:hint="eastAsia" w:ascii="仿宋" w:hAnsi="仿宋" w:eastAsia="仿宋"/>
          <w:sz w:val="28"/>
          <w:szCs w:val="28"/>
        </w:rPr>
        <w:t>五、一</w:t>
      </w:r>
      <w:r>
        <w:rPr>
          <w:rStyle w:val="16"/>
          <w:rFonts w:hint="eastAsia" w:ascii="仿宋" w:hAnsi="仿宋" w:eastAsia="仿宋" w:cstheme="majorBidi"/>
          <w:bCs/>
          <w:sz w:val="28"/>
          <w:szCs w:val="28"/>
        </w:rPr>
        <w:t>般公共预算财政拨款支出决算情况说明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_Toc15396607 \h </w:instrText>
      </w:r>
      <w:r>
        <w:rPr>
          <w:rFonts w:ascii="仿宋" w:hAnsi="仿宋" w:eastAsia="仿宋"/>
          <w:sz w:val="28"/>
          <w:szCs w:val="28"/>
        </w:rPr>
        <w:fldChar w:fldCharType="separate"/>
      </w:r>
      <w:r>
        <w:rPr>
          <w:rFonts w:ascii="仿宋" w:hAnsi="仿宋" w:eastAsia="仿宋"/>
          <w:sz w:val="28"/>
          <w:szCs w:val="28"/>
        </w:rPr>
        <w:t>6</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"_Toc15396608" </w:instrText>
      </w:r>
      <w:r>
        <w:fldChar w:fldCharType="separate"/>
      </w:r>
      <w:r>
        <w:rPr>
          <w:rStyle w:val="16"/>
          <w:rFonts w:hint="eastAsia" w:ascii="仿宋" w:hAnsi="仿宋" w:eastAsia="仿宋"/>
          <w:sz w:val="28"/>
          <w:szCs w:val="28"/>
        </w:rPr>
        <w:t>六、一</w:t>
      </w:r>
      <w:r>
        <w:rPr>
          <w:rStyle w:val="16"/>
          <w:rFonts w:hint="eastAsia" w:ascii="仿宋" w:hAnsi="仿宋" w:eastAsia="仿宋" w:cstheme="majorBidi"/>
          <w:bCs/>
          <w:sz w:val="28"/>
          <w:szCs w:val="28"/>
        </w:rPr>
        <w:t>般公共预算财政拨款基本支出决算情况说明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_Toc15396608 \h </w:instrText>
      </w:r>
      <w:r>
        <w:rPr>
          <w:rFonts w:ascii="仿宋" w:hAnsi="仿宋" w:eastAsia="仿宋"/>
          <w:sz w:val="28"/>
          <w:szCs w:val="28"/>
        </w:rPr>
        <w:fldChar w:fldCharType="separate"/>
      </w:r>
      <w:r>
        <w:rPr>
          <w:rFonts w:ascii="仿宋" w:hAnsi="仿宋" w:eastAsia="仿宋"/>
          <w:sz w:val="28"/>
          <w:szCs w:val="28"/>
        </w:rPr>
        <w:t>8</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"_Toc15396609" </w:instrText>
      </w:r>
      <w:r>
        <w:fldChar w:fldCharType="separate"/>
      </w:r>
      <w:r>
        <w:rPr>
          <w:rStyle w:val="16"/>
          <w:rFonts w:hint="eastAsia" w:ascii="仿宋" w:hAnsi="仿宋" w:eastAsia="仿宋"/>
          <w:sz w:val="28"/>
          <w:szCs w:val="28"/>
        </w:rPr>
        <w:t>七、</w:t>
      </w:r>
      <w:r>
        <w:rPr>
          <w:rStyle w:val="16"/>
          <w:rFonts w:ascii="仿宋" w:hAnsi="仿宋" w:eastAsia="仿宋"/>
          <w:sz w:val="28"/>
          <w:szCs w:val="28"/>
        </w:rPr>
        <w:t>“</w:t>
      </w:r>
      <w:r>
        <w:rPr>
          <w:rStyle w:val="16"/>
          <w:rFonts w:hint="eastAsia" w:ascii="仿宋" w:hAnsi="仿宋" w:eastAsia="仿宋" w:cstheme="majorBidi"/>
          <w:bCs/>
          <w:sz w:val="28"/>
          <w:szCs w:val="28"/>
        </w:rPr>
        <w:t>三公”经费财政拨款支出决算情况说明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_Toc15396609 \h </w:instrText>
      </w:r>
      <w:r>
        <w:rPr>
          <w:rFonts w:ascii="仿宋" w:hAnsi="仿宋" w:eastAsia="仿宋"/>
          <w:sz w:val="28"/>
          <w:szCs w:val="28"/>
        </w:rPr>
        <w:fldChar w:fldCharType="separate"/>
      </w:r>
      <w:r>
        <w:rPr>
          <w:rFonts w:ascii="仿宋" w:hAnsi="仿宋" w:eastAsia="仿宋"/>
          <w:sz w:val="28"/>
          <w:szCs w:val="28"/>
        </w:rPr>
        <w:t>8</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"_Toc15396610" </w:instrText>
      </w:r>
      <w:r>
        <w:fldChar w:fldCharType="separate"/>
      </w:r>
      <w:r>
        <w:rPr>
          <w:rStyle w:val="16"/>
          <w:rFonts w:hint="eastAsia" w:ascii="仿宋" w:hAnsi="仿宋" w:eastAsia="仿宋"/>
          <w:sz w:val="28"/>
          <w:szCs w:val="28"/>
        </w:rPr>
        <w:t>八、</w:t>
      </w:r>
      <w:r>
        <w:rPr>
          <w:rStyle w:val="16"/>
          <w:rFonts w:hint="eastAsia" w:ascii="仿宋" w:hAnsi="仿宋" w:eastAsia="仿宋" w:cstheme="majorBidi"/>
          <w:bCs/>
          <w:sz w:val="28"/>
          <w:szCs w:val="28"/>
        </w:rPr>
        <w:t>政府性基金预算支出决算情况说明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_Toc15396610 \h </w:instrText>
      </w:r>
      <w:r>
        <w:rPr>
          <w:rFonts w:ascii="仿宋" w:hAnsi="仿宋" w:eastAsia="仿宋"/>
          <w:sz w:val="28"/>
          <w:szCs w:val="28"/>
        </w:rPr>
        <w:fldChar w:fldCharType="separate"/>
      </w:r>
      <w:r>
        <w:rPr>
          <w:rFonts w:ascii="仿宋" w:hAnsi="仿宋" w:eastAsia="仿宋"/>
          <w:sz w:val="28"/>
          <w:szCs w:val="28"/>
        </w:rPr>
        <w:t>10</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"_Toc15396611" </w:instrText>
      </w:r>
      <w:r>
        <w:fldChar w:fldCharType="separate"/>
      </w:r>
      <w:r>
        <w:rPr>
          <w:rStyle w:val="16"/>
          <w:rFonts w:hint="eastAsia" w:ascii="仿宋" w:hAnsi="仿宋" w:eastAsia="仿宋" w:cstheme="majorBidi"/>
          <w:bCs/>
          <w:sz w:val="28"/>
          <w:szCs w:val="28"/>
        </w:rPr>
        <w:t>九、</w:t>
      </w:r>
      <w:r>
        <w:rPr>
          <w:rStyle w:val="16"/>
          <w:rFonts w:hint="eastAsia" w:ascii="仿宋" w:hAnsi="仿宋" w:eastAsia="仿宋"/>
          <w:sz w:val="28"/>
          <w:szCs w:val="28"/>
        </w:rPr>
        <w:t xml:space="preserve"> 国</w:t>
      </w:r>
      <w:r>
        <w:rPr>
          <w:rStyle w:val="16"/>
          <w:rFonts w:hint="eastAsia" w:ascii="仿宋" w:hAnsi="仿宋" w:eastAsia="仿宋" w:cstheme="majorBidi"/>
          <w:bCs/>
          <w:sz w:val="28"/>
          <w:szCs w:val="28"/>
        </w:rPr>
        <w:t>有资本经营预算支出决算情况说明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_Toc15396611 \h </w:instrText>
      </w:r>
      <w:r>
        <w:rPr>
          <w:rFonts w:ascii="仿宋" w:hAnsi="仿宋" w:eastAsia="仿宋"/>
          <w:sz w:val="28"/>
          <w:szCs w:val="28"/>
        </w:rPr>
        <w:fldChar w:fldCharType="separate"/>
      </w:r>
      <w:r>
        <w:rPr>
          <w:rFonts w:ascii="仿宋" w:hAnsi="仿宋" w:eastAsia="仿宋"/>
          <w:sz w:val="28"/>
          <w:szCs w:val="28"/>
        </w:rPr>
        <w:t>10</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"_Toc15396612" </w:instrText>
      </w:r>
      <w:r>
        <w:fldChar w:fldCharType="separate"/>
      </w:r>
      <w:r>
        <w:rPr>
          <w:rStyle w:val="16"/>
          <w:rFonts w:hint="eastAsia" w:ascii="仿宋" w:hAnsi="仿宋" w:eastAsia="仿宋"/>
          <w:sz w:val="28"/>
          <w:szCs w:val="28"/>
        </w:rPr>
        <w:t>十</w:t>
      </w:r>
      <w:r>
        <w:rPr>
          <w:rStyle w:val="16"/>
          <w:rFonts w:hint="eastAsia" w:ascii="仿宋" w:hAnsi="仿宋" w:eastAsia="仿宋" w:cstheme="majorBidi"/>
          <w:bCs/>
          <w:sz w:val="28"/>
          <w:szCs w:val="28"/>
        </w:rPr>
        <w:t>一、其他重要事项的情况说明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_Toc15396612 \h </w:instrText>
      </w:r>
      <w:r>
        <w:rPr>
          <w:rFonts w:ascii="仿宋" w:hAnsi="仿宋" w:eastAsia="仿宋"/>
          <w:sz w:val="28"/>
          <w:szCs w:val="28"/>
        </w:rPr>
        <w:fldChar w:fldCharType="separate"/>
      </w:r>
      <w:r>
        <w:rPr>
          <w:rFonts w:ascii="仿宋" w:hAnsi="仿宋" w:eastAsia="仿宋"/>
          <w:sz w:val="28"/>
          <w:szCs w:val="28"/>
        </w:rPr>
        <w:t>14</w:t>
      </w:r>
      <w:r>
        <w:rPr>
          <w:rFonts w:ascii="仿宋" w:hAnsi="仿宋" w:eastAsia="仿宋"/>
          <w:sz w:val="28"/>
          <w:szCs w:val="28"/>
        </w:rPr>
        <w:fldChar w:fldCharType="end"/>
      </w:r>
      <w:r>
        <w:rPr>
          <w:rFonts w:ascii="仿宋" w:hAnsi="仿宋" w:eastAsia="仿宋"/>
          <w:sz w:val="28"/>
          <w:szCs w:val="28"/>
        </w:rPr>
        <w:fldChar w:fldCharType="end"/>
      </w:r>
    </w:p>
    <w:p>
      <w:pPr>
        <w:pStyle w:val="10"/>
        <w:rPr>
          <w:rFonts w:cstheme="minorBidi"/>
        </w:rPr>
      </w:pPr>
      <w:r>
        <w:fldChar w:fldCharType="begin"/>
      </w:r>
      <w:r>
        <w:instrText xml:space="preserve"> HYPERLINK \l "_Toc15396613" </w:instrText>
      </w:r>
      <w:r>
        <w:fldChar w:fldCharType="separate"/>
      </w:r>
      <w:r>
        <w:rPr>
          <w:rStyle w:val="16"/>
          <w:rFonts w:hint="eastAsia"/>
          <w:bCs/>
          <w:kern w:val="44"/>
        </w:rPr>
        <w:t>第三部分</w:t>
      </w:r>
      <w:r>
        <w:rPr>
          <w:rStyle w:val="16"/>
          <w:rFonts w:hint="eastAsia"/>
        </w:rPr>
        <w:t xml:space="preserve"> 名</w:t>
      </w:r>
      <w:r>
        <w:rPr>
          <w:rStyle w:val="16"/>
          <w:rFonts w:hint="eastAsia"/>
          <w:bCs/>
          <w:kern w:val="44"/>
        </w:rPr>
        <w:t>词解释</w:t>
      </w:r>
      <w:r>
        <w:tab/>
      </w:r>
      <w:r>
        <w:fldChar w:fldCharType="begin"/>
      </w:r>
      <w:r>
        <w:instrText xml:space="preserve"> PAGEREF _Toc15396613 \h </w:instrText>
      </w:r>
      <w:r>
        <w:fldChar w:fldCharType="separate"/>
      </w:r>
      <w:r>
        <w:t>16</w:t>
      </w:r>
      <w:r>
        <w:fldChar w:fldCharType="end"/>
      </w:r>
      <w:r>
        <w:fldChar w:fldCharType="end"/>
      </w:r>
    </w:p>
    <w:p>
      <w:pPr>
        <w:pStyle w:val="10"/>
        <w:rPr>
          <w:rFonts w:cstheme="minorBidi"/>
        </w:rPr>
      </w:pPr>
      <w:r>
        <w:fldChar w:fldCharType="begin"/>
      </w:r>
      <w:r>
        <w:instrText xml:space="preserve"> HYPERLINK \l "_Toc15396614" </w:instrText>
      </w:r>
      <w:r>
        <w:fldChar w:fldCharType="separate"/>
      </w:r>
      <w:r>
        <w:rPr>
          <w:rStyle w:val="16"/>
          <w:rFonts w:hint="eastAsia"/>
        </w:rPr>
        <w:t>第</w:t>
      </w:r>
      <w:r>
        <w:rPr>
          <w:rStyle w:val="16"/>
          <w:rFonts w:hint="eastAsia"/>
          <w:bCs/>
          <w:kern w:val="44"/>
        </w:rPr>
        <w:t>四部分</w:t>
      </w:r>
      <w:r>
        <w:rPr>
          <w:rStyle w:val="16"/>
          <w:bCs/>
          <w:kern w:val="44"/>
        </w:rPr>
        <w:t xml:space="preserve"> </w:t>
      </w:r>
      <w:r>
        <w:rPr>
          <w:rStyle w:val="16"/>
          <w:rFonts w:hint="eastAsia"/>
          <w:bCs/>
          <w:kern w:val="44"/>
        </w:rPr>
        <w:t>附件</w:t>
      </w:r>
      <w:r>
        <w:tab/>
      </w:r>
      <w:r>
        <w:fldChar w:fldCharType="begin"/>
      </w:r>
      <w:r>
        <w:instrText xml:space="preserve"> PAGEREF _Toc15396614 \h </w:instrText>
      </w:r>
      <w:r>
        <w:fldChar w:fldCharType="separate"/>
      </w:r>
      <w:r>
        <w:t>19</w:t>
      </w:r>
      <w:r>
        <w:fldChar w:fldCharType="end"/>
      </w:r>
      <w:r>
        <w:fldChar w:fldCharType="end"/>
      </w:r>
    </w:p>
    <w:p>
      <w:pPr>
        <w:pStyle w:val="11"/>
        <w:rPr>
          <w:rFonts w:ascii="仿宋" w:hAnsi="仿宋" w:eastAsia="仿宋" w:cstheme="minorBidi"/>
          <w:sz w:val="28"/>
          <w:szCs w:val="28"/>
        </w:rPr>
      </w:pPr>
      <w:r>
        <w:fldChar w:fldCharType="begin"/>
      </w:r>
      <w:r>
        <w:instrText xml:space="preserve"> HYPERLINK \l "_Toc15396615" </w:instrText>
      </w:r>
      <w:r>
        <w:fldChar w:fldCharType="separate"/>
      </w:r>
      <w:r>
        <w:rPr>
          <w:rStyle w:val="16"/>
          <w:rFonts w:hint="eastAsia" w:ascii="仿宋" w:hAnsi="仿宋" w:eastAsia="仿宋"/>
          <w:kern w:val="44"/>
          <w:sz w:val="28"/>
          <w:szCs w:val="28"/>
        </w:rPr>
        <w:t>附件</w:t>
      </w:r>
      <w:r>
        <w:rPr>
          <w:rStyle w:val="16"/>
          <w:rFonts w:ascii="仿宋" w:hAnsi="仿宋" w:eastAsia="仿宋"/>
          <w:kern w:val="44"/>
          <w:sz w:val="28"/>
          <w:szCs w:val="28"/>
        </w:rPr>
        <w:t>1</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_Toc15396615 \h </w:instrText>
      </w:r>
      <w:r>
        <w:rPr>
          <w:rFonts w:ascii="仿宋" w:hAnsi="仿宋" w:eastAsia="仿宋"/>
          <w:sz w:val="28"/>
          <w:szCs w:val="28"/>
        </w:rPr>
        <w:fldChar w:fldCharType="separate"/>
      </w:r>
      <w:r>
        <w:rPr>
          <w:rFonts w:ascii="仿宋" w:hAnsi="仿宋" w:eastAsia="仿宋"/>
          <w:sz w:val="28"/>
          <w:szCs w:val="28"/>
        </w:rPr>
        <w:t>19</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"_Toc15396617" </w:instrText>
      </w:r>
      <w:r>
        <w:fldChar w:fldCharType="separate"/>
      </w:r>
      <w:r>
        <w:rPr>
          <w:rStyle w:val="16"/>
          <w:rFonts w:hint="eastAsia" w:ascii="仿宋" w:hAnsi="仿宋" w:eastAsia="仿宋"/>
          <w:kern w:val="44"/>
          <w:sz w:val="28"/>
          <w:szCs w:val="28"/>
        </w:rPr>
        <w:t>附件</w:t>
      </w:r>
      <w:r>
        <w:rPr>
          <w:rStyle w:val="16"/>
          <w:rFonts w:ascii="仿宋" w:hAnsi="仿宋" w:eastAsia="仿宋"/>
          <w:kern w:val="44"/>
          <w:sz w:val="28"/>
          <w:szCs w:val="28"/>
        </w:rPr>
        <w:t>2</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_Toc15396617 \h </w:instrText>
      </w:r>
      <w:r>
        <w:rPr>
          <w:rFonts w:ascii="仿宋" w:hAnsi="仿宋" w:eastAsia="仿宋"/>
          <w:sz w:val="28"/>
          <w:szCs w:val="28"/>
        </w:rPr>
        <w:fldChar w:fldCharType="separate"/>
      </w:r>
      <w:r>
        <w:rPr>
          <w:rFonts w:ascii="仿宋" w:hAnsi="仿宋" w:eastAsia="仿宋"/>
          <w:sz w:val="28"/>
          <w:szCs w:val="28"/>
        </w:rPr>
        <w:t>21</w:t>
      </w:r>
      <w:r>
        <w:rPr>
          <w:rFonts w:ascii="仿宋" w:hAnsi="仿宋" w:eastAsia="仿宋"/>
          <w:sz w:val="28"/>
          <w:szCs w:val="28"/>
        </w:rPr>
        <w:fldChar w:fldCharType="end"/>
      </w:r>
      <w:r>
        <w:rPr>
          <w:rFonts w:ascii="仿宋" w:hAnsi="仿宋" w:eastAsia="仿宋"/>
          <w:sz w:val="28"/>
          <w:szCs w:val="28"/>
        </w:rPr>
        <w:fldChar w:fldCharType="end"/>
      </w:r>
    </w:p>
    <w:p>
      <w:pPr>
        <w:pStyle w:val="10"/>
        <w:rPr>
          <w:rFonts w:cstheme="minorBidi"/>
        </w:rPr>
      </w:pPr>
      <w:r>
        <w:fldChar w:fldCharType="begin"/>
      </w:r>
      <w:r>
        <w:instrText xml:space="preserve"> HYPERLINK \l "_Toc15396618" </w:instrText>
      </w:r>
      <w:r>
        <w:fldChar w:fldCharType="separate"/>
      </w:r>
      <w:r>
        <w:rPr>
          <w:rStyle w:val="16"/>
          <w:rFonts w:hint="eastAsia"/>
        </w:rPr>
        <w:t>第</w:t>
      </w:r>
      <w:r>
        <w:rPr>
          <w:rStyle w:val="16"/>
          <w:rFonts w:hint="eastAsia"/>
          <w:bCs/>
          <w:kern w:val="44"/>
        </w:rPr>
        <w:t>五部分</w:t>
      </w:r>
      <w:r>
        <w:rPr>
          <w:rStyle w:val="16"/>
          <w:bCs/>
          <w:kern w:val="44"/>
        </w:rPr>
        <w:t xml:space="preserve"> </w:t>
      </w:r>
      <w:r>
        <w:rPr>
          <w:rStyle w:val="16"/>
          <w:rFonts w:hint="eastAsia"/>
          <w:bCs/>
          <w:kern w:val="44"/>
        </w:rPr>
        <w:t>附表</w:t>
      </w:r>
      <w:r>
        <w:tab/>
      </w:r>
      <w:r>
        <w:fldChar w:fldCharType="begin"/>
      </w:r>
      <w:r>
        <w:instrText xml:space="preserve"> PAGEREF _Toc15396618 \h </w:instrText>
      </w:r>
      <w:r>
        <w:fldChar w:fldCharType="separate"/>
      </w:r>
      <w:r>
        <w:t>22</w:t>
      </w:r>
      <w:r>
        <w:fldChar w:fldCharType="end"/>
      </w:r>
      <w:r>
        <w:fldChar w:fldCharType="end"/>
      </w:r>
    </w:p>
    <w:p>
      <w:pPr>
        <w:pStyle w:val="11"/>
        <w:rPr>
          <w:rFonts w:ascii="仿宋" w:hAnsi="仿宋" w:eastAsia="仿宋" w:cstheme="minorBidi"/>
          <w:sz w:val="28"/>
          <w:szCs w:val="28"/>
        </w:rPr>
      </w:pPr>
      <w:r>
        <w:rPr>
          <w:rFonts w:hint="eastAsia" w:ascii="仿宋" w:hAnsi="仿宋" w:eastAsia="仿宋"/>
          <w:sz w:val="28"/>
          <w:szCs w:val="28"/>
        </w:rPr>
        <w:t>一、</w:t>
      </w:r>
      <w:r>
        <w:fldChar w:fldCharType="begin"/>
      </w:r>
      <w:r>
        <w:instrText xml:space="preserve"> HYPERLINK \l "_Toc15396619" </w:instrText>
      </w:r>
      <w:r>
        <w:fldChar w:fldCharType="separate"/>
      </w:r>
      <w:r>
        <w:rPr>
          <w:rStyle w:val="16"/>
          <w:rFonts w:hint="eastAsia" w:ascii="仿宋" w:hAnsi="仿宋" w:eastAsia="仿宋"/>
          <w:sz w:val="28"/>
          <w:szCs w:val="28"/>
        </w:rPr>
        <w:t>收入支出决算总表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_Toc15396619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二、</w:t>
      </w:r>
      <w:r>
        <w:fldChar w:fldCharType="begin"/>
      </w:r>
      <w:r>
        <w:instrText xml:space="preserve"> HYPERLINK \l "_Toc15396620" </w:instrText>
      </w:r>
      <w:r>
        <w:fldChar w:fldCharType="separate"/>
      </w:r>
      <w:r>
        <w:rPr>
          <w:rStyle w:val="16"/>
          <w:rFonts w:hint="eastAsia" w:ascii="仿宋" w:hAnsi="仿宋" w:eastAsia="仿宋"/>
          <w:sz w:val="28"/>
          <w:szCs w:val="28"/>
        </w:rPr>
        <w:t>收入总表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_Toc15396620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三、</w:t>
      </w:r>
      <w:r>
        <w:fldChar w:fldCharType="begin"/>
      </w:r>
      <w:r>
        <w:instrText xml:space="preserve"> HYPERLINK \l "_Toc15396621" </w:instrText>
      </w:r>
      <w:r>
        <w:fldChar w:fldCharType="separate"/>
      </w:r>
      <w:r>
        <w:rPr>
          <w:rStyle w:val="16"/>
          <w:rFonts w:hint="eastAsia" w:ascii="仿宋" w:hAnsi="仿宋" w:eastAsia="仿宋"/>
          <w:sz w:val="28"/>
          <w:szCs w:val="28"/>
        </w:rPr>
        <w:t>支出总表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_Toc15396621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四、</w:t>
      </w:r>
      <w:r>
        <w:fldChar w:fldCharType="begin"/>
      </w:r>
      <w:r>
        <w:instrText xml:space="preserve"> HYPERLINK \l "_Toc15396622" </w:instrText>
      </w:r>
      <w:r>
        <w:fldChar w:fldCharType="separate"/>
      </w:r>
      <w:r>
        <w:rPr>
          <w:rStyle w:val="16"/>
          <w:rFonts w:hint="eastAsia" w:ascii="仿宋" w:hAnsi="仿宋" w:eastAsia="仿宋"/>
          <w:sz w:val="28"/>
          <w:szCs w:val="28"/>
        </w:rPr>
        <w:t>财政拨款收入支出决算总表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_Toc15396622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sz w:val="28"/>
          <w:szCs w:val="28"/>
        </w:rPr>
      </w:pPr>
      <w:r>
        <w:rPr>
          <w:rFonts w:hint="eastAsia" w:ascii="仿宋" w:hAnsi="仿宋" w:eastAsia="仿宋"/>
          <w:sz w:val="28"/>
          <w:szCs w:val="28"/>
        </w:rPr>
        <w:t>五、</w:t>
      </w:r>
      <w:r>
        <w:fldChar w:fldCharType="begin"/>
      </w:r>
      <w:r>
        <w:instrText xml:space="preserve"> HYPERLINK \l "_Toc15396623" </w:instrText>
      </w:r>
      <w:r>
        <w:fldChar w:fldCharType="separate"/>
      </w:r>
      <w:r>
        <w:rPr>
          <w:rFonts w:hint="eastAsia" w:ascii="仿宋" w:hAnsi="仿宋" w:eastAsia="仿宋"/>
          <w:sz w:val="28"/>
          <w:szCs w:val="28"/>
        </w:rPr>
        <w:t>财政拨款支出决算明细表（政府经济分类科目）</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_Toc15396623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六、</w:t>
      </w:r>
      <w:r>
        <w:fldChar w:fldCharType="begin"/>
      </w:r>
      <w:r>
        <w:instrText xml:space="preserve"> HYPERLINK \l "_Toc15396624" </w:instrText>
      </w:r>
      <w:r>
        <w:fldChar w:fldCharType="separate"/>
      </w:r>
      <w:r>
        <w:rPr>
          <w:rStyle w:val="16"/>
          <w:rFonts w:hint="eastAsia" w:ascii="仿宋" w:hAnsi="仿宋" w:eastAsia="仿宋"/>
          <w:sz w:val="28"/>
          <w:szCs w:val="28"/>
        </w:rPr>
        <w:t>一般公共预算财政拨款支出决算表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_Toc15396624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七、</w:t>
      </w:r>
      <w:r>
        <w:fldChar w:fldCharType="begin"/>
      </w:r>
      <w:r>
        <w:instrText xml:space="preserve"> HYPERLINK \l "_Toc15396625" </w:instrText>
      </w:r>
      <w:r>
        <w:fldChar w:fldCharType="separate"/>
      </w:r>
      <w:r>
        <w:rPr>
          <w:rStyle w:val="16"/>
          <w:rFonts w:hint="eastAsia" w:ascii="仿宋" w:hAnsi="仿宋" w:eastAsia="仿宋"/>
          <w:sz w:val="28"/>
          <w:szCs w:val="28"/>
        </w:rPr>
        <w:t>一般公共预算财政拨款支出决算明细表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_Toc15396625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八、</w:t>
      </w:r>
      <w:r>
        <w:fldChar w:fldCharType="begin"/>
      </w:r>
      <w:r>
        <w:instrText xml:space="preserve"> HYPERLINK \l "_Toc15396626" </w:instrText>
      </w:r>
      <w:r>
        <w:fldChar w:fldCharType="separate"/>
      </w:r>
      <w:r>
        <w:rPr>
          <w:rStyle w:val="16"/>
          <w:rFonts w:hint="eastAsia" w:ascii="仿宋" w:hAnsi="仿宋" w:eastAsia="仿宋"/>
          <w:sz w:val="28"/>
          <w:szCs w:val="28"/>
        </w:rPr>
        <w:t>一般公共预算财政拨款基本支出决算表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_Toc15396626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九、</w:t>
      </w:r>
      <w:r>
        <w:fldChar w:fldCharType="begin"/>
      </w:r>
      <w:r>
        <w:instrText xml:space="preserve"> HYPERLINK \l "_Toc15396627" </w:instrText>
      </w:r>
      <w:r>
        <w:fldChar w:fldCharType="separate"/>
      </w:r>
      <w:r>
        <w:rPr>
          <w:rStyle w:val="16"/>
          <w:rFonts w:hint="eastAsia" w:ascii="仿宋" w:hAnsi="仿宋" w:eastAsia="仿宋"/>
          <w:sz w:val="28"/>
          <w:szCs w:val="28"/>
        </w:rPr>
        <w:t>一般公共预算财政拨款项目支出决算表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_Toc15396627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十、</w:t>
      </w:r>
      <w:r>
        <w:fldChar w:fldCharType="begin"/>
      </w:r>
      <w:r>
        <w:instrText xml:space="preserve"> HYPERLINK \l "_Toc15396628" </w:instrText>
      </w:r>
      <w:r>
        <w:fldChar w:fldCharType="separate"/>
      </w:r>
      <w:r>
        <w:rPr>
          <w:rStyle w:val="16"/>
          <w:rFonts w:hint="eastAsia" w:ascii="仿宋" w:hAnsi="仿宋" w:eastAsia="仿宋"/>
          <w:sz w:val="28"/>
          <w:szCs w:val="28"/>
        </w:rPr>
        <w:t>一般公共预算财政拨款“三公”经费支出决算表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_Toc15396628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十一、</w:t>
      </w:r>
      <w:r>
        <w:fldChar w:fldCharType="begin"/>
      </w:r>
      <w:r>
        <w:instrText xml:space="preserve"> HYPERLINK \l "_Toc15396629" </w:instrText>
      </w:r>
      <w:r>
        <w:fldChar w:fldCharType="separate"/>
      </w:r>
      <w:r>
        <w:rPr>
          <w:rStyle w:val="16"/>
          <w:rFonts w:hint="eastAsia" w:ascii="仿宋" w:hAnsi="仿宋" w:eastAsia="仿宋"/>
          <w:sz w:val="28"/>
          <w:szCs w:val="28"/>
        </w:rPr>
        <w:t>政府性基金预算财政拨款收入支出决算表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_Toc15396629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8"/>
          <w:szCs w:val="28"/>
        </w:rPr>
      </w:pPr>
      <w:r>
        <w:rPr>
          <w:rFonts w:hint="eastAsia" w:ascii="仿宋" w:hAnsi="仿宋" w:eastAsia="仿宋"/>
          <w:sz w:val="28"/>
          <w:szCs w:val="28"/>
        </w:rPr>
        <w:t>十二、</w:t>
      </w:r>
      <w:r>
        <w:fldChar w:fldCharType="begin"/>
      </w:r>
      <w:r>
        <w:instrText xml:space="preserve"> HYPERLINK \l "_Toc15396630" </w:instrText>
      </w:r>
      <w:r>
        <w:fldChar w:fldCharType="separate"/>
      </w:r>
      <w:r>
        <w:rPr>
          <w:rStyle w:val="16"/>
          <w:rFonts w:hint="eastAsia" w:ascii="仿宋" w:hAnsi="仿宋" w:eastAsia="仿宋"/>
          <w:sz w:val="28"/>
          <w:szCs w:val="28"/>
        </w:rPr>
        <w:t>政府性基金预算财政拨款“三公”经费支出决算表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_Toc15396630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rPr>
          <w:rFonts w:ascii="仿宋" w:hAnsi="仿宋" w:eastAsia="仿宋" w:cstheme="minorBidi"/>
          <w:sz w:val="24"/>
        </w:rPr>
      </w:pPr>
      <w:r>
        <w:rPr>
          <w:rFonts w:hint="eastAsia" w:ascii="仿宋" w:hAnsi="仿宋" w:eastAsia="仿宋"/>
          <w:sz w:val="28"/>
          <w:szCs w:val="28"/>
        </w:rPr>
        <w:t>十三、</w:t>
      </w:r>
      <w:r>
        <w:fldChar w:fldCharType="begin"/>
      </w:r>
      <w:r>
        <w:instrText xml:space="preserve"> HYPERLINK \l "_Toc15396631" </w:instrText>
      </w:r>
      <w:r>
        <w:fldChar w:fldCharType="separate"/>
      </w:r>
      <w:r>
        <w:rPr>
          <w:rStyle w:val="16"/>
          <w:rFonts w:hint="eastAsia" w:ascii="仿宋" w:hAnsi="仿宋" w:eastAsia="仿宋"/>
          <w:sz w:val="28"/>
          <w:szCs w:val="28"/>
        </w:rPr>
        <w:t>国有资本经营预算支出决算表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_Toc15396631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widowControl/>
        <w:jc w:val="left"/>
        <w:rPr>
          <w:rFonts w:ascii="仿宋" w:hAnsi="仿宋" w:eastAsia="仿宋"/>
          <w:color w:val="000000"/>
          <w:sz w:val="24"/>
        </w:rPr>
      </w:pPr>
      <w:r>
        <w:rPr>
          <w:rFonts w:ascii="仿宋" w:hAnsi="仿宋" w:eastAsia="仿宋"/>
          <w:color w:val="000000"/>
          <w:sz w:val="24"/>
        </w:rPr>
        <w:fldChar w:fldCharType="end"/>
      </w:r>
    </w:p>
    <w:p>
      <w:pPr>
        <w:widowControl/>
        <w:jc w:val="left"/>
        <w:rPr>
          <w:rFonts w:ascii="黑体" w:hAnsi="黑体" w:eastAsia="黑体"/>
          <w:bCs/>
          <w:kern w:val="44"/>
          <w:sz w:val="44"/>
          <w:szCs w:val="44"/>
        </w:rPr>
      </w:pPr>
      <w:bookmarkStart w:id="12" w:name="_Toc15377196"/>
      <w:bookmarkStart w:id="13" w:name="_Toc15396599"/>
      <w:r>
        <w:rPr>
          <w:rFonts w:ascii="黑体" w:hAnsi="黑体" w:eastAsia="黑体"/>
          <w:b/>
        </w:rPr>
        <w:br w:type="page"/>
      </w:r>
    </w:p>
    <w:p>
      <w:pPr>
        <w:pStyle w:val="2"/>
        <w:jc w:val="center"/>
        <w:rPr>
          <w:rStyle w:val="25"/>
          <w:rFonts w:ascii="黑体" w:hAnsi="黑体" w:eastAsia="黑体"/>
          <w:b/>
          <w:bCs w:val="0"/>
        </w:rPr>
      </w:pPr>
      <w:r>
        <w:rPr>
          <w:rFonts w:hint="eastAsia" w:ascii="黑体" w:hAnsi="黑体" w:eastAsia="黑体"/>
          <w:b w:val="0"/>
        </w:rPr>
        <w:t xml:space="preserve">第一部分 </w:t>
      </w:r>
      <w:r>
        <w:rPr>
          <w:rStyle w:val="25"/>
          <w:rFonts w:hint="eastAsia" w:ascii="黑体" w:hAnsi="黑体" w:eastAsia="黑体"/>
          <w:b w:val="0"/>
          <w:bCs w:val="0"/>
        </w:rPr>
        <w:t>部门概况</w:t>
      </w:r>
      <w:bookmarkEnd w:id="12"/>
      <w:bookmarkEnd w:id="13"/>
    </w:p>
    <w:p>
      <w:pPr>
        <w:widowControl/>
        <w:jc w:val="left"/>
        <w:rPr>
          <w:rFonts w:ascii="黑体" w:eastAsia="黑体"/>
          <w:color w:val="000000"/>
          <w:sz w:val="32"/>
          <w:szCs w:val="32"/>
        </w:rPr>
      </w:pPr>
    </w:p>
    <w:p>
      <w:pPr>
        <w:pStyle w:val="3"/>
        <w:rPr>
          <w:rStyle w:val="26"/>
          <w:rFonts w:ascii="仿宋" w:hAnsi="仿宋" w:eastAsia="仿宋"/>
          <w:b w:val="0"/>
          <w:bCs w:val="0"/>
        </w:rPr>
      </w:pPr>
      <w:bookmarkStart w:id="14" w:name="_Toc15377197"/>
      <w:bookmarkStart w:id="15" w:name="_Toc15396600"/>
      <w:r>
        <w:rPr>
          <w:rFonts w:hint="eastAsia" w:ascii="黑体" w:hAnsi="黑体" w:eastAsia="黑体"/>
          <w:b w:val="0"/>
          <w:color w:val="000000"/>
        </w:rPr>
        <w:t>一、基</w:t>
      </w:r>
      <w:r>
        <w:rPr>
          <w:rStyle w:val="26"/>
          <w:rFonts w:hint="eastAsia" w:ascii="黑体" w:hAnsi="黑体" w:eastAsia="黑体"/>
          <w:b w:val="0"/>
          <w:bCs w:val="0"/>
        </w:rPr>
        <w:t>本职能及主要工作</w:t>
      </w:r>
      <w:bookmarkEnd w:id="14"/>
      <w:bookmarkEnd w:id="15"/>
    </w:p>
    <w:p>
      <w:pPr>
        <w:pStyle w:val="5"/>
        <w:adjustRightInd w:val="0"/>
        <w:snapToGrid w:val="0"/>
        <w:spacing w:before="93" w:line="600" w:lineRule="exact"/>
        <w:ind w:firstLine="672" w:firstLineChars="210"/>
        <w:outlineLvl w:val="2"/>
        <w:rPr>
          <w:rFonts w:ascii="仿宋" w:hAnsi="仿宋" w:eastAsia="仿宋"/>
          <w:bCs/>
          <w:color w:val="000000"/>
          <w:sz w:val="32"/>
          <w:szCs w:val="32"/>
        </w:rPr>
      </w:pPr>
      <w:bookmarkStart w:id="16" w:name="_Toc15377198"/>
      <w:bookmarkStart w:id="17" w:name="_Toc15378445"/>
      <w:r>
        <w:rPr>
          <w:rFonts w:hint="eastAsia" w:ascii="仿宋" w:hAnsi="仿宋" w:eastAsia="仿宋"/>
          <w:bCs/>
          <w:color w:val="000000"/>
          <w:sz w:val="32"/>
          <w:szCs w:val="32"/>
        </w:rPr>
        <w:t>（一）主要职能。</w:t>
      </w:r>
      <w:bookmarkEnd w:id="16"/>
      <w:bookmarkEnd w:id="17"/>
      <w:r>
        <w:rPr>
          <w:rFonts w:hint="eastAsia" w:ascii="方正仿宋_GBK" w:hAnsi="方正仿宋_GBK" w:eastAsia="方正仿宋_GBK" w:cs="方正仿宋_GBK"/>
          <w:i w:val="0"/>
          <w:color w:val="000000"/>
          <w:sz w:val="32"/>
          <w:szCs w:val="32"/>
          <w:shd w:val="clear" w:color="auto" w:fill="FFFFFF"/>
        </w:rPr>
        <w:t>（一）负责处理全县人民群众给县委、县政府及领导同志的来信，接待群众来访，保证信访渠道畅通；及时、准确地向县委、县政府有关领导反映群众的来信来访中提出的重要建议、意见和问题；综合分析信访形势、筛选信息，为县委、县政府领导决策、指导工作，提供信息服务。（二）承办上级党委、政府和县级领导交办的信访案件，督促检查县委、县政府领导指示和上级交办的信访案件的落实情况，向各地各部门交办信访事项，督促检查重要信访事项的办理和落实情况，将办理情况回报交办机关和领导。（三）负责对全县信访和群众工作的指导，建立健全信访和群众工作机构和队伍，培训信访干部；负责对全县信访和群众工作目标完成情况进行考核，总结推广各地各部门信访和群众工作的经验，提出信访和群众工作责任追究意见。</w:t>
      </w:r>
    </w:p>
    <w:p>
      <w:pPr>
        <w:keepNext w:val="0"/>
        <w:keepLines w:val="0"/>
        <w:pageBreakBefore w:val="0"/>
        <w:widowControl w:val="0"/>
        <w:numPr>
          <w:ilvl w:val="0"/>
          <w:numId w:val="0"/>
        </w:numPr>
        <w:kinsoku/>
        <w:wordWrap/>
        <w:overflowPunct/>
        <w:topLinePunct w:val="0"/>
        <w:autoSpaceDE/>
        <w:autoSpaceDN/>
        <w:bidi w:val="0"/>
        <w:adjustRightInd/>
        <w:spacing w:line="578" w:lineRule="exact"/>
        <w:ind w:right="0" w:rightChars="0" w:firstLine="640" w:firstLineChars="200"/>
        <w:rPr>
          <w:rFonts w:hint="eastAsia" w:ascii="仿宋" w:hAnsi="仿宋" w:eastAsia="仿宋"/>
          <w:bCs/>
          <w:color w:val="000000"/>
          <w:sz w:val="32"/>
          <w:szCs w:val="32"/>
        </w:rPr>
      </w:pPr>
      <w:bookmarkStart w:id="18" w:name="_Toc15378446"/>
      <w:bookmarkStart w:id="19" w:name="_Toc15377199"/>
      <w:r>
        <w:rPr>
          <w:rFonts w:hint="eastAsia" w:ascii="仿宋" w:hAnsi="仿宋" w:eastAsia="仿宋"/>
          <w:bCs/>
          <w:color w:val="000000"/>
          <w:sz w:val="32"/>
          <w:szCs w:val="32"/>
        </w:rPr>
        <w:t>（二）</w:t>
      </w:r>
      <w:r>
        <w:rPr>
          <w:rFonts w:ascii="仿宋" w:hAnsi="仿宋" w:eastAsia="仿宋"/>
          <w:bCs/>
          <w:color w:val="000000"/>
          <w:sz w:val="32"/>
          <w:szCs w:val="32"/>
        </w:rPr>
        <w:t>201</w:t>
      </w:r>
      <w:r>
        <w:rPr>
          <w:rFonts w:hint="eastAsia" w:ascii="仿宋" w:hAnsi="仿宋" w:eastAsia="仿宋"/>
          <w:bCs/>
          <w:color w:val="000000"/>
          <w:sz w:val="32"/>
          <w:szCs w:val="32"/>
        </w:rPr>
        <w:t>8年重点工作完成情况。</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pacing w:line="578" w:lineRule="exact"/>
        <w:ind w:right="0" w:rightChars="0" w:firstLine="643" w:firstLineChars="200"/>
        <w:rPr>
          <w:rFonts w:hint="default" w:ascii="Times New Roman" w:hAnsi="Times New Roman" w:eastAsia="方正仿宋_GBK" w:cs="Times New Roman"/>
          <w:sz w:val="32"/>
          <w:szCs w:val="32"/>
        </w:rPr>
      </w:pPr>
      <w:r>
        <w:rPr>
          <w:rFonts w:hint="eastAsia" w:ascii="Times New Roman" w:hAnsi="Times New Roman" w:eastAsia="方正仿宋_GBK" w:cs="Times New Roman"/>
          <w:b/>
          <w:sz w:val="32"/>
          <w:szCs w:val="32"/>
          <w:lang w:val="en-US" w:eastAsia="zh-CN"/>
        </w:rPr>
        <w:t>1.</w:t>
      </w:r>
      <w:r>
        <w:rPr>
          <w:rFonts w:hint="default" w:ascii="Times New Roman" w:hAnsi="Times New Roman" w:eastAsia="方正仿宋_GBK" w:cs="Times New Roman"/>
          <w:b/>
          <w:sz w:val="32"/>
          <w:szCs w:val="32"/>
        </w:rPr>
        <w:t>来信来访情况。</w:t>
      </w:r>
      <w:r>
        <w:rPr>
          <w:rFonts w:hint="default" w:ascii="Times New Roman" w:hAnsi="Times New Roman" w:eastAsia="方正仿宋_GBK" w:cs="Times New Roman"/>
          <w:sz w:val="32"/>
          <w:szCs w:val="32"/>
          <w:lang w:val="en-US" w:eastAsia="zh-CN"/>
        </w:rPr>
        <w:t>1-10月</w:t>
      </w:r>
      <w:r>
        <w:rPr>
          <w:rFonts w:hint="default" w:ascii="Times New Roman" w:hAnsi="Times New Roman" w:eastAsia="方正仿宋_GBK" w:cs="Times New Roman"/>
          <w:sz w:val="32"/>
          <w:szCs w:val="32"/>
        </w:rPr>
        <w:t>，县信访局共接待受理群众来信来访</w:t>
      </w:r>
      <w:r>
        <w:rPr>
          <w:rFonts w:hint="eastAsia" w:ascii="Times New Roman" w:hAnsi="Times New Roman" w:eastAsia="方正仿宋_GBK" w:cs="Times New Roman"/>
          <w:sz w:val="32"/>
          <w:szCs w:val="32"/>
          <w:lang w:val="en-US" w:eastAsia="zh-CN"/>
        </w:rPr>
        <w:t>1765</w:t>
      </w:r>
      <w:r>
        <w:rPr>
          <w:rFonts w:hint="default" w:ascii="Times New Roman" w:hAnsi="Times New Roman" w:eastAsia="方正仿宋_GBK" w:cs="Times New Roman"/>
          <w:sz w:val="32"/>
          <w:szCs w:val="32"/>
        </w:rPr>
        <w:t>批</w:t>
      </w:r>
      <w:r>
        <w:rPr>
          <w:rFonts w:hint="eastAsia" w:ascii="Times New Roman" w:hAnsi="Times New Roman" w:eastAsia="方正仿宋_GBK" w:cs="Times New Roman"/>
          <w:sz w:val="32"/>
          <w:szCs w:val="32"/>
          <w:lang w:val="en-US" w:eastAsia="zh-CN"/>
        </w:rPr>
        <w:t>5730</w:t>
      </w:r>
      <w:r>
        <w:rPr>
          <w:rFonts w:hint="default" w:ascii="Times New Roman" w:hAnsi="Times New Roman" w:eastAsia="方正仿宋_GBK" w:cs="Times New Roman"/>
          <w:sz w:val="32"/>
          <w:szCs w:val="32"/>
        </w:rPr>
        <w:t>人次，较去年同期相比</w:t>
      </w:r>
      <w:r>
        <w:rPr>
          <w:rFonts w:hint="default" w:ascii="Times New Roman" w:hAnsi="Times New Roman" w:eastAsia="方正仿宋_GBK" w:cs="Times New Roman"/>
          <w:color w:val="auto"/>
          <w:sz w:val="32"/>
          <w:szCs w:val="32"/>
        </w:rPr>
        <w:t>批次</w:t>
      </w:r>
      <w:r>
        <w:rPr>
          <w:rFonts w:hint="default" w:ascii="Times New Roman" w:hAnsi="Times New Roman" w:eastAsia="方正仿宋_GBK" w:cs="Times New Roman"/>
          <w:color w:val="auto"/>
          <w:sz w:val="32"/>
          <w:szCs w:val="32"/>
          <w:lang w:eastAsia="zh-CN"/>
        </w:rPr>
        <w:t>上升</w:t>
      </w:r>
      <w:r>
        <w:rPr>
          <w:rFonts w:hint="eastAsia" w:ascii="Times New Roman" w:hAnsi="Times New Roman" w:eastAsia="方正仿宋_GBK" w:cs="Times New Roman"/>
          <w:color w:val="auto"/>
          <w:sz w:val="32"/>
          <w:szCs w:val="32"/>
          <w:lang w:val="en-US" w:eastAsia="zh-CN"/>
        </w:rPr>
        <w:t>26</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sz w:val="32"/>
          <w:szCs w:val="32"/>
        </w:rPr>
        <w:t>，人次</w:t>
      </w:r>
      <w:r>
        <w:rPr>
          <w:rFonts w:hint="default" w:ascii="Times New Roman" w:hAnsi="Times New Roman" w:eastAsia="方正仿宋_GBK" w:cs="Times New Roman"/>
          <w:color w:val="auto"/>
          <w:sz w:val="32"/>
          <w:szCs w:val="32"/>
          <w:lang w:eastAsia="zh-CN"/>
        </w:rPr>
        <w:t>上升</w:t>
      </w:r>
      <w:r>
        <w:rPr>
          <w:rFonts w:hint="eastAsia" w:ascii="Times New Roman" w:hAnsi="Times New Roman" w:eastAsia="方正仿宋_GBK" w:cs="Times New Roman"/>
          <w:sz w:val="32"/>
          <w:szCs w:val="32"/>
          <w:lang w:val="en-US" w:eastAsia="zh-CN"/>
        </w:rPr>
        <w:t>42</w:t>
      </w:r>
      <w:r>
        <w:rPr>
          <w:rFonts w:hint="default" w:ascii="Times New Roman" w:hAnsi="Times New Roman" w:eastAsia="方正仿宋_GBK" w:cs="Times New Roman"/>
          <w:sz w:val="32"/>
          <w:szCs w:val="32"/>
        </w:rPr>
        <w:t>%。其中，来信</w:t>
      </w:r>
      <w:r>
        <w:rPr>
          <w:rFonts w:hint="default" w:ascii="Times New Roman" w:hAnsi="Times New Roman" w:eastAsia="方正仿宋_GBK" w:cs="Times New Roman"/>
          <w:color w:val="auto"/>
          <w:sz w:val="32"/>
          <w:szCs w:val="32"/>
          <w:shd w:val="clear" w:color="auto" w:fill="auto"/>
          <w:lang w:val="en-US" w:eastAsia="zh-CN"/>
        </w:rPr>
        <w:t>104</w:t>
      </w:r>
      <w:r>
        <w:rPr>
          <w:rFonts w:hint="default" w:ascii="Times New Roman" w:hAnsi="Times New Roman" w:eastAsia="方正仿宋_GBK" w:cs="Times New Roman"/>
          <w:sz w:val="32"/>
          <w:szCs w:val="32"/>
        </w:rPr>
        <w:t>件，与去年同期相比</w:t>
      </w:r>
      <w:r>
        <w:rPr>
          <w:rFonts w:hint="default" w:ascii="Times New Roman" w:hAnsi="Times New Roman" w:eastAsia="方正仿宋_GBK" w:cs="Times New Roman"/>
          <w:color w:val="auto"/>
          <w:sz w:val="32"/>
          <w:szCs w:val="32"/>
          <w:lang w:eastAsia="zh-CN"/>
        </w:rPr>
        <w:t>下降</w:t>
      </w:r>
      <w:r>
        <w:rPr>
          <w:rFonts w:hint="default" w:ascii="Times New Roman" w:hAnsi="Times New Roman" w:eastAsia="方正仿宋_GBK" w:cs="Times New Roman"/>
          <w:color w:val="auto"/>
          <w:sz w:val="32"/>
          <w:szCs w:val="32"/>
          <w:lang w:val="en-US" w:eastAsia="zh-CN"/>
        </w:rPr>
        <w:t>38</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sz w:val="32"/>
          <w:szCs w:val="32"/>
        </w:rPr>
        <w:t>；群众来访</w:t>
      </w:r>
      <w:r>
        <w:rPr>
          <w:rFonts w:hint="eastAsia" w:ascii="Times New Roman" w:hAnsi="Times New Roman" w:eastAsia="方正仿宋_GBK" w:cs="Times New Roman"/>
          <w:sz w:val="32"/>
          <w:szCs w:val="32"/>
          <w:lang w:val="en-US" w:eastAsia="zh-CN"/>
        </w:rPr>
        <w:t>1661</w:t>
      </w:r>
      <w:r>
        <w:rPr>
          <w:rFonts w:hint="default" w:ascii="Times New Roman" w:hAnsi="Times New Roman" w:eastAsia="方正仿宋_GBK" w:cs="Times New Roman"/>
          <w:sz w:val="32"/>
          <w:szCs w:val="32"/>
        </w:rPr>
        <w:t>批</w:t>
      </w:r>
      <w:r>
        <w:rPr>
          <w:rFonts w:hint="eastAsia" w:ascii="Times New Roman" w:hAnsi="Times New Roman" w:eastAsia="方正仿宋_GBK" w:cs="Times New Roman"/>
          <w:sz w:val="32"/>
          <w:szCs w:val="32"/>
          <w:lang w:val="en-US" w:eastAsia="zh-CN"/>
        </w:rPr>
        <w:t>5626</w:t>
      </w:r>
      <w:r>
        <w:rPr>
          <w:rFonts w:hint="default" w:ascii="Times New Roman" w:hAnsi="Times New Roman" w:eastAsia="方正仿宋_GBK" w:cs="Times New Roman"/>
          <w:sz w:val="32"/>
          <w:szCs w:val="32"/>
        </w:rPr>
        <w:t>人次，与去年同期相比批次</w:t>
      </w:r>
      <w:r>
        <w:rPr>
          <w:rFonts w:hint="default" w:ascii="Times New Roman" w:hAnsi="Times New Roman" w:eastAsia="方正仿宋_GBK" w:cs="Times New Roman"/>
          <w:sz w:val="32"/>
          <w:szCs w:val="32"/>
          <w:lang w:eastAsia="zh-CN"/>
        </w:rPr>
        <w:t>人次分别上升</w:t>
      </w:r>
      <w:r>
        <w:rPr>
          <w:rFonts w:hint="eastAsia" w:ascii="Times New Roman" w:hAnsi="Times New Roman" w:eastAsia="方正仿宋_GBK" w:cs="Times New Roman"/>
          <w:sz w:val="32"/>
          <w:szCs w:val="32"/>
          <w:lang w:val="en-US" w:eastAsia="zh-CN"/>
        </w:rPr>
        <w:t>34</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46</w:t>
      </w:r>
      <w:r>
        <w:rPr>
          <w:rFonts w:hint="default" w:ascii="Times New Roman" w:hAnsi="Times New Roman" w:eastAsia="方正仿宋_GBK"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pacing w:line="578" w:lineRule="exact"/>
        <w:ind w:right="0" w:rightChars="0" w:firstLine="643" w:firstLineChars="200"/>
        <w:rPr>
          <w:rFonts w:hint="default"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b/>
          <w:sz w:val="32"/>
          <w:szCs w:val="32"/>
          <w:lang w:val="en-US" w:eastAsia="zh-CN"/>
        </w:rPr>
        <w:t>2.</w:t>
      </w:r>
      <w:r>
        <w:rPr>
          <w:rFonts w:hint="default" w:ascii="Times New Roman" w:hAnsi="Times New Roman" w:eastAsia="方正仿宋_GBK" w:cs="Times New Roman"/>
          <w:b/>
          <w:sz w:val="32"/>
          <w:szCs w:val="32"/>
          <w:highlight w:val="none"/>
        </w:rPr>
        <w:t>来县集访</w:t>
      </w:r>
      <w:r>
        <w:rPr>
          <w:rFonts w:hint="default" w:ascii="Times New Roman" w:hAnsi="Times New Roman" w:eastAsia="方正仿宋_GBK" w:cs="Times New Roman"/>
          <w:b/>
          <w:sz w:val="32"/>
          <w:szCs w:val="32"/>
        </w:rPr>
        <w:t>情况。</w:t>
      </w:r>
      <w:r>
        <w:rPr>
          <w:rFonts w:hint="default" w:ascii="Times New Roman" w:hAnsi="Times New Roman" w:eastAsia="方正仿宋_GBK" w:cs="Times New Roman"/>
          <w:sz w:val="32"/>
          <w:szCs w:val="32"/>
          <w:highlight w:val="none"/>
        </w:rPr>
        <w:t>来县集访</w:t>
      </w:r>
      <w:r>
        <w:rPr>
          <w:rFonts w:hint="default" w:ascii="Times New Roman" w:hAnsi="Times New Roman" w:eastAsia="方正仿宋_GBK" w:cs="Times New Roman"/>
          <w:sz w:val="32"/>
          <w:szCs w:val="32"/>
        </w:rPr>
        <w:t>163批3547人，同比分别上升27%、43%。</w:t>
      </w:r>
      <w:r>
        <w:rPr>
          <w:rFonts w:hint="default" w:ascii="Times New Roman" w:hAnsi="Times New Roman" w:eastAsia="方正仿宋_GBK" w:cs="Times New Roman"/>
          <w:sz w:val="32"/>
          <w:szCs w:val="32"/>
          <w:shd w:val="clear" w:color="auto" w:fill="FFFFFF"/>
        </w:rPr>
        <w:t>今年以来，涉众群体较为活跃</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rPr>
        <w:t>涉军</w:t>
      </w:r>
      <w:r>
        <w:rPr>
          <w:rFonts w:hint="default" w:ascii="Times New Roman" w:hAnsi="Times New Roman" w:eastAsia="方正仿宋_GBK" w:cs="Times New Roman"/>
          <w:sz w:val="32"/>
          <w:szCs w:val="32"/>
          <w:shd w:val="clear" w:color="auto" w:fill="FFFFFF"/>
          <w:lang w:eastAsia="zh-CN"/>
        </w:rPr>
        <w:t>群体多次</w:t>
      </w:r>
      <w:r>
        <w:rPr>
          <w:rFonts w:hint="default" w:ascii="Times New Roman" w:hAnsi="Times New Roman" w:eastAsia="方正仿宋_GBK" w:cs="Times New Roman"/>
          <w:sz w:val="32"/>
          <w:szCs w:val="32"/>
          <w:shd w:val="clear" w:color="auto" w:fill="FFFFFF"/>
        </w:rPr>
        <w:t>在敏感时间节点组织策划规模性</w:t>
      </w:r>
      <w:r>
        <w:rPr>
          <w:rFonts w:hint="default" w:ascii="Times New Roman" w:hAnsi="Times New Roman" w:eastAsia="方正仿宋_GBK" w:cs="Times New Roman"/>
          <w:sz w:val="32"/>
          <w:szCs w:val="32"/>
          <w:shd w:val="clear" w:color="auto" w:fill="FFFFFF"/>
          <w:lang w:eastAsia="zh-CN"/>
        </w:rPr>
        <w:t>集访</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rPr>
        <w:t>两类公司</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rPr>
        <w:t>群体到</w:t>
      </w:r>
      <w:r>
        <w:rPr>
          <w:rFonts w:hint="default" w:ascii="Times New Roman" w:hAnsi="Times New Roman" w:eastAsia="方正仿宋_GBK" w:cs="Times New Roman"/>
          <w:sz w:val="32"/>
          <w:szCs w:val="32"/>
          <w:highlight w:val="none"/>
          <w:shd w:val="clear" w:color="auto" w:fill="FFFFFF"/>
        </w:rPr>
        <w:t>县集访</w:t>
      </w:r>
      <w:r>
        <w:rPr>
          <w:rFonts w:hint="default" w:ascii="Times New Roman" w:hAnsi="Times New Roman" w:eastAsia="方正仿宋_GBK" w:cs="Times New Roman"/>
          <w:sz w:val="32"/>
          <w:szCs w:val="32"/>
          <w:shd w:val="clear" w:color="auto" w:fill="FFFFFF"/>
        </w:rPr>
        <w:t>多达10余次，</w:t>
      </w:r>
      <w:r>
        <w:rPr>
          <w:rFonts w:hint="default" w:ascii="Times New Roman" w:hAnsi="Times New Roman" w:eastAsia="方正仿宋_GBK" w:cs="Times New Roman"/>
          <w:sz w:val="32"/>
          <w:szCs w:val="32"/>
          <w:shd w:val="clear" w:color="auto" w:fill="FFFFFF"/>
          <w:lang w:eastAsia="zh-CN"/>
        </w:rPr>
        <w:t>原三线建设民工如</w:t>
      </w:r>
      <w:r>
        <w:rPr>
          <w:rStyle w:val="30"/>
          <w:rFonts w:hint="default" w:ascii="Times New Roman" w:hAnsi="Times New Roman" w:eastAsia="方正仿宋_GBK" w:cs="Times New Roman"/>
          <w:b w:val="0"/>
          <w:bCs w:val="0"/>
          <w:color w:val="auto"/>
          <w:spacing w:val="-11"/>
          <w:lang w:eastAsia="zh-CN"/>
        </w:rPr>
        <w:t>襄渝铁路民工、“3602”人员等</w:t>
      </w:r>
      <w:r>
        <w:rPr>
          <w:rFonts w:hint="default" w:ascii="Times New Roman" w:hAnsi="Times New Roman" w:eastAsia="方正仿宋_GBK" w:cs="Times New Roman"/>
          <w:sz w:val="32"/>
          <w:szCs w:val="32"/>
          <w:shd w:val="clear" w:color="auto" w:fill="FFFFFF"/>
        </w:rPr>
        <w:t>以要求解决低保、医保及补发拖欠工资为由，不断到县到</w:t>
      </w:r>
      <w:r>
        <w:rPr>
          <w:rFonts w:hint="default" w:ascii="Times New Roman" w:hAnsi="Times New Roman" w:eastAsia="方正仿宋_GBK" w:cs="Times New Roman"/>
          <w:sz w:val="32"/>
          <w:szCs w:val="32"/>
          <w:highlight w:val="none"/>
          <w:shd w:val="clear" w:color="auto" w:fill="FFFFFF"/>
        </w:rPr>
        <w:t>集访</w:t>
      </w:r>
      <w:r>
        <w:rPr>
          <w:rFonts w:hint="default" w:ascii="Times New Roman" w:hAnsi="Times New Roman" w:eastAsia="方正仿宋_GBK" w:cs="Times New Roman"/>
          <w:sz w:val="32"/>
          <w:szCs w:val="32"/>
          <w:shd w:val="clear" w:color="auto" w:fill="FFFFFF"/>
        </w:rPr>
        <w:t>。</w:t>
      </w:r>
    </w:p>
    <w:p>
      <w:pPr>
        <w:keepNext w:val="0"/>
        <w:keepLines w:val="0"/>
        <w:pageBreakBefore w:val="0"/>
        <w:widowControl w:val="0"/>
        <w:numPr>
          <w:ilvl w:val="0"/>
          <w:numId w:val="0"/>
        </w:numPr>
        <w:kinsoku/>
        <w:wordWrap/>
        <w:overflowPunct/>
        <w:topLinePunct w:val="0"/>
        <w:autoSpaceDE/>
        <w:autoSpaceDN/>
        <w:bidi w:val="0"/>
        <w:adjustRightInd/>
        <w:spacing w:line="578" w:lineRule="exact"/>
        <w:ind w:right="0" w:rightChars="0" w:firstLine="643" w:firstLineChars="200"/>
        <w:rPr>
          <w:rFonts w:hint="default" w:ascii="Times New Roman" w:hAnsi="Times New Roman" w:eastAsia="方正仿宋_GBK" w:cs="Times New Roman"/>
          <w:sz w:val="32"/>
          <w:szCs w:val="32"/>
        </w:rPr>
      </w:pPr>
      <w:r>
        <w:rPr>
          <w:rFonts w:hint="eastAsia" w:ascii="Times New Roman" w:hAnsi="Times New Roman" w:eastAsia="方正仿宋_GBK" w:cs="Times New Roman"/>
          <w:b/>
          <w:sz w:val="32"/>
          <w:szCs w:val="32"/>
          <w:lang w:val="en-US" w:eastAsia="zh-CN"/>
        </w:rPr>
        <w:t>3.</w:t>
      </w:r>
      <w:r>
        <w:rPr>
          <w:rFonts w:hint="default" w:ascii="Times New Roman" w:hAnsi="Times New Roman" w:eastAsia="方正仿宋_GBK" w:cs="Times New Roman"/>
          <w:b/>
          <w:sz w:val="32"/>
          <w:szCs w:val="32"/>
        </w:rPr>
        <w:t>越级上访情况。</w:t>
      </w:r>
      <w:r>
        <w:rPr>
          <w:rFonts w:hint="default" w:ascii="Times New Roman" w:hAnsi="Times New Roman" w:eastAsia="方正仿宋_GBK" w:cs="Times New Roman"/>
          <w:b w:val="0"/>
          <w:bCs/>
          <w:sz w:val="32"/>
          <w:szCs w:val="32"/>
          <w:lang w:val="en-US" w:eastAsia="zh-CN"/>
        </w:rPr>
        <w:t>1-10月，</w:t>
      </w:r>
      <w:r>
        <w:rPr>
          <w:rFonts w:hint="default" w:ascii="Times New Roman" w:hAnsi="Times New Roman" w:eastAsia="方正仿宋_GBK" w:cs="Times New Roman"/>
          <w:sz w:val="32"/>
          <w:szCs w:val="32"/>
        </w:rPr>
        <w:t>进京越级访11人次，同比下降90%，到</w:t>
      </w:r>
      <w:r>
        <w:rPr>
          <w:rFonts w:hint="default" w:ascii="Times New Roman" w:hAnsi="Times New Roman" w:eastAsia="方正仿宋_GBK" w:cs="Times New Roman"/>
          <w:sz w:val="32"/>
          <w:szCs w:val="32"/>
          <w:highlight w:val="none"/>
        </w:rPr>
        <w:t>京非访</w:t>
      </w:r>
      <w:r>
        <w:rPr>
          <w:rFonts w:hint="default" w:ascii="Times New Roman" w:hAnsi="Times New Roman" w:eastAsia="方正仿宋_GBK" w:cs="Times New Roman"/>
          <w:sz w:val="32"/>
          <w:szCs w:val="32"/>
        </w:rPr>
        <w:t>1人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到省越级上访21人次，同比下降55%。到市上访47批次96人次，其中集访2批30人次。</w:t>
      </w:r>
      <w:r>
        <w:rPr>
          <w:rFonts w:hint="eastAsia" w:ascii="Times New Roman" w:hAnsi="Times New Roman" w:eastAsia="方正仿宋_GBK" w:cs="Times New Roman"/>
          <w:sz w:val="32"/>
          <w:szCs w:val="32"/>
          <w:lang w:eastAsia="zh-CN"/>
        </w:rPr>
        <w:t>今年，市委、市政府下达我县进京非访指标数控制在</w:t>
      </w:r>
      <w:r>
        <w:rPr>
          <w:rFonts w:hint="eastAsia" w:ascii="Times New Roman" w:hAnsi="Times New Roman" w:eastAsia="方正仿宋_GBK" w:cs="Times New Roman"/>
          <w:sz w:val="32"/>
          <w:szCs w:val="32"/>
          <w:lang w:val="en-US" w:eastAsia="zh-CN"/>
        </w:rPr>
        <w:t>12人次以内，进京越访指标数控制在43人次以内。</w:t>
      </w:r>
      <w:r>
        <w:rPr>
          <w:rFonts w:hint="eastAsia" w:ascii="Times New Roman" w:hAnsi="Times New Roman" w:eastAsia="方正仿宋_GBK" w:cs="Times New Roman"/>
          <w:sz w:val="32"/>
          <w:szCs w:val="32"/>
          <w:lang w:eastAsia="zh-CN"/>
        </w:rPr>
        <w:t>目前，我县</w:t>
      </w:r>
      <w:r>
        <w:rPr>
          <w:rFonts w:hint="default" w:ascii="Times New Roman" w:hAnsi="Times New Roman" w:eastAsia="方正仿宋_GBK" w:cs="Times New Roman"/>
          <w:sz w:val="32"/>
          <w:szCs w:val="32"/>
        </w:rPr>
        <w:t>进京</w:t>
      </w:r>
      <w:r>
        <w:rPr>
          <w:rFonts w:hint="default" w:ascii="Times New Roman" w:hAnsi="Times New Roman" w:eastAsia="方正仿宋_GBK" w:cs="Times New Roman"/>
          <w:sz w:val="32"/>
          <w:szCs w:val="32"/>
          <w:highlight w:val="none"/>
        </w:rPr>
        <w:t>非访越访</w:t>
      </w:r>
      <w:r>
        <w:rPr>
          <w:rFonts w:hint="eastAsia" w:ascii="Times New Roman" w:hAnsi="Times New Roman" w:eastAsia="方正仿宋_GBK" w:cs="Times New Roman"/>
          <w:sz w:val="32"/>
          <w:szCs w:val="32"/>
          <w:lang w:eastAsia="zh-CN"/>
        </w:rPr>
        <w:t>指标数全部控制在市委、市政府规定的目标控制数内。</w:t>
      </w:r>
    </w:p>
    <w:p>
      <w:pPr>
        <w:keepNext w:val="0"/>
        <w:keepLines w:val="0"/>
        <w:pageBreakBefore w:val="0"/>
        <w:widowControl w:val="0"/>
        <w:numPr>
          <w:ilvl w:val="0"/>
          <w:numId w:val="0"/>
        </w:numPr>
        <w:kinsoku/>
        <w:wordWrap/>
        <w:overflowPunct/>
        <w:topLinePunct w:val="0"/>
        <w:autoSpaceDE/>
        <w:autoSpaceDN/>
        <w:bidi w:val="0"/>
        <w:adjustRightInd/>
        <w:spacing w:line="578" w:lineRule="exact"/>
        <w:ind w:leftChars="200" w:right="0" w:rightChars="0"/>
        <w:rPr>
          <w:rFonts w:hint="default" w:ascii="Times New Roman" w:hAnsi="Times New Roman" w:eastAsia="方正楷体_GBK" w:cs="Times New Roman"/>
          <w:b/>
          <w:sz w:val="32"/>
          <w:szCs w:val="32"/>
        </w:rPr>
      </w:pPr>
      <w:r>
        <w:rPr>
          <w:rFonts w:hint="default" w:ascii="Times New Roman" w:hAnsi="Times New Roman" w:eastAsia="方正楷体_GBK" w:cs="Times New Roman"/>
          <w:b/>
          <w:sz w:val="32"/>
          <w:szCs w:val="32"/>
        </w:rPr>
        <w:t>工作开展情况</w:t>
      </w:r>
    </w:p>
    <w:p>
      <w:pPr>
        <w:keepNext w:val="0"/>
        <w:keepLines w:val="0"/>
        <w:pageBreakBefore w:val="0"/>
        <w:widowControl w:val="0"/>
        <w:numPr>
          <w:ilvl w:val="0"/>
          <w:numId w:val="1"/>
        </w:numPr>
        <w:kinsoku/>
        <w:wordWrap/>
        <w:overflowPunct/>
        <w:topLinePunct w:val="0"/>
        <w:autoSpaceDE/>
        <w:autoSpaceDN/>
        <w:bidi w:val="0"/>
        <w:adjustRightInd/>
        <w:spacing w:line="578" w:lineRule="exact"/>
        <w:ind w:right="0" w:rightChars="0"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sz w:val="32"/>
          <w:szCs w:val="32"/>
        </w:rPr>
        <w:t>领导重视，确保信访工作有序开展。</w:t>
      </w:r>
      <w:r>
        <w:rPr>
          <w:rFonts w:hint="default" w:ascii="Times New Roman" w:hAnsi="Times New Roman" w:eastAsia="方正仿宋_GBK" w:cs="Times New Roman"/>
          <w:b w:val="0"/>
          <w:bCs/>
          <w:sz w:val="32"/>
          <w:szCs w:val="32"/>
          <w:lang w:eastAsia="zh-CN"/>
        </w:rPr>
        <w:t>一</w:t>
      </w:r>
      <w:r>
        <w:rPr>
          <w:rFonts w:hint="default" w:ascii="Times New Roman" w:hAnsi="Times New Roman" w:eastAsia="方正仿宋_GBK" w:cs="Times New Roman"/>
          <w:b w:val="0"/>
          <w:bCs/>
          <w:sz w:val="32"/>
          <w:szCs w:val="32"/>
        </w:rPr>
        <w:t>是定期不定期研究信访工作。</w:t>
      </w:r>
      <w:r>
        <w:rPr>
          <w:rFonts w:hint="default" w:ascii="Times New Roman" w:hAnsi="Times New Roman" w:eastAsia="方正仿宋_GBK" w:cs="Times New Roman"/>
          <w:sz w:val="32"/>
          <w:szCs w:val="32"/>
        </w:rPr>
        <w:t>县委常委会专题研究信访工作会议</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次、政府常务会议</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次</w:t>
      </w:r>
      <w:r>
        <w:rPr>
          <w:rFonts w:hint="default" w:ascii="Times New Roman" w:hAnsi="Times New Roman" w:eastAsia="方正仿宋_GBK" w:cs="Times New Roman"/>
          <w:sz w:val="32"/>
          <w:szCs w:val="32"/>
          <w:lang w:eastAsia="zh-CN"/>
        </w:rPr>
        <w:t>，县委书记苟小莉、县长王飞虎亲自主持召开信访工作联席会议，</w:t>
      </w:r>
      <w:r>
        <w:rPr>
          <w:rFonts w:hint="default" w:ascii="Times New Roman" w:hAnsi="Times New Roman" w:eastAsia="方正仿宋_GBK" w:cs="Times New Roman"/>
          <w:sz w:val="32"/>
          <w:szCs w:val="32"/>
        </w:rPr>
        <w:t>研究</w:t>
      </w:r>
      <w:r>
        <w:rPr>
          <w:rFonts w:hint="default" w:ascii="Times New Roman" w:hAnsi="Times New Roman" w:eastAsia="方正仿宋_GBK" w:cs="Times New Roman"/>
          <w:sz w:val="32"/>
          <w:szCs w:val="32"/>
          <w:lang w:eastAsia="zh-CN"/>
        </w:rPr>
        <w:t>安排部署信访工作</w:t>
      </w:r>
      <w:r>
        <w:rPr>
          <w:rFonts w:hint="default" w:ascii="Times New Roman" w:hAnsi="Times New Roman" w:eastAsia="方正仿宋_GBK" w:cs="Times New Roman"/>
          <w:sz w:val="32"/>
          <w:szCs w:val="32"/>
        </w:rPr>
        <w:t>和解决信访疑难问题。</w:t>
      </w:r>
      <w:r>
        <w:rPr>
          <w:rFonts w:hint="default" w:ascii="Times New Roman" w:hAnsi="Times New Roman" w:eastAsia="方正仿宋_GBK" w:cs="Times New Roman"/>
          <w:b w:val="0"/>
          <w:bCs/>
          <w:sz w:val="32"/>
          <w:szCs w:val="32"/>
          <w:lang w:eastAsia="zh-CN"/>
        </w:rPr>
        <w:t>二</w:t>
      </w:r>
      <w:r>
        <w:rPr>
          <w:rFonts w:hint="default" w:ascii="Times New Roman" w:hAnsi="Times New Roman" w:eastAsia="方正仿宋_GBK" w:cs="Times New Roman"/>
          <w:b w:val="0"/>
          <w:bCs/>
          <w:sz w:val="32"/>
          <w:szCs w:val="32"/>
        </w:rPr>
        <w:t>是落实各级信访工作责任。</w:t>
      </w:r>
      <w:r>
        <w:rPr>
          <w:rFonts w:hint="default" w:ascii="Times New Roman" w:hAnsi="Times New Roman" w:eastAsia="方正仿宋_GBK" w:cs="Times New Roman"/>
          <w:b w:val="0"/>
          <w:bCs/>
          <w:sz w:val="32"/>
          <w:szCs w:val="32"/>
          <w:lang w:eastAsia="zh-CN"/>
        </w:rPr>
        <w:t>认真宣传贯彻落实《四川省信访工作责任制实施细则》，</w:t>
      </w:r>
      <w:r>
        <w:rPr>
          <w:rFonts w:hint="default" w:ascii="Times New Roman" w:hAnsi="Times New Roman" w:eastAsia="方正仿宋_GBK" w:cs="Times New Roman"/>
          <w:sz w:val="32"/>
          <w:szCs w:val="32"/>
        </w:rPr>
        <w:t>严格落实主要领导抓全局、负总责，分管领导具体抓，其他领导按照“一岗双责”的要求抓好分工范围内的信访工作，</w:t>
      </w:r>
      <w:r>
        <w:rPr>
          <w:rFonts w:hint="eastAsia" w:ascii="Times New Roman" w:hAnsi="Times New Roman" w:eastAsia="方正仿宋_GBK" w:cs="Times New Roman"/>
          <w:sz w:val="32"/>
          <w:szCs w:val="32"/>
          <w:lang w:eastAsia="zh-CN"/>
        </w:rPr>
        <w:t>在全县</w:t>
      </w:r>
      <w:r>
        <w:rPr>
          <w:rFonts w:hint="default" w:ascii="Times New Roman" w:hAnsi="Times New Roman" w:eastAsia="方正仿宋_GBK" w:cs="Times New Roman"/>
          <w:sz w:val="32"/>
          <w:szCs w:val="32"/>
        </w:rPr>
        <w:t>形成了</w:t>
      </w:r>
      <w:r>
        <w:rPr>
          <w:rFonts w:hint="eastAsia" w:ascii="Times New Roman" w:hAnsi="Times New Roman" w:eastAsia="方正仿宋_GBK" w:cs="Times New Roman"/>
          <w:sz w:val="32"/>
          <w:szCs w:val="32"/>
          <w:lang w:eastAsia="zh-CN"/>
        </w:rPr>
        <w:t>各级干部</w:t>
      </w:r>
      <w:r>
        <w:rPr>
          <w:rFonts w:hint="default" w:ascii="Times New Roman" w:hAnsi="Times New Roman" w:eastAsia="方正仿宋_GBK" w:cs="Times New Roman"/>
          <w:sz w:val="32"/>
          <w:szCs w:val="32"/>
        </w:rPr>
        <w:t>各负其责，上下联动，齐抓共管的良好局面。</w:t>
      </w:r>
      <w:r>
        <w:rPr>
          <w:rFonts w:hint="eastAsia" w:ascii="Times New Roman" w:hAnsi="Times New Roman" w:eastAsia="方正仿宋_GBK" w:cs="Times New Roman"/>
          <w:b w:val="0"/>
          <w:bCs/>
          <w:sz w:val="32"/>
          <w:szCs w:val="32"/>
          <w:lang w:eastAsia="zh-CN"/>
        </w:rPr>
        <w:t>三</w:t>
      </w:r>
      <w:r>
        <w:rPr>
          <w:rFonts w:hint="default" w:ascii="Times New Roman" w:hAnsi="Times New Roman" w:eastAsia="方正仿宋_GBK" w:cs="Times New Roman"/>
          <w:b w:val="0"/>
          <w:bCs/>
          <w:sz w:val="32"/>
          <w:szCs w:val="32"/>
        </w:rPr>
        <w:t>是领导</w:t>
      </w:r>
      <w:r>
        <w:rPr>
          <w:rFonts w:hint="eastAsia" w:ascii="Times New Roman" w:hAnsi="Times New Roman" w:eastAsia="方正仿宋_GBK" w:cs="Times New Roman"/>
          <w:b w:val="0"/>
          <w:bCs/>
          <w:sz w:val="32"/>
          <w:szCs w:val="32"/>
          <w:lang w:eastAsia="zh-CN"/>
        </w:rPr>
        <w:t>带头</w:t>
      </w:r>
      <w:r>
        <w:rPr>
          <w:rFonts w:hint="default" w:ascii="Times New Roman" w:hAnsi="Times New Roman" w:eastAsia="方正仿宋_GBK" w:cs="Times New Roman"/>
          <w:b w:val="0"/>
          <w:bCs/>
          <w:sz w:val="32"/>
          <w:szCs w:val="32"/>
        </w:rPr>
        <w:t>接访下访。</w:t>
      </w:r>
      <w:r>
        <w:rPr>
          <w:rFonts w:hint="default" w:ascii="Times New Roman" w:hAnsi="Times New Roman" w:eastAsia="方正仿宋_GBK" w:cs="Times New Roman"/>
          <w:b w:val="0"/>
          <w:bCs/>
          <w:sz w:val="32"/>
          <w:szCs w:val="32"/>
          <w:lang w:eastAsia="zh-CN"/>
        </w:rPr>
        <w:t>今年年初，县委、县政府印发了《</w:t>
      </w:r>
      <w:r>
        <w:rPr>
          <w:rFonts w:hint="default" w:ascii="Times New Roman" w:hAnsi="Times New Roman" w:eastAsia="方正仿宋_GBK" w:cs="Times New Roman"/>
          <w:sz w:val="32"/>
          <w:szCs w:val="32"/>
          <w:lang w:eastAsia="zh-CN" w:bidi="ar"/>
        </w:rPr>
        <w:t>2018年县级领导定点接访和基层走访方案》（</w:t>
      </w:r>
      <w:r>
        <w:rPr>
          <w:rFonts w:hint="default" w:ascii="Times New Roman" w:hAnsi="Times New Roman" w:eastAsia="方正仿宋_GBK" w:cs="Times New Roman"/>
          <w:sz w:val="32"/>
          <w:szCs w:val="32"/>
          <w:highlight w:val="none"/>
          <w:lang w:eastAsia="zh-CN" w:bidi="ar"/>
        </w:rPr>
        <w:t>渠</w:t>
      </w:r>
      <w:r>
        <w:rPr>
          <w:rFonts w:hint="default" w:ascii="Times New Roman" w:hAnsi="Times New Roman" w:eastAsia="方正仿宋_GBK" w:cs="Times New Roman"/>
          <w:sz w:val="32"/>
          <w:szCs w:val="32"/>
          <w:lang w:eastAsia="zh-CN" w:bidi="ar"/>
        </w:rPr>
        <w:t>委办函〔2018〕5号），对县级领导接访下访工作进行了安排部署，</w:t>
      </w:r>
      <w:r>
        <w:rPr>
          <w:rFonts w:hint="default" w:ascii="Times New Roman" w:hAnsi="Times New Roman" w:eastAsia="方正仿宋_GBK" w:cs="Times New Roman"/>
          <w:sz w:val="32"/>
          <w:szCs w:val="32"/>
        </w:rPr>
        <w:t>实行县委书记、县长</w:t>
      </w:r>
      <w:r>
        <w:rPr>
          <w:rFonts w:hint="default" w:ascii="Times New Roman" w:hAnsi="Times New Roman" w:eastAsia="方正仿宋_GBK" w:cs="Times New Roman"/>
          <w:sz w:val="32"/>
          <w:szCs w:val="32"/>
          <w:lang w:eastAsia="zh-CN"/>
        </w:rPr>
        <w:t>预约</w:t>
      </w:r>
      <w:r>
        <w:rPr>
          <w:rFonts w:hint="default" w:ascii="Times New Roman" w:hAnsi="Times New Roman" w:eastAsia="方正仿宋_GBK" w:cs="Times New Roman"/>
          <w:sz w:val="32"/>
          <w:szCs w:val="32"/>
        </w:rPr>
        <w:t>接访，其他县级</w:t>
      </w:r>
      <w:r>
        <w:rPr>
          <w:rFonts w:hint="default" w:ascii="Times New Roman" w:hAnsi="Times New Roman" w:eastAsia="方正仿宋_GBK" w:cs="Times New Roman"/>
          <w:sz w:val="32"/>
          <w:szCs w:val="32"/>
          <w:lang w:eastAsia="zh-CN"/>
        </w:rPr>
        <w:t>党政</w:t>
      </w:r>
      <w:r>
        <w:rPr>
          <w:rFonts w:hint="default" w:ascii="Times New Roman" w:hAnsi="Times New Roman" w:eastAsia="方正仿宋_GBK" w:cs="Times New Roman"/>
          <w:sz w:val="32"/>
          <w:szCs w:val="32"/>
        </w:rPr>
        <w:t>领导每周星期三轮流在县群众接待中心值班接访，乡镇领导随时接访，全面实行谁接访</w:t>
      </w:r>
      <w:r>
        <w:rPr>
          <w:rFonts w:hint="default" w:ascii="Times New Roman" w:hAnsi="Times New Roman" w:eastAsia="方正仿宋_GBK" w:cs="Times New Roman"/>
          <w:sz w:val="32"/>
          <w:szCs w:val="32"/>
          <w:highlight w:val="none"/>
        </w:rPr>
        <w:t>谁包案</w:t>
      </w:r>
      <w:r>
        <w:rPr>
          <w:rFonts w:hint="default" w:ascii="Times New Roman" w:hAnsi="Times New Roman" w:eastAsia="方正仿宋_GBK" w:cs="Times New Roman"/>
          <w:sz w:val="32"/>
          <w:szCs w:val="32"/>
        </w:rPr>
        <w:t>，就地化解群众合理诉求。</w:t>
      </w:r>
      <w:r>
        <w:rPr>
          <w:rFonts w:hint="default" w:ascii="Times New Roman" w:hAnsi="Times New Roman" w:eastAsia="方正仿宋_GBK" w:cs="Times New Roman"/>
          <w:sz w:val="32"/>
          <w:szCs w:val="32"/>
          <w:lang w:eastAsia="zh-CN"/>
        </w:rPr>
        <w:t>今</w:t>
      </w:r>
      <w:r>
        <w:rPr>
          <w:rFonts w:hint="default" w:ascii="Times New Roman" w:hAnsi="Times New Roman" w:eastAsia="方正仿宋_GBK" w:cs="Times New Roman"/>
          <w:sz w:val="32"/>
          <w:szCs w:val="32"/>
        </w:rPr>
        <w:t>年来，县级领导接待来访群众161批1141人次，其中集访26批953人次。</w:t>
      </w:r>
    </w:p>
    <w:p>
      <w:pPr>
        <w:keepNext w:val="0"/>
        <w:keepLines w:val="0"/>
        <w:pageBreakBefore w:val="0"/>
        <w:widowControl w:val="0"/>
        <w:numPr>
          <w:ilvl w:val="0"/>
          <w:numId w:val="0"/>
        </w:numPr>
        <w:kinsoku/>
        <w:wordWrap/>
        <w:overflowPunct/>
        <w:topLinePunct w:val="0"/>
        <w:autoSpaceDE/>
        <w:autoSpaceDN/>
        <w:bidi w:val="0"/>
        <w:adjustRightInd/>
        <w:spacing w:line="578" w:lineRule="exact"/>
        <w:ind w:right="0" w:rightChars="0" w:firstLine="643" w:firstLineChars="200"/>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b/>
          <w:sz w:val="32"/>
          <w:szCs w:val="32"/>
          <w:lang w:val="en-US" w:eastAsia="zh-CN"/>
        </w:rPr>
        <w:t>2.</w:t>
      </w:r>
      <w:r>
        <w:rPr>
          <w:rFonts w:hint="default" w:ascii="Times New Roman" w:hAnsi="Times New Roman" w:eastAsia="方正仿宋_GBK" w:cs="Times New Roman"/>
          <w:b/>
          <w:sz w:val="32"/>
          <w:szCs w:val="32"/>
        </w:rPr>
        <w:t>强化排查，从源头预防和减少信访问题。</w:t>
      </w:r>
      <w:r>
        <w:rPr>
          <w:rFonts w:hint="eastAsia" w:ascii="Times New Roman" w:hAnsi="Times New Roman" w:eastAsia="方正仿宋_GBK" w:cs="Times New Roman"/>
          <w:b w:val="0"/>
          <w:bCs/>
          <w:sz w:val="32"/>
          <w:szCs w:val="32"/>
          <w:lang w:eastAsia="zh-CN"/>
        </w:rPr>
        <w:t>一</w:t>
      </w:r>
      <w:r>
        <w:rPr>
          <w:rFonts w:hint="default" w:ascii="Times New Roman" w:hAnsi="Times New Roman" w:eastAsia="方正仿宋_GBK" w:cs="Times New Roman"/>
          <w:b w:val="0"/>
          <w:bCs/>
          <w:sz w:val="32"/>
          <w:szCs w:val="32"/>
        </w:rPr>
        <w:t>是扎实开展信访矛盾化解攻坚战。按照中央、省、市统一安排部署，我县集中开展了重点领域、重点群体、重点问题、重点人员信访矛盾化解攻坚战</w:t>
      </w:r>
      <w:r>
        <w:rPr>
          <w:rFonts w:hint="eastAsia"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sz w:val="32"/>
          <w:szCs w:val="32"/>
          <w:lang w:eastAsia="zh-CN"/>
        </w:rPr>
        <w:t>坚持</w:t>
      </w:r>
      <w:r>
        <w:rPr>
          <w:rFonts w:hint="default" w:ascii="Times New Roman" w:hAnsi="Times New Roman" w:eastAsia="方正仿宋_GBK" w:cs="Times New Roman"/>
          <w:sz w:val="32"/>
          <w:szCs w:val="32"/>
        </w:rPr>
        <w:t>定期</w:t>
      </w:r>
      <w:r>
        <w:rPr>
          <w:rFonts w:hint="default" w:ascii="Times New Roman" w:hAnsi="Times New Roman" w:eastAsia="方正仿宋_GBK" w:cs="Times New Roman"/>
          <w:sz w:val="32"/>
          <w:szCs w:val="32"/>
          <w:lang w:eastAsia="zh-CN"/>
        </w:rPr>
        <w:t>排查和专项排查相结合，</w:t>
      </w:r>
      <w:r>
        <w:rPr>
          <w:rFonts w:hint="default" w:ascii="Times New Roman" w:hAnsi="Times New Roman" w:eastAsia="方正仿宋_GBK" w:cs="Times New Roman"/>
          <w:sz w:val="32"/>
          <w:szCs w:val="32"/>
        </w:rPr>
        <w:t>对排查出来的矛盾纠纷实行台账管理，落实责任单位，限期化解。</w:t>
      </w:r>
      <w:r>
        <w:rPr>
          <w:rFonts w:hint="default" w:ascii="Times New Roman" w:hAnsi="Times New Roman" w:eastAsia="方正仿宋_GBK" w:cs="Times New Roman"/>
          <w:sz w:val="32"/>
          <w:szCs w:val="32"/>
          <w:lang w:eastAsia="zh-CN"/>
        </w:rPr>
        <w:t>今年</w:t>
      </w:r>
      <w:r>
        <w:rPr>
          <w:rFonts w:hint="default" w:ascii="Times New Roman" w:hAnsi="Times New Roman" w:eastAsia="方正仿宋_GBK" w:cs="Times New Roman"/>
          <w:sz w:val="32"/>
          <w:szCs w:val="32"/>
        </w:rPr>
        <w:t>以，全县共排查出各类</w:t>
      </w:r>
      <w:r>
        <w:rPr>
          <w:rFonts w:hint="eastAsia" w:ascii="Times New Roman" w:hAnsi="Times New Roman" w:eastAsia="方正仿宋_GBK" w:cs="Times New Roman"/>
          <w:sz w:val="32"/>
          <w:szCs w:val="32"/>
          <w:lang w:eastAsia="zh-CN"/>
        </w:rPr>
        <w:t>信访</w:t>
      </w:r>
      <w:r>
        <w:rPr>
          <w:rFonts w:hint="default" w:ascii="Times New Roman" w:hAnsi="Times New Roman" w:eastAsia="方正仿宋_GBK" w:cs="Times New Roman"/>
          <w:sz w:val="32"/>
          <w:szCs w:val="32"/>
        </w:rPr>
        <w:t>矛盾纠纷</w:t>
      </w:r>
      <w:r>
        <w:rPr>
          <w:rFonts w:hint="eastAsia" w:ascii="Times New Roman" w:hAnsi="Times New Roman" w:eastAsia="方正仿宋_GBK" w:cs="Times New Roman"/>
          <w:sz w:val="32"/>
          <w:szCs w:val="32"/>
          <w:lang w:val="en-US" w:eastAsia="zh-CN"/>
        </w:rPr>
        <w:t>685</w:t>
      </w:r>
      <w:r>
        <w:rPr>
          <w:rFonts w:hint="default" w:ascii="Times New Roman" w:hAnsi="Times New Roman" w:eastAsia="方正仿宋_GBK" w:cs="Times New Roman"/>
          <w:sz w:val="32"/>
          <w:szCs w:val="32"/>
        </w:rPr>
        <w:t>余件，化解</w:t>
      </w:r>
      <w:r>
        <w:rPr>
          <w:rFonts w:hint="eastAsia" w:ascii="Times New Roman" w:hAnsi="Times New Roman" w:eastAsia="方正仿宋_GBK" w:cs="Times New Roman"/>
          <w:sz w:val="32"/>
          <w:szCs w:val="32"/>
          <w:lang w:val="en-US" w:eastAsia="zh-CN"/>
        </w:rPr>
        <w:t>582</w:t>
      </w:r>
      <w:r>
        <w:rPr>
          <w:rFonts w:hint="default" w:ascii="Times New Roman" w:hAnsi="Times New Roman" w:eastAsia="方正仿宋_GBK" w:cs="Times New Roman"/>
          <w:sz w:val="32"/>
          <w:szCs w:val="32"/>
          <w:lang w:val="en-US" w:eastAsia="zh-CN"/>
        </w:rPr>
        <w:t>余</w:t>
      </w:r>
      <w:r>
        <w:rPr>
          <w:rFonts w:hint="default" w:ascii="Times New Roman" w:hAnsi="Times New Roman" w:eastAsia="方正仿宋_GBK" w:cs="Times New Roman"/>
          <w:sz w:val="32"/>
          <w:szCs w:val="32"/>
        </w:rPr>
        <w:t>件，化解达</w:t>
      </w:r>
      <w:r>
        <w:rPr>
          <w:rFonts w:hint="default" w:ascii="Times New Roman" w:hAnsi="Times New Roman" w:eastAsia="方正仿宋_GBK" w:cs="Times New Roman"/>
          <w:sz w:val="32"/>
          <w:szCs w:val="32"/>
          <w:lang w:val="en-US" w:eastAsia="zh-CN"/>
        </w:rPr>
        <w:t>85</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b w:val="0"/>
          <w:bCs/>
          <w:sz w:val="32"/>
          <w:szCs w:val="32"/>
          <w:lang w:eastAsia="zh-CN"/>
        </w:rPr>
        <w:t>二</w:t>
      </w:r>
      <w:r>
        <w:rPr>
          <w:rFonts w:hint="default" w:ascii="Times New Roman" w:hAnsi="Times New Roman" w:eastAsia="方正仿宋_GBK" w:cs="Times New Roman"/>
          <w:b w:val="0"/>
          <w:bCs/>
          <w:sz w:val="32"/>
          <w:szCs w:val="32"/>
        </w:rPr>
        <w:t>是强化信访法制宣传。</w:t>
      </w:r>
      <w:r>
        <w:rPr>
          <w:rFonts w:hint="default" w:ascii="Times New Roman" w:hAnsi="Times New Roman" w:eastAsia="方正仿宋_GBK" w:cs="Times New Roman"/>
          <w:sz w:val="32"/>
          <w:szCs w:val="32"/>
        </w:rPr>
        <w:t>充分利用“12.4”法制宣传日、</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5.1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《信访条例》</w:t>
      </w:r>
      <w:r>
        <w:rPr>
          <w:rFonts w:hint="default" w:ascii="Times New Roman" w:hAnsi="Times New Roman" w:eastAsia="方正仿宋_GBK" w:cs="Times New Roman"/>
          <w:sz w:val="32"/>
          <w:szCs w:val="32"/>
          <w:lang w:eastAsia="zh-CN"/>
        </w:rPr>
        <w:t>宣传日</w:t>
      </w:r>
      <w:r>
        <w:rPr>
          <w:rFonts w:hint="default" w:ascii="Times New Roman" w:hAnsi="Times New Roman" w:eastAsia="方正仿宋_GBK" w:cs="Times New Roman"/>
          <w:sz w:val="32"/>
          <w:szCs w:val="32"/>
        </w:rPr>
        <w:t>、“科技文化三下乡”等活动积极开展了信访法制宣传活动，广泛宣传</w:t>
      </w:r>
      <w:r>
        <w:rPr>
          <w:rFonts w:hint="default" w:ascii="Times New Roman" w:hAnsi="Times New Roman" w:eastAsia="方正仿宋_GBK" w:cs="Times New Roman"/>
          <w:sz w:val="32"/>
          <w:szCs w:val="32"/>
          <w:lang w:eastAsia="zh-CN"/>
        </w:rPr>
        <w:t>信访法律法规</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今年来，</w:t>
      </w:r>
      <w:r>
        <w:rPr>
          <w:rFonts w:hint="default" w:ascii="Times New Roman" w:hAnsi="Times New Roman" w:eastAsia="方正仿宋_GBK" w:cs="Times New Roman"/>
          <w:sz w:val="32"/>
          <w:szCs w:val="32"/>
        </w:rPr>
        <w:t>印发宣传资料</w:t>
      </w:r>
      <w:r>
        <w:rPr>
          <w:rFonts w:hint="default" w:ascii="Times New Roman" w:hAnsi="Times New Roman" w:eastAsia="方正仿宋_GBK" w:cs="Times New Roman"/>
          <w:sz w:val="32"/>
          <w:szCs w:val="32"/>
          <w:lang w:val="en-US" w:eastAsia="zh-CN"/>
        </w:rPr>
        <w:t>5000</w:t>
      </w:r>
      <w:r>
        <w:rPr>
          <w:rFonts w:hint="default" w:ascii="Times New Roman" w:hAnsi="Times New Roman" w:eastAsia="方正仿宋_GBK" w:cs="Times New Roman"/>
          <w:sz w:val="32"/>
          <w:szCs w:val="32"/>
        </w:rPr>
        <w:t>余份</w:t>
      </w:r>
      <w:r>
        <w:rPr>
          <w:rFonts w:hint="default" w:ascii="Times New Roman" w:hAnsi="Times New Roman" w:eastAsia="方正仿宋_GBK" w:cs="Times New Roman"/>
          <w:sz w:val="32"/>
          <w:szCs w:val="32"/>
          <w:lang w:eastAsia="zh-CN"/>
        </w:rPr>
        <w:t>，有效宣传普及了信访知识和相关法律法规，进一步增强了群众依法、有序、逐级维护自身权益的意识。</w:t>
      </w:r>
      <w:r>
        <w:rPr>
          <w:rFonts w:hint="default" w:ascii="Times New Roman" w:hAnsi="Times New Roman" w:eastAsia="方正仿宋_GBK" w:cs="Times New Roman"/>
          <w:b w:val="0"/>
          <w:bCs/>
          <w:sz w:val="32"/>
          <w:szCs w:val="32"/>
          <w:lang w:eastAsia="zh-CN"/>
        </w:rPr>
        <w:t>三</w:t>
      </w:r>
      <w:r>
        <w:rPr>
          <w:rFonts w:hint="default" w:ascii="Times New Roman" w:hAnsi="Times New Roman" w:eastAsia="方正仿宋_GBK" w:cs="Times New Roman"/>
          <w:b w:val="0"/>
          <w:bCs/>
          <w:sz w:val="32"/>
          <w:szCs w:val="32"/>
        </w:rPr>
        <w:t>是认真开展进京非访和越级访专项治理</w:t>
      </w:r>
      <w:r>
        <w:rPr>
          <w:rFonts w:hint="default" w:ascii="Times New Roman" w:hAnsi="Times New Roman" w:eastAsia="方正仿宋_GBK" w:cs="Times New Roman"/>
          <w:b w:val="0"/>
          <w:bCs/>
          <w:sz w:val="32"/>
          <w:szCs w:val="32"/>
          <w:lang w:eastAsia="zh-CN"/>
        </w:rPr>
        <w:t>活动</w:t>
      </w: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val="0"/>
          <w:sz w:val="32"/>
          <w:szCs w:val="32"/>
          <w:lang w:eastAsia="zh-CN"/>
        </w:rPr>
        <w:t>根据</w:t>
      </w:r>
      <w:r>
        <w:rPr>
          <w:rFonts w:hint="default" w:ascii="Times New Roman" w:hAnsi="Times New Roman" w:eastAsia="方正仿宋_GBK" w:cs="Times New Roman"/>
          <w:sz w:val="32"/>
          <w:szCs w:val="32"/>
        </w:rPr>
        <w:t>中央</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省、市</w:t>
      </w:r>
      <w:r>
        <w:rPr>
          <w:rFonts w:hint="default" w:ascii="Times New Roman" w:hAnsi="Times New Roman" w:eastAsia="方正仿宋_GBK" w:cs="Times New Roman"/>
          <w:sz w:val="32"/>
          <w:szCs w:val="32"/>
          <w:lang w:eastAsia="zh-CN"/>
        </w:rPr>
        <w:t>和县</w:t>
      </w:r>
      <w:r>
        <w:rPr>
          <w:rFonts w:hint="eastAsia" w:ascii="Times New Roman" w:hAnsi="Times New Roman" w:eastAsia="方正仿宋_GBK" w:cs="Times New Roman"/>
          <w:sz w:val="32"/>
          <w:szCs w:val="32"/>
          <w:lang w:eastAsia="zh-CN"/>
        </w:rPr>
        <w:t>委、县政府</w:t>
      </w:r>
      <w:r>
        <w:rPr>
          <w:rFonts w:hint="default" w:ascii="Times New Roman" w:hAnsi="Times New Roman" w:eastAsia="方正仿宋_GBK" w:cs="Times New Roman"/>
          <w:sz w:val="32"/>
          <w:szCs w:val="32"/>
        </w:rPr>
        <w:t>要求</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highlight w:val="none"/>
          <w:lang w:eastAsia="zh-CN"/>
        </w:rPr>
        <w:t>县信</w:t>
      </w:r>
      <w:r>
        <w:rPr>
          <w:rFonts w:hint="default" w:ascii="Times New Roman" w:hAnsi="Times New Roman" w:eastAsia="方正仿宋_GBK" w:cs="Times New Roman"/>
          <w:sz w:val="32"/>
          <w:szCs w:val="32"/>
          <w:lang w:eastAsia="zh-CN"/>
        </w:rPr>
        <w:t>联办牵头，</w:t>
      </w:r>
      <w:r>
        <w:rPr>
          <w:rFonts w:hint="default" w:ascii="Times New Roman" w:hAnsi="Times New Roman" w:eastAsia="方正仿宋_GBK" w:cs="Times New Roman"/>
          <w:sz w:val="32"/>
          <w:szCs w:val="32"/>
        </w:rPr>
        <w:t>围绕进京非访、越级访、到省</w:t>
      </w:r>
      <w:r>
        <w:rPr>
          <w:rFonts w:hint="default" w:ascii="Times New Roman" w:hAnsi="Times New Roman" w:eastAsia="方正仿宋_GBK" w:cs="Times New Roman"/>
          <w:sz w:val="32"/>
          <w:szCs w:val="32"/>
          <w:lang w:eastAsia="zh-CN"/>
        </w:rPr>
        <w:t>、赴市</w:t>
      </w:r>
      <w:r>
        <w:rPr>
          <w:rFonts w:hint="default" w:ascii="Times New Roman" w:hAnsi="Times New Roman" w:eastAsia="方正仿宋_GBK" w:cs="Times New Roman"/>
          <w:sz w:val="32"/>
          <w:szCs w:val="32"/>
        </w:rPr>
        <w:t>集访等重点信访案件，</w:t>
      </w:r>
      <w:r>
        <w:rPr>
          <w:rFonts w:hint="default" w:ascii="Times New Roman" w:hAnsi="Times New Roman" w:eastAsia="方正仿宋_GBK" w:cs="Times New Roman"/>
          <w:sz w:val="32"/>
          <w:szCs w:val="32"/>
          <w:lang w:eastAsia="zh-CN"/>
        </w:rPr>
        <w:t>认真开展了进京非访和越级访专项治理活动。为确保活动有序开展，县委县政府印发了《开展进京非访和越级访专项治理活动实施方案》（渠委办发〔2018〕27号），实现了“三降一升”（进京非访下降、进京越级访下降、到</w:t>
      </w:r>
      <w:r>
        <w:rPr>
          <w:rFonts w:hint="default" w:ascii="Times New Roman" w:hAnsi="Times New Roman" w:eastAsia="方正仿宋_GBK" w:cs="Times New Roman"/>
          <w:sz w:val="32"/>
          <w:szCs w:val="32"/>
          <w:highlight w:val="none"/>
          <w:lang w:eastAsia="zh-CN"/>
        </w:rPr>
        <w:t>省集访</w:t>
      </w:r>
      <w:r>
        <w:rPr>
          <w:rFonts w:hint="default" w:ascii="Times New Roman" w:hAnsi="Times New Roman" w:eastAsia="方正仿宋_GBK" w:cs="Times New Roman"/>
          <w:sz w:val="32"/>
          <w:szCs w:val="32"/>
          <w:lang w:eastAsia="zh-CN"/>
        </w:rPr>
        <w:t>下降，群众满意度提升）目标。</w:t>
      </w:r>
      <w:r>
        <w:rPr>
          <w:rFonts w:hint="default" w:ascii="Times New Roman" w:hAnsi="Times New Roman" w:eastAsia="方正仿宋_GBK" w:cs="Times New Roman"/>
          <w:b w:val="0"/>
          <w:bCs w:val="0"/>
          <w:sz w:val="32"/>
          <w:szCs w:val="32"/>
          <w:lang w:eastAsia="zh-CN"/>
        </w:rPr>
        <w:t>四是切实做好脱贫领域信访工作。</w:t>
      </w:r>
      <w:r>
        <w:rPr>
          <w:rFonts w:hint="default" w:ascii="Times New Roman" w:hAnsi="Times New Roman" w:eastAsia="方正仿宋_GBK" w:cs="Times New Roman"/>
          <w:sz w:val="32"/>
          <w:szCs w:val="32"/>
          <w:lang w:eastAsia="zh-CN"/>
        </w:rPr>
        <w:t>为助力打好打赢精准脱贫攻坚战，努力提高脱贫质量，妥善化解脱贫攻坚领域信访矛盾纠纷，</w:t>
      </w:r>
      <w:r>
        <w:rPr>
          <w:rFonts w:hint="default" w:ascii="Times New Roman" w:hAnsi="Times New Roman" w:eastAsia="方正仿宋_GBK" w:cs="Times New Roman"/>
          <w:sz w:val="32"/>
          <w:szCs w:val="32"/>
          <w:highlight w:val="none"/>
          <w:lang w:eastAsia="zh-CN"/>
        </w:rPr>
        <w:t>县信</w:t>
      </w:r>
      <w:r>
        <w:rPr>
          <w:rFonts w:hint="default" w:ascii="Times New Roman" w:hAnsi="Times New Roman" w:eastAsia="方正仿宋_GBK" w:cs="Times New Roman"/>
          <w:sz w:val="32"/>
          <w:szCs w:val="32"/>
          <w:lang w:eastAsia="zh-CN"/>
        </w:rPr>
        <w:t>联办印发了《关于切实做好脱贫攻坚信访工作的通知》（</w:t>
      </w:r>
      <w:r>
        <w:rPr>
          <w:rFonts w:hint="default" w:ascii="Times New Roman" w:hAnsi="Times New Roman" w:eastAsia="方正仿宋_GBK" w:cs="Times New Roman"/>
          <w:sz w:val="32"/>
          <w:szCs w:val="32"/>
          <w:highlight w:val="none"/>
          <w:lang w:eastAsia="zh-CN"/>
        </w:rPr>
        <w:t>渠信</w:t>
      </w:r>
      <w:r>
        <w:rPr>
          <w:rFonts w:hint="default" w:ascii="Times New Roman" w:hAnsi="Times New Roman" w:eastAsia="方正仿宋_GBK" w:cs="Times New Roman"/>
          <w:sz w:val="32"/>
          <w:szCs w:val="32"/>
          <w:lang w:eastAsia="zh-CN"/>
        </w:rPr>
        <w:t>联办〔2018〕3号），</w:t>
      </w:r>
      <w:r>
        <w:rPr>
          <w:rFonts w:hint="default" w:ascii="Times New Roman" w:hAnsi="Times New Roman" w:eastAsia="方正仿宋_GBK" w:cs="Times New Roman"/>
          <w:sz w:val="32"/>
          <w:szCs w:val="32"/>
          <w:highlight w:val="none"/>
          <w:lang w:eastAsia="zh-CN"/>
        </w:rPr>
        <w:t>县群工局</w:t>
      </w:r>
      <w:r>
        <w:rPr>
          <w:rFonts w:hint="default" w:ascii="Times New Roman" w:hAnsi="Times New Roman" w:eastAsia="方正仿宋_GBK" w:cs="Times New Roman"/>
          <w:sz w:val="32"/>
          <w:szCs w:val="32"/>
          <w:lang w:eastAsia="zh-CN"/>
        </w:rPr>
        <w:t>、县扶贫移民局联合印发了《渠县扶贫领域信访问题三年攻坚行动实施方案》（</w:t>
      </w:r>
      <w:r>
        <w:rPr>
          <w:rFonts w:hint="default" w:ascii="Times New Roman" w:hAnsi="Times New Roman" w:eastAsia="方正仿宋_GBK" w:cs="Times New Roman"/>
          <w:bCs/>
          <w:sz w:val="32"/>
          <w:szCs w:val="32"/>
          <w:highlight w:val="none"/>
        </w:rPr>
        <w:t>渠群工</w:t>
      </w:r>
      <w:r>
        <w:rPr>
          <w:rFonts w:hint="default" w:ascii="Times New Roman" w:hAnsi="Times New Roman" w:eastAsia="方正仿宋_GBK" w:cs="Times New Roman"/>
          <w:bCs/>
          <w:sz w:val="32"/>
          <w:szCs w:val="32"/>
        </w:rPr>
        <w:t>〔2018〕37号</w:t>
      </w:r>
      <w:r>
        <w:rPr>
          <w:rFonts w:hint="default" w:ascii="Times New Roman" w:hAnsi="Times New Roman" w:eastAsia="方正仿宋_GBK" w:cs="Times New Roman"/>
          <w:sz w:val="32"/>
          <w:szCs w:val="32"/>
          <w:lang w:eastAsia="zh-CN"/>
        </w:rPr>
        <w:t>），对做好扶贫领域信访工作进行了全面部署。今年来，全县共排查出454件脱贫领域信访问题，分类建立了“问题、任务、责任、落实、回访”五张清单，实行台账管理，落实县级领导包案化解。</w:t>
      </w:r>
      <w:r>
        <w:rPr>
          <w:rFonts w:hint="default" w:ascii="Times New Roman" w:hAnsi="Times New Roman" w:eastAsia="方正仿宋_GBK" w:cs="Times New Roman"/>
          <w:b w:val="0"/>
          <w:bCs w:val="0"/>
          <w:sz w:val="32"/>
          <w:szCs w:val="32"/>
          <w:lang w:eastAsia="zh-CN"/>
        </w:rPr>
        <w:t>五是进一步规范</w:t>
      </w:r>
      <w:r>
        <w:rPr>
          <w:rFonts w:hint="eastAsia" w:ascii="Times New Roman" w:hAnsi="Times New Roman" w:eastAsia="方正仿宋_GBK" w:cs="Times New Roman"/>
          <w:b w:val="0"/>
          <w:bCs w:val="0"/>
          <w:sz w:val="32"/>
          <w:szCs w:val="32"/>
          <w:lang w:eastAsia="zh-CN"/>
        </w:rPr>
        <w:t>信访</w:t>
      </w:r>
      <w:r>
        <w:rPr>
          <w:rFonts w:hint="default" w:ascii="Times New Roman" w:hAnsi="Times New Roman" w:eastAsia="方正仿宋_GBK" w:cs="Times New Roman"/>
          <w:b w:val="0"/>
          <w:bCs w:val="0"/>
          <w:sz w:val="32"/>
          <w:szCs w:val="32"/>
          <w:lang w:eastAsia="zh-CN"/>
        </w:rPr>
        <w:t>秩序。</w:t>
      </w:r>
      <w:r>
        <w:rPr>
          <w:rFonts w:hint="default" w:ascii="Times New Roman" w:hAnsi="Times New Roman" w:eastAsia="方正仿宋_GBK" w:cs="Times New Roman"/>
          <w:sz w:val="32"/>
          <w:szCs w:val="32"/>
          <w:lang w:eastAsia="zh-CN"/>
        </w:rPr>
        <w:t>今年来，我县继续开展了依法规范信访秩序专项活动，进一步加大了违法行为的处置力度。对行为过激、无理取闹、扰乱信访秩序的上访群众，由公安机关采取必要措施，依法予以处置，维护了正常的信访秩序。今年我县对违法上访人员依法训诫</w:t>
      </w:r>
      <w:r>
        <w:rPr>
          <w:rFonts w:hint="eastAsia" w:ascii="Times New Roman" w:hAnsi="Times New Roman" w:eastAsia="方正仿宋_GBK" w:cs="Times New Roman"/>
          <w:sz w:val="32"/>
          <w:szCs w:val="32"/>
          <w:lang w:val="en-US" w:eastAsia="zh-CN"/>
        </w:rPr>
        <w:t>17</w:t>
      </w:r>
      <w:r>
        <w:rPr>
          <w:rFonts w:hint="default" w:ascii="Times New Roman" w:hAnsi="Times New Roman" w:eastAsia="方正仿宋_GBK" w:cs="Times New Roman"/>
          <w:sz w:val="32"/>
          <w:szCs w:val="32"/>
          <w:lang w:eastAsia="zh-CN"/>
        </w:rPr>
        <w:t>人次，依法行政拘留</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eastAsia="zh-CN"/>
        </w:rPr>
        <w:t>人，刑事拘留</w:t>
      </w:r>
      <w:r>
        <w:rPr>
          <w:rFonts w:hint="default" w:ascii="Times New Roman" w:hAnsi="Times New Roman" w:eastAsia="方正仿宋_GBK" w:cs="Times New Roman"/>
          <w:sz w:val="32"/>
          <w:szCs w:val="32"/>
          <w:lang w:val="en-US" w:eastAsia="zh-CN"/>
        </w:rPr>
        <w:t>1人，</w:t>
      </w:r>
      <w:r>
        <w:rPr>
          <w:rFonts w:hint="default" w:ascii="Times New Roman" w:hAnsi="Times New Roman" w:eastAsia="方正仿宋_GBK" w:cs="Times New Roman"/>
          <w:sz w:val="32"/>
          <w:szCs w:val="32"/>
          <w:lang w:eastAsia="zh-CN"/>
        </w:rPr>
        <w:t>达到了处理一个，教育一片的良好效果，维护了社会和谐稳定。</w:t>
      </w:r>
    </w:p>
    <w:p>
      <w:pPr>
        <w:keepNext w:val="0"/>
        <w:keepLines w:val="0"/>
        <w:pageBreakBefore w:val="0"/>
        <w:widowControl w:val="0"/>
        <w:numPr>
          <w:ilvl w:val="0"/>
          <w:numId w:val="0"/>
        </w:numPr>
        <w:kinsoku/>
        <w:wordWrap/>
        <w:overflowPunct/>
        <w:topLinePunct w:val="0"/>
        <w:autoSpaceDE/>
        <w:autoSpaceDN/>
        <w:bidi w:val="0"/>
        <w:adjustRightInd/>
        <w:spacing w:line="578" w:lineRule="exact"/>
        <w:ind w:right="0" w:rightChars="0" w:firstLine="643" w:firstLineChars="200"/>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b/>
          <w:sz w:val="32"/>
          <w:szCs w:val="32"/>
          <w:lang w:val="en-US" w:eastAsia="zh-CN"/>
        </w:rPr>
        <w:t>3.</w:t>
      </w:r>
      <w:r>
        <w:rPr>
          <w:rFonts w:hint="default" w:ascii="Times New Roman" w:hAnsi="Times New Roman" w:eastAsia="方正仿宋_GBK" w:cs="Times New Roman"/>
          <w:b/>
          <w:sz w:val="32"/>
          <w:szCs w:val="32"/>
        </w:rPr>
        <w:t>着力化解，切实维护群众合法权益。</w:t>
      </w:r>
      <w:r>
        <w:rPr>
          <w:rFonts w:hint="default" w:ascii="Times New Roman" w:hAnsi="Times New Roman" w:eastAsia="方正仿宋_GBK" w:cs="Times New Roman"/>
          <w:b w:val="0"/>
          <w:bCs/>
          <w:sz w:val="32"/>
          <w:szCs w:val="32"/>
        </w:rPr>
        <w:t>一是强化初信初访办理。</w:t>
      </w:r>
      <w:r>
        <w:rPr>
          <w:rFonts w:hint="default" w:ascii="Times New Roman" w:hAnsi="Times New Roman" w:eastAsia="方正仿宋_GBK" w:cs="Times New Roman"/>
          <w:sz w:val="32"/>
          <w:szCs w:val="32"/>
          <w:lang w:val="en-US" w:eastAsia="zh-CN"/>
        </w:rPr>
        <w:t>2018年</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highlight w:val="none"/>
        </w:rPr>
        <w:t>渠</w:t>
      </w:r>
      <w:r>
        <w:rPr>
          <w:rFonts w:hint="default" w:ascii="Times New Roman" w:hAnsi="Times New Roman" w:eastAsia="方正仿宋_GBK" w:cs="Times New Roman"/>
          <w:sz w:val="32"/>
          <w:szCs w:val="32"/>
        </w:rPr>
        <w:t>县信访局共受理各类信访事项</w:t>
      </w:r>
      <w:r>
        <w:rPr>
          <w:rFonts w:hint="eastAsia" w:ascii="Times New Roman" w:hAnsi="Times New Roman" w:eastAsia="方正仿宋_GBK" w:cs="Times New Roman"/>
          <w:sz w:val="32"/>
          <w:szCs w:val="32"/>
          <w:lang w:val="en-US" w:eastAsia="zh-CN"/>
        </w:rPr>
        <w:t>1765</w:t>
      </w:r>
      <w:r>
        <w:rPr>
          <w:rFonts w:hint="default" w:ascii="Times New Roman" w:hAnsi="Times New Roman" w:eastAsia="方正仿宋_GBK" w:cs="Times New Roman"/>
          <w:sz w:val="32"/>
          <w:szCs w:val="32"/>
        </w:rPr>
        <w:t>件，分类建立台账，严格落实首问责任、办结时限、办理质量，按程序转交、交办相关责任单位调查处理，按期回复信访人。</w:t>
      </w:r>
      <w:r>
        <w:rPr>
          <w:rFonts w:hint="default" w:ascii="Times New Roman" w:hAnsi="Times New Roman" w:eastAsia="方正仿宋_GBK" w:cs="Times New Roman"/>
          <w:b w:val="0"/>
          <w:bCs/>
          <w:sz w:val="32"/>
          <w:szCs w:val="32"/>
        </w:rPr>
        <w:t>二是认真化解信访突出问题。</w:t>
      </w:r>
      <w:r>
        <w:rPr>
          <w:rFonts w:hint="default" w:ascii="Times New Roman" w:hAnsi="Times New Roman" w:eastAsia="方正仿宋_GBK" w:cs="Times New Roman"/>
          <w:sz w:val="32"/>
          <w:szCs w:val="32"/>
          <w:lang w:eastAsia="zh-CN"/>
        </w:rPr>
        <w:t>认真化解市级领导包案信访问题。今年市级领导包案化解我县</w:t>
      </w:r>
      <w:r>
        <w:rPr>
          <w:rFonts w:hint="default" w:ascii="Times New Roman" w:hAnsi="Times New Roman" w:eastAsia="方正仿宋_GBK" w:cs="Times New Roman"/>
          <w:sz w:val="32"/>
          <w:szCs w:val="32"/>
          <w:lang w:val="en-US" w:eastAsia="zh-CN"/>
        </w:rPr>
        <w:t>2件信访事项，即</w:t>
      </w:r>
      <w:r>
        <w:rPr>
          <w:rFonts w:hint="default" w:ascii="Times New Roman" w:hAnsi="Times New Roman" w:eastAsia="方正仿宋_GBK" w:cs="Times New Roman"/>
          <w:sz w:val="32"/>
          <w:szCs w:val="32"/>
          <w:highlight w:val="none"/>
          <w:lang w:eastAsia="zh-CN"/>
        </w:rPr>
        <w:t>涌兴镇</w:t>
      </w:r>
      <w:r>
        <w:rPr>
          <w:rFonts w:hint="default" w:ascii="Times New Roman" w:hAnsi="Times New Roman" w:eastAsia="方正仿宋_GBK" w:cs="Times New Roman"/>
          <w:sz w:val="32"/>
          <w:szCs w:val="32"/>
          <w:lang w:eastAsia="zh-CN"/>
        </w:rPr>
        <w:t>魏朝信访事项由市委副书记、市长郭亨</w:t>
      </w:r>
      <w:r>
        <w:rPr>
          <w:rFonts w:hint="default" w:ascii="Times New Roman" w:hAnsi="Times New Roman" w:eastAsia="方正仿宋_GBK" w:cs="Times New Roman"/>
          <w:sz w:val="32"/>
          <w:szCs w:val="32"/>
          <w:highlight w:val="none"/>
          <w:lang w:eastAsia="zh-CN"/>
        </w:rPr>
        <w:t>孝包案</w:t>
      </w:r>
      <w:r>
        <w:rPr>
          <w:rFonts w:hint="default" w:ascii="Times New Roman" w:hAnsi="Times New Roman" w:eastAsia="方正仿宋_GBK" w:cs="Times New Roman"/>
          <w:sz w:val="32"/>
          <w:szCs w:val="32"/>
          <w:lang w:eastAsia="zh-CN"/>
        </w:rPr>
        <w:t>，岩峰镇申明春信访事项由市委常委、组织部长莫怀</w:t>
      </w:r>
      <w:r>
        <w:rPr>
          <w:rFonts w:hint="default" w:ascii="Times New Roman" w:hAnsi="Times New Roman" w:eastAsia="方正仿宋_GBK" w:cs="Times New Roman"/>
          <w:sz w:val="32"/>
          <w:szCs w:val="32"/>
          <w:highlight w:val="none"/>
          <w:lang w:eastAsia="zh-CN"/>
        </w:rPr>
        <w:t>学包案</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lang w:eastAsia="zh-CN"/>
        </w:rPr>
        <w:t>根据市级包案领导要求，我县高质量化解了魏朝、申明春信访问题，信访人自愿息诉息访。严格落实县级领导包案化解信访突出问题。今年</w:t>
      </w:r>
      <w:r>
        <w:rPr>
          <w:rFonts w:hint="default" w:ascii="Times New Roman" w:hAnsi="Times New Roman" w:eastAsia="方正仿宋_GBK" w:cs="Times New Roman"/>
          <w:sz w:val="32"/>
          <w:szCs w:val="32"/>
          <w:highlight w:val="none"/>
          <w:lang w:eastAsia="zh-CN"/>
        </w:rPr>
        <w:t>县信</w:t>
      </w:r>
      <w:r>
        <w:rPr>
          <w:rFonts w:hint="default" w:ascii="Times New Roman" w:hAnsi="Times New Roman" w:eastAsia="方正仿宋_GBK" w:cs="Times New Roman"/>
          <w:sz w:val="32"/>
          <w:szCs w:val="32"/>
          <w:lang w:eastAsia="zh-CN"/>
        </w:rPr>
        <w:t>联办排查梳理出</w:t>
      </w:r>
      <w:r>
        <w:rPr>
          <w:rFonts w:hint="default" w:ascii="Times New Roman" w:hAnsi="Times New Roman" w:eastAsia="方正仿宋_GBK" w:cs="Times New Roman"/>
          <w:sz w:val="32"/>
          <w:szCs w:val="32"/>
          <w:lang w:val="en-US" w:eastAsia="zh-CN"/>
        </w:rPr>
        <w:t>33</w:t>
      </w:r>
      <w:r>
        <w:rPr>
          <w:rFonts w:hint="default" w:ascii="Times New Roman" w:hAnsi="Times New Roman" w:eastAsia="方正仿宋_GBK" w:cs="Times New Roman"/>
          <w:sz w:val="32"/>
          <w:szCs w:val="32"/>
          <w:lang w:eastAsia="zh-CN"/>
        </w:rPr>
        <w:t>件信访突出问题，分别以</w:t>
      </w:r>
      <w:r>
        <w:rPr>
          <w:rFonts w:hint="default" w:ascii="Times New Roman" w:hAnsi="Times New Roman" w:eastAsia="方正仿宋_GBK" w:cs="Times New Roman"/>
          <w:color w:val="000000"/>
          <w:kern w:val="0"/>
          <w:sz w:val="32"/>
          <w:szCs w:val="32"/>
          <w:lang w:eastAsia="zh-CN"/>
        </w:rPr>
        <w:t>渠委办发〔</w:t>
      </w:r>
      <w:r>
        <w:rPr>
          <w:rFonts w:hint="default" w:ascii="Times New Roman" w:hAnsi="Times New Roman" w:eastAsia="方正仿宋_GBK" w:cs="Times New Roman"/>
          <w:color w:val="000000"/>
          <w:kern w:val="0"/>
          <w:sz w:val="32"/>
          <w:szCs w:val="32"/>
          <w:lang w:val="en-US" w:eastAsia="zh-CN"/>
        </w:rPr>
        <w:t>2018</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lang w:val="en-US" w:eastAsia="zh-CN"/>
        </w:rPr>
        <w:t>26号、</w:t>
      </w:r>
      <w:r>
        <w:rPr>
          <w:rFonts w:hint="default" w:ascii="Times New Roman" w:hAnsi="Times New Roman" w:eastAsia="方正仿宋_GBK" w:cs="Times New Roman"/>
          <w:color w:val="000000"/>
          <w:kern w:val="0"/>
          <w:sz w:val="32"/>
          <w:szCs w:val="32"/>
          <w:highlight w:val="none"/>
          <w:lang w:val="en-US" w:eastAsia="zh-CN"/>
        </w:rPr>
        <w:t>渠</w:t>
      </w:r>
      <w:r>
        <w:rPr>
          <w:rFonts w:hint="default" w:ascii="Times New Roman" w:hAnsi="Times New Roman" w:eastAsia="方正仿宋_GBK" w:cs="Times New Roman"/>
          <w:color w:val="000000"/>
          <w:kern w:val="0"/>
          <w:sz w:val="32"/>
          <w:szCs w:val="32"/>
          <w:lang w:val="en-US" w:eastAsia="zh-CN"/>
        </w:rPr>
        <w:t>信联办〔2018〕22号</w:t>
      </w:r>
      <w:r>
        <w:rPr>
          <w:rFonts w:hint="default" w:ascii="Times New Roman" w:hAnsi="Times New Roman" w:eastAsia="方正仿宋_GBK" w:cs="Times New Roman"/>
          <w:sz w:val="32"/>
          <w:szCs w:val="32"/>
          <w:lang w:eastAsia="zh-CN"/>
        </w:rPr>
        <w:t>落实县级领导包案化解。现已办结</w:t>
      </w:r>
      <w:r>
        <w:rPr>
          <w:rFonts w:hint="default" w:ascii="Times New Roman" w:hAnsi="Times New Roman" w:eastAsia="方正仿宋_GBK" w:cs="Times New Roman"/>
          <w:sz w:val="32"/>
          <w:szCs w:val="32"/>
          <w:lang w:val="en-US" w:eastAsia="zh-CN"/>
        </w:rPr>
        <w:t>28件，办结率达85%。</w:t>
      </w:r>
      <w:r>
        <w:rPr>
          <w:rFonts w:hint="eastAsia" w:ascii="Times New Roman" w:hAnsi="Times New Roman" w:eastAsia="方正仿宋_GBK" w:cs="Times New Roman"/>
          <w:b w:val="0"/>
          <w:bCs w:val="0"/>
          <w:sz w:val="32"/>
          <w:szCs w:val="32"/>
          <w:lang w:val="en-US" w:eastAsia="zh-CN"/>
        </w:rPr>
        <w:t>三是认真办理</w:t>
      </w:r>
      <w:r>
        <w:rPr>
          <w:rFonts w:hint="default" w:ascii="Times New Roman" w:hAnsi="Times New Roman" w:eastAsia="方正仿宋_GBK" w:cs="Times New Roman"/>
          <w:b w:val="0"/>
          <w:bCs w:val="0"/>
          <w:sz w:val="32"/>
          <w:szCs w:val="32"/>
          <w:lang w:val="en-US" w:eastAsia="zh-CN"/>
        </w:rPr>
        <w:t>中央巡视组交办案件。</w:t>
      </w:r>
      <w:r>
        <w:rPr>
          <w:rFonts w:hint="default" w:ascii="Times New Roman" w:hAnsi="Times New Roman" w:eastAsia="方正仿宋_GBK" w:cs="Times New Roman"/>
          <w:sz w:val="32"/>
          <w:szCs w:val="32"/>
          <w:lang w:val="en-US" w:eastAsia="zh-CN"/>
        </w:rPr>
        <w:t>今年3月23日至5月23日，中央第四巡视组在四川开展巡视工作</w:t>
      </w:r>
      <w:r>
        <w:rPr>
          <w:rFonts w:hint="eastAsia" w:ascii="Times New Roman" w:hAnsi="Times New Roman" w:eastAsia="方正仿宋_GBK" w:cs="Times New Roman"/>
          <w:sz w:val="32"/>
          <w:szCs w:val="32"/>
          <w:lang w:val="en-US" w:eastAsia="zh-CN"/>
        </w:rPr>
        <w:t>期间</w:t>
      </w:r>
      <w:r>
        <w:rPr>
          <w:rFonts w:hint="default" w:ascii="Times New Roman" w:hAnsi="Times New Roman" w:eastAsia="方正仿宋_GBK" w:cs="Times New Roman"/>
          <w:sz w:val="32"/>
          <w:szCs w:val="32"/>
          <w:lang w:val="en-US" w:eastAsia="zh-CN"/>
        </w:rPr>
        <w:t>，向达州市交办987件，涉及我县95件(含重复反映14件)，</w:t>
      </w:r>
      <w:r>
        <w:rPr>
          <w:rFonts w:hint="eastAsia" w:ascii="Times New Roman" w:hAnsi="Times New Roman" w:eastAsia="方正仿宋_GBK" w:cs="Times New Roman"/>
          <w:sz w:val="32"/>
          <w:szCs w:val="32"/>
          <w:lang w:val="en-US" w:eastAsia="zh-CN"/>
        </w:rPr>
        <w:t>我县全部在规定时间内</w:t>
      </w:r>
      <w:r>
        <w:rPr>
          <w:rFonts w:hint="default" w:ascii="Times New Roman" w:hAnsi="Times New Roman" w:eastAsia="方正仿宋_GBK" w:cs="Times New Roman"/>
          <w:sz w:val="32"/>
          <w:szCs w:val="32"/>
          <w:lang w:val="en-US" w:eastAsia="zh-CN"/>
        </w:rPr>
        <w:t>按期办结。</w:t>
      </w:r>
      <w:r>
        <w:rPr>
          <w:rFonts w:hint="default" w:ascii="Times New Roman" w:hAnsi="Times New Roman" w:eastAsia="方正仿宋_GBK" w:cs="Times New Roman"/>
          <w:b w:val="0"/>
          <w:bCs w:val="0"/>
          <w:sz w:val="32"/>
          <w:szCs w:val="32"/>
          <w:lang w:eastAsia="zh-CN"/>
        </w:rPr>
        <w:t>四是着力</w:t>
      </w:r>
      <w:r>
        <w:rPr>
          <w:rFonts w:hint="default" w:ascii="Times New Roman" w:hAnsi="Times New Roman" w:eastAsia="方正仿宋_GBK" w:cs="Times New Roman"/>
          <w:b w:val="0"/>
          <w:bCs w:val="0"/>
          <w:sz w:val="32"/>
          <w:szCs w:val="32"/>
        </w:rPr>
        <w:t>推行信访事项“第三方评议”机制。</w:t>
      </w:r>
      <w:r>
        <w:rPr>
          <w:rFonts w:hint="default" w:ascii="Times New Roman" w:hAnsi="Times New Roman" w:eastAsia="方正仿宋_GBK" w:cs="Times New Roman"/>
          <w:sz w:val="32"/>
          <w:szCs w:val="32"/>
          <w:lang w:eastAsia="zh-CN"/>
        </w:rPr>
        <w:t>认真</w:t>
      </w:r>
      <w:r>
        <w:rPr>
          <w:rFonts w:hint="default" w:ascii="Times New Roman" w:hAnsi="Times New Roman" w:eastAsia="方正仿宋_GBK" w:cs="Times New Roman"/>
          <w:sz w:val="32"/>
          <w:szCs w:val="32"/>
        </w:rPr>
        <w:t>推行信访事项“第三方评议”办法，采取公开听证、会商评议等方式，对已经终结但当事人仍然缠访、越级访等的信访事项，通过“第三方评议”，促进问题化解。</w:t>
      </w:r>
      <w:r>
        <w:rPr>
          <w:rFonts w:hint="default" w:ascii="Times New Roman" w:hAnsi="Times New Roman" w:eastAsia="方正仿宋_GBK" w:cs="Times New Roman"/>
          <w:sz w:val="32"/>
          <w:szCs w:val="32"/>
          <w:lang w:eastAsia="zh-CN"/>
        </w:rPr>
        <w:t>今年我县开展</w:t>
      </w:r>
      <w:r>
        <w:rPr>
          <w:rFonts w:hint="default" w:ascii="Times New Roman" w:hAnsi="Times New Roman" w:eastAsia="方正仿宋_GBK" w:cs="Times New Roman"/>
          <w:sz w:val="32"/>
          <w:szCs w:val="32"/>
        </w:rPr>
        <w:t>信访“第三方评议”评议案件</w:t>
      </w:r>
      <w:r>
        <w:rPr>
          <w:rFonts w:hint="default" w:ascii="Times New Roman" w:hAnsi="Times New Roman" w:eastAsia="方正仿宋_GBK" w:cs="Times New Roman"/>
          <w:sz w:val="32"/>
          <w:szCs w:val="32"/>
          <w:lang w:val="en-US" w:eastAsia="zh-CN"/>
        </w:rPr>
        <w:t>1件，</w:t>
      </w:r>
      <w:r>
        <w:rPr>
          <w:rFonts w:hint="default" w:ascii="Times New Roman" w:hAnsi="Times New Roman" w:eastAsia="方正仿宋_GBK" w:cs="Times New Roman"/>
          <w:sz w:val="32"/>
          <w:szCs w:val="32"/>
        </w:rPr>
        <w:t>通过以身说法，切实达到</w:t>
      </w:r>
      <w:r>
        <w:rPr>
          <w:rFonts w:hint="default" w:ascii="Times New Roman" w:hAnsi="Times New Roman" w:eastAsia="方正仿宋_GBK" w:cs="Times New Roman"/>
          <w:sz w:val="32"/>
          <w:szCs w:val="32"/>
          <w:lang w:eastAsia="zh-CN"/>
        </w:rPr>
        <w:t>了</w:t>
      </w:r>
      <w:r>
        <w:rPr>
          <w:rFonts w:hint="default" w:ascii="Times New Roman" w:hAnsi="Times New Roman" w:eastAsia="方正仿宋_GBK" w:cs="Times New Roman"/>
          <w:sz w:val="32"/>
          <w:szCs w:val="32"/>
        </w:rPr>
        <w:t>教育转化</w:t>
      </w:r>
      <w:r>
        <w:rPr>
          <w:rFonts w:hint="default" w:ascii="Times New Roman" w:hAnsi="Times New Roman" w:eastAsia="方正仿宋_GBK" w:cs="Times New Roman"/>
          <w:sz w:val="32"/>
          <w:szCs w:val="32"/>
          <w:lang w:eastAsia="zh-CN"/>
        </w:rPr>
        <w:t>信访人</w:t>
      </w:r>
      <w:r>
        <w:rPr>
          <w:rFonts w:hint="default" w:ascii="Times New Roman" w:hAnsi="Times New Roman" w:eastAsia="方正仿宋_GBK" w:cs="Times New Roman"/>
          <w:sz w:val="32"/>
          <w:szCs w:val="32"/>
        </w:rPr>
        <w:t>的作用</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推动疑难复杂信访事项息诉息访。</w:t>
      </w:r>
      <w:r>
        <w:rPr>
          <w:rFonts w:hint="default" w:ascii="Times New Roman" w:hAnsi="Times New Roman" w:eastAsia="方正仿宋_GBK" w:cs="Times New Roman"/>
          <w:b w:val="0"/>
          <w:bCs w:val="0"/>
          <w:sz w:val="32"/>
          <w:szCs w:val="32"/>
          <w:lang w:eastAsia="zh-CN"/>
        </w:rPr>
        <w:t>五是妥善化解网上信访事项。</w:t>
      </w:r>
      <w:r>
        <w:rPr>
          <w:rFonts w:hint="default" w:ascii="Times New Roman" w:hAnsi="Times New Roman" w:eastAsia="方正仿宋_GBK" w:cs="Times New Roman"/>
          <w:sz w:val="32"/>
          <w:szCs w:val="32"/>
          <w:lang w:eastAsia="zh-CN"/>
        </w:rPr>
        <w:t>建立和完善了网上投诉工作规则，规范业务流程，使网上信访事项受理办理有章可循、有规可依。今年我县在规定的时限内按质按量办结国家</w:t>
      </w:r>
      <w:r>
        <w:rPr>
          <w:rFonts w:hint="default" w:ascii="Times New Roman" w:hAnsi="Times New Roman" w:eastAsia="方正仿宋_GBK" w:cs="Times New Roman"/>
          <w:sz w:val="32"/>
          <w:szCs w:val="32"/>
          <w:highlight w:val="none"/>
          <w:lang w:eastAsia="zh-CN"/>
        </w:rPr>
        <w:t>网投</w:t>
      </w:r>
      <w:r>
        <w:rPr>
          <w:rFonts w:hint="default" w:ascii="Times New Roman" w:hAnsi="Times New Roman" w:eastAsia="方正仿宋_GBK" w:cs="Times New Roman"/>
          <w:sz w:val="32"/>
          <w:szCs w:val="32"/>
          <w:lang w:val="en-US" w:eastAsia="zh-CN"/>
        </w:rPr>
        <w:t>69</w:t>
      </w:r>
      <w:r>
        <w:rPr>
          <w:rFonts w:hint="default" w:ascii="Times New Roman" w:hAnsi="Times New Roman" w:eastAsia="方正仿宋_GBK" w:cs="Times New Roman"/>
          <w:sz w:val="32"/>
          <w:szCs w:val="32"/>
          <w:lang w:eastAsia="zh-CN"/>
        </w:rPr>
        <w:t>件，省长信箱</w:t>
      </w:r>
      <w:r>
        <w:rPr>
          <w:rFonts w:hint="default" w:ascii="Times New Roman" w:hAnsi="Times New Roman" w:eastAsia="方正仿宋_GBK" w:cs="Times New Roman"/>
          <w:sz w:val="32"/>
          <w:szCs w:val="32"/>
          <w:lang w:val="en-US" w:eastAsia="zh-CN"/>
        </w:rPr>
        <w:t>47件，</w:t>
      </w:r>
      <w:r>
        <w:rPr>
          <w:rFonts w:hint="default" w:ascii="Times New Roman" w:hAnsi="Times New Roman" w:eastAsia="方正仿宋_GBK" w:cs="Times New Roman"/>
          <w:sz w:val="32"/>
          <w:szCs w:val="32"/>
          <w:lang w:eastAsia="zh-CN"/>
        </w:rPr>
        <w:t>人民网网民留言</w:t>
      </w:r>
      <w:r>
        <w:rPr>
          <w:rFonts w:hint="default" w:ascii="Times New Roman" w:hAnsi="Times New Roman" w:eastAsia="方正仿宋_GBK" w:cs="Times New Roman"/>
          <w:sz w:val="32"/>
          <w:szCs w:val="32"/>
          <w:lang w:val="en-US" w:eastAsia="zh-CN"/>
        </w:rPr>
        <w:t>75</w:t>
      </w:r>
      <w:r>
        <w:rPr>
          <w:rFonts w:hint="default" w:ascii="Times New Roman" w:hAnsi="Times New Roman" w:eastAsia="方正仿宋_GBK" w:cs="Times New Roman"/>
          <w:sz w:val="32"/>
          <w:szCs w:val="32"/>
          <w:lang w:eastAsia="zh-CN"/>
        </w:rPr>
        <w:t>件，息诉</w:t>
      </w:r>
      <w:r>
        <w:rPr>
          <w:rFonts w:hint="default" w:ascii="Times New Roman" w:hAnsi="Times New Roman" w:eastAsia="方正仿宋_GBK" w:cs="Times New Roman"/>
          <w:sz w:val="32"/>
          <w:szCs w:val="32"/>
          <w:highlight w:val="none"/>
          <w:lang w:eastAsia="zh-CN"/>
        </w:rPr>
        <w:t>息访率为</w:t>
      </w:r>
      <w:r>
        <w:rPr>
          <w:rFonts w:hint="default" w:ascii="Times New Roman" w:hAnsi="Times New Roman" w:eastAsia="方正仿宋_GBK" w:cs="Times New Roman"/>
          <w:sz w:val="32"/>
          <w:szCs w:val="32"/>
          <w:lang w:eastAsia="zh-CN"/>
        </w:rPr>
        <w:t>100%。</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val="0"/>
          <w:sz w:val="32"/>
          <w:szCs w:val="32"/>
          <w:lang w:val="en-US" w:eastAsia="zh-CN"/>
        </w:rPr>
        <w:t>4.</w:t>
      </w:r>
      <w:r>
        <w:rPr>
          <w:rFonts w:hint="default" w:ascii="Times New Roman" w:hAnsi="Times New Roman" w:eastAsia="方正仿宋_GBK" w:cs="Times New Roman"/>
          <w:b/>
          <w:bCs w:val="0"/>
          <w:sz w:val="32"/>
          <w:szCs w:val="32"/>
          <w:lang w:eastAsia="zh-CN"/>
        </w:rPr>
        <w:t>全力以赴</w:t>
      </w:r>
      <w:r>
        <w:rPr>
          <w:rFonts w:hint="default" w:ascii="Times New Roman" w:hAnsi="Times New Roman" w:eastAsia="方正仿宋_GBK" w:cs="Times New Roman"/>
          <w:b/>
          <w:bCs w:val="0"/>
          <w:sz w:val="32"/>
          <w:szCs w:val="32"/>
        </w:rPr>
        <w:t>，认真办理省委巡视组交办的信访事项。</w:t>
      </w:r>
      <w:r>
        <w:rPr>
          <w:rFonts w:hint="default" w:ascii="Times New Roman" w:hAnsi="Times New Roman" w:eastAsia="方正仿宋_GBK" w:cs="Times New Roman"/>
          <w:b w:val="0"/>
          <w:bCs/>
          <w:sz w:val="32"/>
          <w:szCs w:val="32"/>
        </w:rPr>
        <w:t>今年</w:t>
      </w:r>
      <w:r>
        <w:rPr>
          <w:rFonts w:hint="default" w:ascii="Times New Roman" w:hAnsi="Times New Roman" w:eastAsia="方正仿宋_GBK" w:cs="Times New Roman"/>
          <w:b w:val="0"/>
          <w:bCs/>
          <w:sz w:val="32"/>
          <w:szCs w:val="32"/>
          <w:lang w:val="en-US" w:eastAsia="zh-CN"/>
        </w:rPr>
        <w:t>10</w:t>
      </w:r>
      <w:r>
        <w:rPr>
          <w:rFonts w:hint="default" w:ascii="Times New Roman" w:hAnsi="Times New Roman" w:eastAsia="方正仿宋_GBK" w:cs="Times New Roman"/>
          <w:b w:val="0"/>
          <w:bCs/>
          <w:sz w:val="32"/>
          <w:szCs w:val="32"/>
        </w:rPr>
        <w:t>月</w:t>
      </w: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rPr>
        <w:t>日至</w:t>
      </w:r>
      <w:r>
        <w:rPr>
          <w:rFonts w:hint="default" w:ascii="Times New Roman" w:hAnsi="Times New Roman" w:eastAsia="方正仿宋_GBK" w:cs="Times New Roman"/>
          <w:b w:val="0"/>
          <w:bCs/>
          <w:sz w:val="32"/>
          <w:szCs w:val="32"/>
          <w:lang w:val="en-US" w:eastAsia="zh-CN"/>
        </w:rPr>
        <w:t>11月8日，</w:t>
      </w:r>
      <w:r>
        <w:rPr>
          <w:rFonts w:hint="default" w:ascii="Times New Roman" w:hAnsi="Times New Roman" w:eastAsia="方正仿宋_GBK" w:cs="Times New Roman"/>
          <w:b w:val="0"/>
          <w:bCs/>
          <w:sz w:val="32"/>
          <w:szCs w:val="32"/>
        </w:rPr>
        <w:t>省委第</w:t>
      </w:r>
      <w:r>
        <w:rPr>
          <w:rFonts w:hint="default" w:ascii="Times New Roman" w:hAnsi="Times New Roman" w:eastAsia="方正仿宋_GBK" w:cs="Times New Roman"/>
          <w:b w:val="0"/>
          <w:bCs/>
          <w:sz w:val="32"/>
          <w:szCs w:val="32"/>
          <w:lang w:eastAsia="zh-CN"/>
        </w:rPr>
        <w:t>第十二</w:t>
      </w:r>
      <w:r>
        <w:rPr>
          <w:rFonts w:hint="default" w:ascii="Times New Roman" w:hAnsi="Times New Roman" w:eastAsia="方正仿宋_GBK" w:cs="Times New Roman"/>
          <w:b w:val="0"/>
          <w:bCs/>
          <w:sz w:val="32"/>
          <w:szCs w:val="32"/>
        </w:rPr>
        <w:t>巡视组对我县扶贫领域开展专项巡视。期间交办我县信访事项</w:t>
      </w:r>
      <w:r>
        <w:rPr>
          <w:rFonts w:hint="eastAsia" w:ascii="Times New Roman" w:hAnsi="Times New Roman" w:eastAsia="方正仿宋_GBK" w:cs="Times New Roman"/>
          <w:b w:val="0"/>
          <w:bCs/>
          <w:sz w:val="32"/>
          <w:szCs w:val="32"/>
          <w:lang w:val="en-US" w:eastAsia="zh-CN"/>
        </w:rPr>
        <w:t>408</w:t>
      </w:r>
      <w:r>
        <w:rPr>
          <w:rFonts w:hint="default" w:ascii="Times New Roman" w:hAnsi="Times New Roman" w:eastAsia="方正仿宋_GBK" w:cs="Times New Roman"/>
          <w:b w:val="0"/>
          <w:bCs/>
          <w:sz w:val="32"/>
          <w:szCs w:val="32"/>
        </w:rPr>
        <w:t>件，目前已</w:t>
      </w:r>
      <w:r>
        <w:rPr>
          <w:rFonts w:hint="eastAsia" w:ascii="Times New Roman" w:hAnsi="Times New Roman" w:eastAsia="方正仿宋_GBK" w:cs="Times New Roman"/>
          <w:b w:val="0"/>
          <w:bCs/>
          <w:sz w:val="32"/>
          <w:szCs w:val="32"/>
          <w:lang w:eastAsia="zh-CN"/>
        </w:rPr>
        <w:t>全部</w:t>
      </w:r>
      <w:r>
        <w:rPr>
          <w:rFonts w:hint="default" w:ascii="Times New Roman" w:hAnsi="Times New Roman" w:eastAsia="方正仿宋_GBK" w:cs="Times New Roman"/>
          <w:b w:val="0"/>
          <w:bCs/>
          <w:sz w:val="32"/>
          <w:szCs w:val="32"/>
        </w:rPr>
        <w:t>办结，息诉息率</w:t>
      </w:r>
      <w:r>
        <w:rPr>
          <w:rFonts w:hint="eastAsia" w:ascii="Times New Roman" w:hAnsi="Times New Roman" w:eastAsia="方正仿宋_GBK" w:cs="Times New Roman"/>
          <w:b w:val="0"/>
          <w:bCs/>
          <w:sz w:val="32"/>
          <w:szCs w:val="32"/>
          <w:lang w:eastAsia="zh-CN"/>
        </w:rPr>
        <w:t>为</w:t>
      </w:r>
      <w:r>
        <w:rPr>
          <w:rFonts w:hint="eastAsia" w:ascii="Times New Roman" w:hAnsi="Times New Roman" w:eastAsia="方正仿宋_GBK" w:cs="Times New Roman"/>
          <w:b w:val="0"/>
          <w:bCs/>
          <w:sz w:val="32"/>
          <w:szCs w:val="32"/>
          <w:lang w:val="en-US" w:eastAsia="zh-CN"/>
        </w:rPr>
        <w:t>60</w:t>
      </w:r>
      <w:r>
        <w:rPr>
          <w:rFonts w:hint="default" w:ascii="Times New Roman" w:hAnsi="Times New Roman" w:eastAsia="方正仿宋_GBK" w:cs="Times New Roman"/>
          <w:b w:val="0"/>
          <w:bCs/>
          <w:sz w:val="32"/>
          <w:szCs w:val="32"/>
        </w:rPr>
        <w:t>%。一是高度重视，责任明确。全县多次召开省委巡视组交办信访事项办理工作会，对省委巡视组交办案件办理工作明确责任单位主要领导为第一责任人，分管信访工作的领导为第二责任人，做到组织领导到位，措施落实到位，解决问题到位。二是多措并举，集中化解。我县坚持对省委第</w:t>
      </w:r>
      <w:r>
        <w:rPr>
          <w:rFonts w:hint="default" w:ascii="Times New Roman" w:hAnsi="Times New Roman" w:eastAsia="方正仿宋_GBK" w:cs="Times New Roman"/>
          <w:b w:val="0"/>
          <w:bCs/>
          <w:sz w:val="32"/>
          <w:szCs w:val="32"/>
          <w:lang w:eastAsia="zh-CN"/>
        </w:rPr>
        <w:t>十二</w:t>
      </w:r>
      <w:r>
        <w:rPr>
          <w:rFonts w:hint="default" w:ascii="Times New Roman" w:hAnsi="Times New Roman" w:eastAsia="方正仿宋_GBK" w:cs="Times New Roman"/>
          <w:b w:val="0"/>
          <w:bCs/>
          <w:sz w:val="32"/>
          <w:szCs w:val="32"/>
        </w:rPr>
        <w:t>巡视组交办的信访事项及时受理、集中交办，最大限度地减少了来访群众倒流回访。三是注重实效，确保案结事了。对省委巡视组交办信访事项后，我县均严格落实了24小时内责任单位主要领导与信访人见面的要求，有针对性地制定了化解方案，</w:t>
      </w:r>
      <w:r>
        <w:rPr>
          <w:rFonts w:hint="default" w:ascii="Times New Roman" w:hAnsi="Times New Roman" w:eastAsia="方正仿宋_GBK" w:cs="Times New Roman"/>
          <w:b w:val="0"/>
          <w:bCs/>
          <w:sz w:val="32"/>
          <w:szCs w:val="32"/>
          <w:lang w:eastAsia="zh-CN"/>
        </w:rPr>
        <w:t>有效化解了群众合理诉求</w:t>
      </w:r>
      <w:r>
        <w:rPr>
          <w:rFonts w:hint="default" w:ascii="Times New Roman" w:hAnsi="Times New Roman" w:eastAsia="方正仿宋_GBK" w:cs="Times New Roman"/>
          <w:b w:val="0"/>
          <w:bCs/>
          <w:sz w:val="32"/>
          <w:szCs w:val="32"/>
        </w:rPr>
        <w:t>。</w:t>
      </w:r>
    </w:p>
    <w:p>
      <w:pPr>
        <w:pStyle w:val="3"/>
        <w:rPr>
          <w:rStyle w:val="26"/>
          <w:b w:val="0"/>
          <w:bCs w:val="0"/>
        </w:rPr>
      </w:pPr>
      <w:bookmarkStart w:id="20" w:name="_Toc15396601"/>
      <w:bookmarkStart w:id="21" w:name="_Toc15377200"/>
      <w:r>
        <w:rPr>
          <w:rFonts w:hint="eastAsia" w:ascii="黑体" w:eastAsia="黑体"/>
          <w:b w:val="0"/>
          <w:color w:val="000000"/>
        </w:rPr>
        <w:t>二、</w:t>
      </w:r>
      <w:r>
        <w:rPr>
          <w:rFonts w:hint="eastAsia" w:ascii="黑体" w:hAnsi="黑体" w:eastAsia="黑体"/>
          <w:b w:val="0"/>
          <w:color w:val="000000"/>
        </w:rPr>
        <w:t>机</w:t>
      </w:r>
      <w:r>
        <w:rPr>
          <w:rStyle w:val="26"/>
          <w:rFonts w:hint="eastAsia" w:ascii="黑体" w:hAnsi="黑体" w:eastAsia="黑体"/>
          <w:b w:val="0"/>
          <w:bCs w:val="0"/>
        </w:rPr>
        <w:t>构设置</w:t>
      </w:r>
      <w:bookmarkEnd w:id="20"/>
      <w:bookmarkEnd w:id="21"/>
    </w:p>
    <w:p>
      <w:pPr>
        <w:widowControl/>
        <w:ind w:firstLine="640" w:firstLineChars="200"/>
        <w:jc w:val="left"/>
        <w:rPr>
          <w:rFonts w:ascii="仿宋" w:hAnsi="仿宋" w:eastAsia="仿宋"/>
          <w:color w:val="000000"/>
          <w:kern w:val="0"/>
          <w:sz w:val="32"/>
          <w:szCs w:val="32"/>
        </w:rPr>
      </w:pPr>
      <w:r>
        <w:rPr>
          <w:rFonts w:hint="eastAsia" w:ascii="方正仿宋_GBK" w:hAnsi="方正仿宋_GBK" w:eastAsia="方正仿宋_GBK" w:cs="方正仿宋_GBK"/>
          <w:i w:val="0"/>
          <w:color w:val="000000"/>
          <w:sz w:val="32"/>
          <w:szCs w:val="32"/>
          <w:shd w:val="clear" w:color="auto" w:fill="FFFFFF"/>
        </w:rPr>
        <w:t>信访局行政编制15人，工勤编制2人。在职干部15人，工勤人员1人。内设信访接待中心、综合科、督查督办科、办信科。并设有渠县人民政府信访事项复查复核委员会办公</w:t>
      </w:r>
      <w:r>
        <w:rPr>
          <w:rFonts w:hint="eastAsia" w:ascii="方正仿宋_GBK" w:hAnsi="方正仿宋_GBK" w:eastAsia="方正仿宋_GBK" w:cs="方正仿宋_GBK"/>
          <w:i w:val="0"/>
          <w:color w:val="000000"/>
          <w:sz w:val="32"/>
          <w:szCs w:val="32"/>
          <w:shd w:val="clear" w:color="auto" w:fill="FFFFFF"/>
          <w:lang w:eastAsia="zh-CN"/>
        </w:rPr>
        <w:t>局</w:t>
      </w:r>
      <w:r>
        <w:rPr>
          <w:rFonts w:hint="eastAsia" w:ascii="方正仿宋_GBK" w:hAnsi="方正仿宋_GBK" w:eastAsia="方正仿宋_GBK" w:cs="方正仿宋_GBK"/>
          <w:i w:val="0"/>
          <w:color w:val="000000"/>
          <w:sz w:val="32"/>
          <w:szCs w:val="32"/>
          <w:shd w:val="clear" w:color="auto" w:fill="FFFFFF"/>
        </w:rPr>
        <w:t>、渠县信访联席会议办公</w:t>
      </w:r>
      <w:r>
        <w:rPr>
          <w:rFonts w:hint="eastAsia" w:ascii="方正仿宋_GBK" w:hAnsi="方正仿宋_GBK" w:eastAsia="方正仿宋_GBK" w:cs="方正仿宋_GBK"/>
          <w:i w:val="0"/>
          <w:color w:val="000000"/>
          <w:sz w:val="32"/>
          <w:szCs w:val="32"/>
          <w:shd w:val="clear" w:color="auto" w:fill="FFFFFF"/>
          <w:lang w:eastAsia="zh-CN"/>
        </w:rPr>
        <w:t>局</w:t>
      </w:r>
      <w:r>
        <w:rPr>
          <w:rFonts w:hint="eastAsia" w:ascii="方正仿宋_GBK" w:hAnsi="方正仿宋_GBK" w:eastAsia="方正仿宋_GBK" w:cs="方正仿宋_GBK"/>
          <w:i w:val="0"/>
          <w:color w:val="000000"/>
          <w:sz w:val="32"/>
          <w:szCs w:val="32"/>
          <w:shd w:val="clear" w:color="auto" w:fill="FFFFFF"/>
        </w:rPr>
        <w:t>。</w:t>
      </w:r>
    </w:p>
    <w:p>
      <w:pPr>
        <w:pStyle w:val="2"/>
        <w:ind w:right="440"/>
        <w:jc w:val="right"/>
        <w:rPr>
          <w:rFonts w:hint="eastAsia" w:ascii="黑体" w:hAnsi="黑体" w:eastAsia="黑体"/>
          <w:b w:val="0"/>
          <w:color w:val="000000"/>
        </w:rPr>
      </w:pPr>
      <w:bookmarkStart w:id="22" w:name="_Toc15377204"/>
      <w:bookmarkStart w:id="23" w:name="_Toc15396602"/>
    </w:p>
    <w:p>
      <w:pPr>
        <w:pStyle w:val="2"/>
        <w:ind w:right="440"/>
        <w:jc w:val="right"/>
        <w:rPr>
          <w:rFonts w:hint="eastAsia" w:ascii="黑体" w:hAnsi="黑体" w:eastAsia="黑体"/>
          <w:b w:val="0"/>
          <w:color w:val="000000"/>
        </w:rPr>
      </w:pPr>
    </w:p>
    <w:p>
      <w:pPr>
        <w:pStyle w:val="2"/>
        <w:ind w:right="440"/>
        <w:jc w:val="right"/>
        <w:rPr>
          <w:rFonts w:hint="eastAsia" w:ascii="黑体" w:hAnsi="黑体" w:eastAsia="黑体"/>
          <w:b w:val="0"/>
          <w:color w:val="000000"/>
        </w:rPr>
      </w:pPr>
    </w:p>
    <w:p>
      <w:pPr>
        <w:rPr>
          <w:rFonts w:hint="eastAsia"/>
        </w:rPr>
      </w:pPr>
    </w:p>
    <w:p>
      <w:pPr>
        <w:pStyle w:val="2"/>
        <w:ind w:right="440"/>
        <w:jc w:val="right"/>
        <w:rPr>
          <w:rStyle w:val="25"/>
          <w:rFonts w:ascii="黑体" w:hAnsi="黑体" w:eastAsia="黑体"/>
          <w:b w:val="0"/>
          <w:bCs w:val="0"/>
        </w:rPr>
      </w:pPr>
      <w:r>
        <w:rPr>
          <w:rFonts w:hint="eastAsia" w:ascii="黑体" w:hAnsi="黑体" w:eastAsia="黑体"/>
          <w:b w:val="0"/>
          <w:color w:val="000000"/>
        </w:rPr>
        <w:t>第二部分</w:t>
      </w:r>
      <w:r>
        <w:rPr>
          <w:rFonts w:hint="eastAsia" w:ascii="黑体" w:hAnsi="黑体" w:eastAsia="黑体"/>
          <w:color w:val="000000"/>
        </w:rPr>
        <w:t xml:space="preserve"> </w:t>
      </w:r>
      <w:r>
        <w:rPr>
          <w:rStyle w:val="25"/>
          <w:rFonts w:hint="eastAsia" w:ascii="黑体" w:hAnsi="黑体" w:eastAsia="黑体"/>
          <w:b w:val="0"/>
          <w:bCs w:val="0"/>
        </w:rPr>
        <w:t>2018年度部门决算情况说明</w:t>
      </w:r>
      <w:bookmarkEnd w:id="22"/>
      <w:bookmarkEnd w:id="23"/>
    </w:p>
    <w:p/>
    <w:p>
      <w:pPr>
        <w:pStyle w:val="24"/>
        <w:numPr>
          <w:ilvl w:val="0"/>
          <w:numId w:val="2"/>
        </w:numPr>
        <w:spacing w:line="600" w:lineRule="exact"/>
        <w:ind w:firstLineChars="0"/>
        <w:outlineLvl w:val="1"/>
        <w:rPr>
          <w:rStyle w:val="26"/>
          <w:rFonts w:ascii="黑体" w:hAnsi="黑体" w:eastAsia="黑体"/>
          <w:b w:val="0"/>
        </w:rPr>
      </w:pPr>
      <w:bookmarkStart w:id="24" w:name="_Toc15396603"/>
      <w:bookmarkStart w:id="25" w:name="_Toc15377205"/>
      <w:r>
        <w:rPr>
          <w:rFonts w:hint="eastAsia" w:ascii="黑体" w:hAnsi="黑体" w:eastAsia="黑体"/>
          <w:color w:val="000000"/>
          <w:sz w:val="32"/>
          <w:szCs w:val="32"/>
        </w:rPr>
        <w:t>收</w:t>
      </w:r>
      <w:r>
        <w:rPr>
          <w:rStyle w:val="26"/>
          <w:rFonts w:hint="eastAsia" w:ascii="黑体" w:hAnsi="黑体" w:eastAsia="黑体"/>
          <w:b w:val="0"/>
        </w:rPr>
        <w:t>入支出决算总体情况说明</w:t>
      </w:r>
      <w:bookmarkEnd w:id="24"/>
      <w:bookmarkEnd w:id="25"/>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2018年度收、支总计</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万元。与2017年相比，收、支总计各增加</w:t>
      </w:r>
      <w:r>
        <w:rPr>
          <w:rFonts w:hint="eastAsia" w:ascii="仿宋_GB2312" w:hAnsi="仿宋" w:eastAsia="仿宋_GB2312"/>
          <w:sz w:val="32"/>
          <w:szCs w:val="32"/>
          <w:lang w:val="en-US" w:eastAsia="zh-CN"/>
        </w:rPr>
        <w:t>82.42</w:t>
      </w:r>
      <w:r>
        <w:rPr>
          <w:rFonts w:hint="eastAsia" w:ascii="仿宋_GB2312" w:hAnsi="仿宋" w:eastAsia="仿宋_GB2312"/>
          <w:sz w:val="32"/>
          <w:szCs w:val="32"/>
          <w:lang w:eastAsia="zh-CN"/>
        </w:rPr>
        <w:t>万元、</w:t>
      </w:r>
      <w:r>
        <w:rPr>
          <w:rFonts w:hint="eastAsia" w:ascii="仿宋_GB2312" w:hAnsi="仿宋" w:eastAsia="仿宋_GB2312"/>
          <w:sz w:val="32"/>
          <w:szCs w:val="32"/>
          <w:lang w:val="en-US" w:eastAsia="zh-CN"/>
        </w:rPr>
        <w:t>83.42万元</w:t>
      </w:r>
      <w:r>
        <w:rPr>
          <w:rFonts w:hint="eastAsia" w:ascii="仿宋_GB2312" w:hAnsi="仿宋" w:eastAsia="仿宋_GB2312"/>
          <w:sz w:val="32"/>
          <w:szCs w:val="32"/>
          <w:lang w:eastAsia="zh-CN"/>
        </w:rPr>
        <w:t>，收入增长</w:t>
      </w:r>
      <w:r>
        <w:rPr>
          <w:rFonts w:hint="eastAsia" w:ascii="仿宋_GB2312" w:hAnsi="仿宋" w:eastAsia="仿宋_GB2312"/>
          <w:sz w:val="32"/>
          <w:szCs w:val="32"/>
          <w:lang w:val="en-US" w:eastAsia="zh-CN"/>
        </w:rPr>
        <w:t>37.7</w:t>
      </w:r>
      <w:r>
        <w:rPr>
          <w:rFonts w:hint="eastAsia" w:ascii="仿宋_GB2312" w:hAnsi="仿宋" w:eastAsia="仿宋_GB2312"/>
          <w:sz w:val="32"/>
          <w:szCs w:val="32"/>
          <w:lang w:eastAsia="zh-CN"/>
        </w:rPr>
        <w:t>%。主要变动原因是</w:t>
      </w:r>
      <w:r>
        <w:rPr>
          <w:rFonts w:hint="eastAsia" w:ascii="仿宋_GB2312" w:hAnsi="仿宋" w:eastAsia="仿宋_GB2312"/>
          <w:sz w:val="32"/>
          <w:szCs w:val="32"/>
          <w:lang w:eastAsia="zh-CN"/>
        </w:rPr>
        <w:t>今年增加了信访专项督导工作经费；支出增长</w:t>
      </w:r>
      <w:r>
        <w:rPr>
          <w:rFonts w:hint="eastAsia" w:ascii="仿宋_GB2312" w:hAnsi="仿宋" w:eastAsia="仿宋_GB2312"/>
          <w:sz w:val="32"/>
          <w:szCs w:val="32"/>
          <w:lang w:val="en-US" w:eastAsia="zh-CN"/>
        </w:rPr>
        <w:t>38.4%，</w:t>
      </w:r>
      <w:r>
        <w:rPr>
          <w:rFonts w:hint="eastAsia" w:ascii="仿宋_GB2312" w:hAnsi="仿宋" w:eastAsia="仿宋_GB2312"/>
          <w:sz w:val="32"/>
          <w:szCs w:val="32"/>
          <w:lang w:eastAsia="zh-CN"/>
        </w:rPr>
        <w:t>主要变动原因是</w:t>
      </w:r>
      <w:r>
        <w:rPr>
          <w:rFonts w:hint="eastAsia" w:ascii="仿宋_GB2312" w:hAnsi="仿宋" w:eastAsia="仿宋_GB2312"/>
          <w:sz w:val="32"/>
          <w:szCs w:val="32"/>
          <w:lang w:eastAsia="zh-CN"/>
        </w:rPr>
        <w:t>今年增加了信访专项督导工作经费。</w:t>
      </w:r>
    </w:p>
    <w:p>
      <w:pPr>
        <w:spacing w:line="600" w:lineRule="exact"/>
        <w:ind w:firstLine="420" w:firstLineChars="200"/>
        <w:rPr>
          <w:rFonts w:hint="default" w:ascii="仿宋_GB2312" w:hAnsi="仿宋" w:eastAsia="仿宋_GB2312"/>
          <w:sz w:val="32"/>
          <w:szCs w:val="32"/>
          <w:lang w:val="en-US" w:eastAsia="zh-CN"/>
        </w:rPr>
      </w:pPr>
      <w:r>
        <w:drawing>
          <wp:anchor distT="0" distB="0" distL="114300" distR="114300" simplePos="0" relativeHeight="251658240" behindDoc="0" locked="0" layoutInCell="1" allowOverlap="1">
            <wp:simplePos x="0" y="0"/>
            <wp:positionH relativeFrom="column">
              <wp:posOffset>577850</wp:posOffset>
            </wp:positionH>
            <wp:positionV relativeFrom="paragraph">
              <wp:posOffset>109855</wp:posOffset>
            </wp:positionV>
            <wp:extent cx="4572000" cy="3072130"/>
            <wp:effectExtent l="4445" t="4445" r="14605" b="9525"/>
            <wp:wrapTopAndBottom/>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（图1：收、支决算总计变动情况图）（柱状图）</w:t>
      </w:r>
    </w:p>
    <w:p>
      <w:pPr>
        <w:pStyle w:val="24"/>
        <w:numPr>
          <w:ilvl w:val="0"/>
          <w:numId w:val="2"/>
        </w:numPr>
        <w:spacing w:line="600" w:lineRule="exact"/>
        <w:ind w:firstLineChars="0"/>
        <w:outlineLvl w:val="1"/>
        <w:rPr>
          <w:rStyle w:val="26"/>
          <w:rFonts w:ascii="黑体" w:hAnsi="黑体" w:eastAsia="黑体"/>
          <w:b w:val="0"/>
        </w:rPr>
      </w:pPr>
      <w:bookmarkStart w:id="26" w:name="_Toc15377206"/>
      <w:bookmarkStart w:id="27" w:name="_Toc15396604"/>
      <w:r>
        <w:rPr>
          <w:rFonts w:hint="eastAsia" w:ascii="黑体" w:hAnsi="黑体" w:eastAsia="黑体"/>
          <w:color w:val="000000"/>
          <w:sz w:val="32"/>
          <w:szCs w:val="32"/>
        </w:rPr>
        <w:t>收</w:t>
      </w:r>
      <w:r>
        <w:rPr>
          <w:rStyle w:val="26"/>
          <w:rFonts w:hint="eastAsia" w:ascii="黑体" w:hAnsi="黑体" w:eastAsia="黑体"/>
          <w:b w:val="0"/>
        </w:rPr>
        <w:t>入决算情况说明</w:t>
      </w:r>
      <w:bookmarkEnd w:id="26"/>
      <w:bookmarkEnd w:id="27"/>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2018年本年收入合计</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万元，其中：一般公共预算财政拨款收入</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drawing>
          <wp:anchor distT="0" distB="0" distL="114300" distR="114300" simplePos="0" relativeHeight="251659264" behindDoc="0" locked="0" layoutInCell="1" allowOverlap="1">
            <wp:simplePos x="0" y="0"/>
            <wp:positionH relativeFrom="column">
              <wp:posOffset>546735</wp:posOffset>
            </wp:positionH>
            <wp:positionV relativeFrom="paragraph">
              <wp:posOffset>165100</wp:posOffset>
            </wp:positionV>
            <wp:extent cx="4543425" cy="2762250"/>
            <wp:effectExtent l="4445" t="4445" r="5080" b="14605"/>
            <wp:wrapTopAndBottom/>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 w:eastAsia="仿宋_GB2312"/>
          <w:sz w:val="32"/>
          <w:szCs w:val="32"/>
          <w:lang w:eastAsia="zh-CN"/>
        </w:rPr>
        <w:t>（图2：收入决算结构图）（饼状图）</w:t>
      </w:r>
    </w:p>
    <w:p>
      <w:pPr>
        <w:spacing w:line="600" w:lineRule="exact"/>
        <w:ind w:firstLine="640" w:firstLineChars="200"/>
        <w:rPr>
          <w:rFonts w:ascii="仿宋_GB2312" w:eastAsia="仿宋_GB2312"/>
          <w:color w:val="FF0000"/>
          <w:sz w:val="32"/>
          <w:szCs w:val="32"/>
        </w:rPr>
      </w:pPr>
    </w:p>
    <w:p>
      <w:pPr>
        <w:pStyle w:val="24"/>
        <w:numPr>
          <w:ilvl w:val="0"/>
          <w:numId w:val="2"/>
        </w:numPr>
        <w:spacing w:line="600" w:lineRule="exact"/>
        <w:ind w:firstLineChars="0"/>
        <w:outlineLvl w:val="1"/>
        <w:rPr>
          <w:rStyle w:val="26"/>
          <w:rFonts w:ascii="黑体" w:hAnsi="黑体" w:eastAsia="黑体"/>
          <w:b w:val="0"/>
        </w:rPr>
      </w:pPr>
      <w:bookmarkStart w:id="28" w:name="_Toc15396605"/>
      <w:bookmarkStart w:id="29" w:name="_Toc15377207"/>
      <w:r>
        <w:rPr>
          <w:rFonts w:hint="eastAsia" w:ascii="黑体" w:hAnsi="黑体" w:eastAsia="黑体"/>
          <w:color w:val="000000"/>
          <w:sz w:val="32"/>
          <w:szCs w:val="32"/>
        </w:rPr>
        <w:t>支</w:t>
      </w:r>
      <w:r>
        <w:rPr>
          <w:rStyle w:val="26"/>
          <w:rFonts w:hint="eastAsia" w:ascii="黑体" w:hAnsi="黑体" w:eastAsia="黑体"/>
          <w:b w:val="0"/>
        </w:rPr>
        <w:t>出决算情况说明</w:t>
      </w:r>
      <w:bookmarkEnd w:id="28"/>
      <w:bookmarkEnd w:id="29"/>
    </w:p>
    <w:p>
      <w:pPr>
        <w:spacing w:line="600" w:lineRule="exact"/>
        <w:ind w:firstLine="640"/>
        <w:rPr>
          <w:rFonts w:ascii="仿宋" w:hAnsi="仿宋" w:eastAsia="仿宋"/>
          <w:color w:val="000000"/>
          <w:sz w:val="32"/>
          <w:szCs w:val="32"/>
          <w:shd w:val="pct10" w:color="auto" w:fill="FFFFFF"/>
        </w:rPr>
      </w:pPr>
      <w:r>
        <w:rPr>
          <w:rFonts w:hint="eastAsia" w:ascii="仿宋_GB2312" w:hAnsi="仿宋" w:eastAsia="仿宋_GB2312"/>
          <w:sz w:val="32"/>
          <w:szCs w:val="32"/>
          <w:lang w:eastAsia="zh-CN"/>
        </w:rPr>
        <w:t>2018年本年支出合计</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万元，其中：基本支出</w:t>
      </w:r>
      <w:r>
        <w:rPr>
          <w:rFonts w:hint="eastAsia" w:ascii="仿宋_GB2312" w:hAnsi="仿宋" w:eastAsia="仿宋_GB2312"/>
          <w:sz w:val="32"/>
          <w:szCs w:val="32"/>
          <w:lang w:val="en-US" w:eastAsia="zh-CN"/>
        </w:rPr>
        <w:t>210.92</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70.1</w:t>
      </w:r>
      <w:r>
        <w:rPr>
          <w:rFonts w:hint="eastAsia" w:ascii="仿宋_GB2312" w:hAnsi="仿宋" w:eastAsia="仿宋_GB2312"/>
          <w:sz w:val="32"/>
          <w:szCs w:val="32"/>
          <w:lang w:eastAsia="zh-CN"/>
        </w:rPr>
        <w:t>%；项目支出</w:t>
      </w:r>
      <w:r>
        <w:rPr>
          <w:rFonts w:hint="eastAsia" w:ascii="仿宋_GB2312" w:hAnsi="仿宋" w:eastAsia="仿宋_GB2312"/>
          <w:sz w:val="32"/>
          <w:szCs w:val="32"/>
          <w:lang w:val="en-US" w:eastAsia="zh-CN"/>
        </w:rPr>
        <w:t>90</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29.9</w:t>
      </w:r>
      <w:r>
        <w:rPr>
          <w:rFonts w:hint="eastAsia" w:ascii="仿宋_GB2312" w:hAnsi="仿宋" w:eastAsia="仿宋_GB2312"/>
          <w:sz w:val="32"/>
          <w:szCs w:val="32"/>
          <w:lang w:eastAsia="zh-CN"/>
        </w:rPr>
        <w:t>%。</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drawing>
          <wp:anchor distT="0" distB="0" distL="114300" distR="114300" simplePos="0" relativeHeight="251660288" behindDoc="0" locked="0" layoutInCell="1" allowOverlap="1">
            <wp:simplePos x="0" y="0"/>
            <wp:positionH relativeFrom="column">
              <wp:posOffset>313690</wp:posOffset>
            </wp:positionH>
            <wp:positionV relativeFrom="paragraph">
              <wp:posOffset>22860</wp:posOffset>
            </wp:positionV>
            <wp:extent cx="4581525" cy="2733675"/>
            <wp:effectExtent l="4445" t="4445" r="5080" b="5080"/>
            <wp:wrapTopAndBottom/>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hAnsi="仿宋" w:eastAsia="仿宋_GB2312"/>
          <w:sz w:val="32"/>
          <w:szCs w:val="32"/>
          <w:lang w:eastAsia="zh-CN"/>
        </w:rPr>
        <w:t>（图3：支出决算结构图）（饼状图）</w:t>
      </w:r>
    </w:p>
    <w:p>
      <w:pPr>
        <w:spacing w:line="600" w:lineRule="exact"/>
        <w:ind w:firstLine="640" w:firstLineChars="200"/>
        <w:outlineLvl w:val="1"/>
        <w:rPr>
          <w:rStyle w:val="26"/>
          <w:rFonts w:ascii="黑体" w:hAnsi="黑体" w:eastAsia="黑体"/>
          <w:b w:val="0"/>
        </w:rPr>
      </w:pPr>
      <w:bookmarkStart w:id="30" w:name="_Toc15396606"/>
      <w:bookmarkStart w:id="31" w:name="_Toc15377208"/>
      <w:r>
        <w:rPr>
          <w:rFonts w:hint="eastAsia" w:ascii="黑体" w:hAnsi="黑体" w:eastAsia="黑体"/>
          <w:color w:val="000000"/>
          <w:sz w:val="32"/>
          <w:szCs w:val="32"/>
        </w:rPr>
        <w:t>四、财</w:t>
      </w:r>
      <w:r>
        <w:rPr>
          <w:rStyle w:val="26"/>
          <w:rFonts w:hint="eastAsia" w:ascii="黑体" w:hAnsi="黑体" w:eastAsia="黑体"/>
          <w:b w:val="0"/>
        </w:rPr>
        <w:t>政拨款收入支出决算总体情况说明</w:t>
      </w:r>
      <w:bookmarkEnd w:id="30"/>
      <w:bookmarkEnd w:id="31"/>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drawing>
          <wp:anchor distT="0" distB="0" distL="114300" distR="114300" simplePos="0" relativeHeight="251661312" behindDoc="0" locked="0" layoutInCell="1" allowOverlap="1">
            <wp:simplePos x="0" y="0"/>
            <wp:positionH relativeFrom="column">
              <wp:posOffset>377190</wp:posOffset>
            </wp:positionH>
            <wp:positionV relativeFrom="paragraph">
              <wp:posOffset>2012315</wp:posOffset>
            </wp:positionV>
            <wp:extent cx="4572000" cy="2734310"/>
            <wp:effectExtent l="4445" t="4445" r="14605" b="23495"/>
            <wp:wrapTopAndBottom/>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hAnsi="仿宋" w:eastAsia="仿宋_GB2312"/>
          <w:sz w:val="32"/>
          <w:szCs w:val="32"/>
          <w:lang w:eastAsia="zh-CN"/>
        </w:rPr>
        <w:t>2018年财政拨款收、支总计</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万元。与2017年相比，收、支总计各增加</w:t>
      </w:r>
      <w:r>
        <w:rPr>
          <w:rFonts w:hint="eastAsia" w:ascii="仿宋_GB2312" w:hAnsi="仿宋" w:eastAsia="仿宋_GB2312"/>
          <w:sz w:val="32"/>
          <w:szCs w:val="32"/>
          <w:lang w:val="en-US" w:eastAsia="zh-CN"/>
        </w:rPr>
        <w:t>82.42</w:t>
      </w:r>
      <w:r>
        <w:rPr>
          <w:rFonts w:hint="eastAsia" w:ascii="仿宋_GB2312" w:hAnsi="仿宋" w:eastAsia="仿宋_GB2312"/>
          <w:sz w:val="32"/>
          <w:szCs w:val="32"/>
          <w:lang w:eastAsia="zh-CN"/>
        </w:rPr>
        <w:t>万元、</w:t>
      </w:r>
      <w:r>
        <w:rPr>
          <w:rFonts w:hint="eastAsia" w:ascii="仿宋_GB2312" w:hAnsi="仿宋" w:eastAsia="仿宋_GB2312"/>
          <w:sz w:val="32"/>
          <w:szCs w:val="32"/>
          <w:lang w:val="en-US" w:eastAsia="zh-CN"/>
        </w:rPr>
        <w:t>83.42万元</w:t>
      </w:r>
      <w:r>
        <w:rPr>
          <w:rFonts w:hint="eastAsia" w:ascii="仿宋_GB2312" w:hAnsi="仿宋" w:eastAsia="仿宋_GB2312"/>
          <w:sz w:val="32"/>
          <w:szCs w:val="32"/>
          <w:lang w:eastAsia="zh-CN"/>
        </w:rPr>
        <w:t>，收入增长</w:t>
      </w:r>
      <w:r>
        <w:rPr>
          <w:rFonts w:hint="eastAsia" w:ascii="仿宋_GB2312" w:hAnsi="仿宋" w:eastAsia="仿宋_GB2312"/>
          <w:sz w:val="32"/>
          <w:szCs w:val="32"/>
          <w:lang w:val="en-US" w:eastAsia="zh-CN"/>
        </w:rPr>
        <w:t>37.7</w:t>
      </w:r>
      <w:r>
        <w:rPr>
          <w:rFonts w:hint="eastAsia" w:ascii="仿宋_GB2312" w:hAnsi="仿宋" w:eastAsia="仿宋_GB2312"/>
          <w:sz w:val="32"/>
          <w:szCs w:val="32"/>
          <w:lang w:eastAsia="zh-CN"/>
        </w:rPr>
        <w:t>%。主要变动原因是</w:t>
      </w:r>
      <w:r>
        <w:rPr>
          <w:rFonts w:hint="eastAsia" w:ascii="仿宋_GB2312" w:hAnsi="仿宋" w:eastAsia="仿宋_GB2312"/>
          <w:sz w:val="32"/>
          <w:szCs w:val="32"/>
          <w:lang w:eastAsia="zh-CN"/>
        </w:rPr>
        <w:t>今年增加了信访专项督导工作经费；支出增长</w:t>
      </w:r>
      <w:r>
        <w:rPr>
          <w:rFonts w:hint="eastAsia" w:ascii="仿宋_GB2312" w:hAnsi="仿宋" w:eastAsia="仿宋_GB2312"/>
          <w:sz w:val="32"/>
          <w:szCs w:val="32"/>
          <w:lang w:val="en-US" w:eastAsia="zh-CN"/>
        </w:rPr>
        <w:t>38.4%，</w:t>
      </w:r>
      <w:r>
        <w:rPr>
          <w:rFonts w:hint="eastAsia" w:ascii="仿宋_GB2312" w:hAnsi="仿宋" w:eastAsia="仿宋_GB2312"/>
          <w:sz w:val="32"/>
          <w:szCs w:val="32"/>
          <w:lang w:eastAsia="zh-CN"/>
        </w:rPr>
        <w:t>主要变动原因是</w:t>
      </w:r>
      <w:r>
        <w:rPr>
          <w:rFonts w:hint="eastAsia" w:ascii="仿宋_GB2312" w:hAnsi="仿宋" w:eastAsia="仿宋_GB2312"/>
          <w:sz w:val="32"/>
          <w:szCs w:val="32"/>
          <w:lang w:eastAsia="zh-CN"/>
        </w:rPr>
        <w:t>今年增加了信访专项督导工作经费。</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（图4：财政拨款收、支决算总计变动情况）（柱状图）</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（除国有资本经营预算外，数据来源于财决Z01-1表，口径为“总计”数+国有资本经营预算。）</w:t>
      </w:r>
    </w:p>
    <w:p>
      <w:pPr>
        <w:spacing w:line="600" w:lineRule="exact"/>
        <w:ind w:firstLine="640" w:firstLineChars="200"/>
        <w:outlineLvl w:val="1"/>
        <w:rPr>
          <w:rStyle w:val="26"/>
          <w:rFonts w:ascii="黑体" w:hAnsi="黑体" w:eastAsia="黑体"/>
          <w:b w:val="0"/>
        </w:rPr>
      </w:pPr>
      <w:bookmarkStart w:id="32" w:name="_Toc15396607"/>
      <w:bookmarkStart w:id="33"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6"/>
          <w:rFonts w:hint="eastAsia" w:ascii="黑体" w:hAnsi="黑体" w:eastAsia="黑体"/>
          <w:b w:val="0"/>
        </w:rPr>
        <w:t>般公共预算财政拨款支出决算情况说明</w:t>
      </w:r>
      <w:bookmarkEnd w:id="32"/>
      <w:bookmarkEnd w:id="33"/>
    </w:p>
    <w:p>
      <w:pPr>
        <w:spacing w:line="600" w:lineRule="exact"/>
        <w:ind w:firstLine="643" w:firstLineChars="200"/>
        <w:outlineLvl w:val="2"/>
        <w:rPr>
          <w:rFonts w:ascii="仿宋" w:hAnsi="仿宋" w:eastAsia="仿宋"/>
          <w:b/>
          <w:color w:val="000000"/>
          <w:sz w:val="32"/>
          <w:szCs w:val="32"/>
        </w:rPr>
      </w:pPr>
      <w:bookmarkStart w:id="34" w:name="_Toc15377210"/>
      <w:r>
        <w:rPr>
          <w:rFonts w:hint="eastAsia" w:ascii="仿宋" w:hAnsi="仿宋" w:eastAsia="仿宋"/>
          <w:b/>
          <w:color w:val="000000"/>
          <w:sz w:val="32"/>
          <w:szCs w:val="32"/>
        </w:rPr>
        <w:t>（一）一般公共预算财政拨款支出决算总体情况</w:t>
      </w:r>
      <w:bookmarkEnd w:id="34"/>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2018年一般公共预算财政拨款支出</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万元，占本年支出合计的</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%。与2017年相比，一般公共预算财政拨款增加</w:t>
      </w:r>
      <w:r>
        <w:rPr>
          <w:rFonts w:hint="eastAsia" w:ascii="仿宋_GB2312" w:hAnsi="仿宋" w:eastAsia="仿宋_GB2312"/>
          <w:sz w:val="32"/>
          <w:szCs w:val="32"/>
          <w:lang w:val="en-US" w:eastAsia="zh-CN"/>
        </w:rPr>
        <w:t>83.42</w:t>
      </w:r>
      <w:r>
        <w:rPr>
          <w:rFonts w:hint="eastAsia" w:ascii="仿宋_GB2312" w:hAnsi="仿宋" w:eastAsia="仿宋_GB2312"/>
          <w:sz w:val="32"/>
          <w:szCs w:val="32"/>
          <w:lang w:eastAsia="zh-CN"/>
        </w:rPr>
        <w:t>万元，增长</w:t>
      </w:r>
      <w:r>
        <w:rPr>
          <w:rFonts w:hint="eastAsia" w:ascii="仿宋_GB2312" w:hAnsi="仿宋" w:eastAsia="仿宋_GB2312"/>
          <w:sz w:val="32"/>
          <w:szCs w:val="32"/>
          <w:lang w:val="en-US" w:eastAsia="zh-CN"/>
        </w:rPr>
        <w:t>38.4</w:t>
      </w:r>
      <w:r>
        <w:rPr>
          <w:rFonts w:hint="eastAsia" w:ascii="仿宋_GB2312" w:hAnsi="仿宋" w:eastAsia="仿宋_GB2312"/>
          <w:sz w:val="32"/>
          <w:szCs w:val="32"/>
          <w:lang w:eastAsia="zh-CN"/>
        </w:rPr>
        <w:t>%。主要变动原因是</w:t>
      </w:r>
      <w:r>
        <w:rPr>
          <w:rFonts w:hint="eastAsia" w:ascii="仿宋_GB2312" w:hAnsi="仿宋" w:eastAsia="仿宋_GB2312"/>
          <w:sz w:val="32"/>
          <w:szCs w:val="32"/>
          <w:lang w:eastAsia="zh-CN"/>
        </w:rPr>
        <w:t>今年增加了信访专项督导工作经费。</w:t>
      </w:r>
    </w:p>
    <w:p>
      <w:pPr>
        <w:spacing w:line="600" w:lineRule="exact"/>
        <w:ind w:firstLine="420" w:firstLineChars="200"/>
        <w:rPr>
          <w:rFonts w:hint="eastAsia" w:ascii="仿宋" w:hAnsi="仿宋" w:eastAsia="仿宋"/>
          <w:color w:val="000000" w:themeColor="text1"/>
          <w:sz w:val="32"/>
          <w:szCs w:val="32"/>
          <w14:textFill>
            <w14:solidFill>
              <w14:schemeClr w14:val="tx1"/>
            </w14:solidFill>
          </w14:textFill>
        </w:rPr>
      </w:pPr>
      <w:r>
        <w:drawing>
          <wp:anchor distT="0" distB="0" distL="114300" distR="114300" simplePos="0" relativeHeight="251662336" behindDoc="0" locked="0" layoutInCell="1" allowOverlap="1">
            <wp:simplePos x="0" y="0"/>
            <wp:positionH relativeFrom="column">
              <wp:posOffset>504190</wp:posOffset>
            </wp:positionH>
            <wp:positionV relativeFrom="paragraph">
              <wp:posOffset>152400</wp:posOffset>
            </wp:positionV>
            <wp:extent cx="4572000" cy="2743200"/>
            <wp:effectExtent l="4445" t="4445" r="14605" b="14605"/>
            <wp:wrapTopAndBottom/>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（图5：一般公共预算财政拨款支出决算变动情况）</w:t>
      </w:r>
    </w:p>
    <w:p>
      <w:pPr>
        <w:spacing w:line="600" w:lineRule="exact"/>
        <w:ind w:firstLine="643" w:firstLineChars="200"/>
        <w:outlineLvl w:val="2"/>
        <w:rPr>
          <w:rFonts w:ascii="仿宋" w:hAnsi="仿宋" w:eastAsia="仿宋"/>
          <w:b/>
          <w:color w:val="000000"/>
          <w:sz w:val="32"/>
          <w:szCs w:val="32"/>
        </w:rPr>
      </w:pPr>
      <w:bookmarkStart w:id="35" w:name="_Toc15377211"/>
      <w:r>
        <w:rPr>
          <w:rFonts w:hint="eastAsia" w:ascii="仿宋" w:hAnsi="仿宋" w:eastAsia="仿宋"/>
          <w:b/>
          <w:color w:val="000000"/>
          <w:sz w:val="32"/>
          <w:szCs w:val="32"/>
        </w:rPr>
        <w:t>（二）一般公共预算财政拨款支出决算结构情况</w:t>
      </w:r>
      <w:bookmarkEnd w:id="35"/>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2018年一般公共预算财政拨款支出</w:t>
      </w:r>
      <w:r>
        <w:rPr>
          <w:rFonts w:hint="eastAsia" w:ascii="仿宋_GB2312" w:hAnsi="仿宋" w:eastAsia="仿宋_GB2312"/>
          <w:sz w:val="32"/>
          <w:szCs w:val="32"/>
          <w:lang w:val="en-US" w:eastAsia="zh-CN"/>
        </w:rPr>
        <w:t>300.92</w:t>
      </w:r>
      <w:r>
        <w:rPr>
          <w:rFonts w:hint="eastAsia" w:ascii="仿宋_GB2312" w:hAnsi="仿宋" w:eastAsia="仿宋_GB2312"/>
          <w:sz w:val="32"/>
          <w:szCs w:val="32"/>
          <w:lang w:eastAsia="zh-CN"/>
        </w:rPr>
        <w:t>万元，主要用于以下方面:一般公共服务（类）支出</w:t>
      </w:r>
      <w:r>
        <w:rPr>
          <w:rFonts w:hint="eastAsia" w:ascii="仿宋_GB2312" w:hAnsi="仿宋" w:eastAsia="仿宋_GB2312"/>
          <w:sz w:val="32"/>
          <w:szCs w:val="32"/>
          <w:lang w:val="en-US" w:eastAsia="zh-CN"/>
        </w:rPr>
        <w:t>260.31</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86.51</w:t>
      </w:r>
      <w:r>
        <w:rPr>
          <w:rFonts w:hint="eastAsia" w:ascii="仿宋_GB2312" w:hAnsi="仿宋" w:eastAsia="仿宋_GB2312"/>
          <w:sz w:val="32"/>
          <w:szCs w:val="32"/>
          <w:lang w:eastAsia="zh-CN"/>
        </w:rPr>
        <w:t>%；社会保障和就业（类）支出</w:t>
      </w:r>
      <w:r>
        <w:rPr>
          <w:rFonts w:hint="eastAsia" w:ascii="仿宋_GB2312" w:hAnsi="仿宋" w:eastAsia="仿宋_GB2312"/>
          <w:sz w:val="32"/>
          <w:szCs w:val="32"/>
          <w:lang w:val="en-US" w:eastAsia="zh-CN"/>
        </w:rPr>
        <w:t>21.09</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7</w:t>
      </w:r>
      <w:r>
        <w:rPr>
          <w:rFonts w:hint="eastAsia" w:ascii="仿宋_GB2312" w:hAnsi="仿宋" w:eastAsia="仿宋_GB2312"/>
          <w:sz w:val="32"/>
          <w:szCs w:val="32"/>
          <w:lang w:eastAsia="zh-CN"/>
        </w:rPr>
        <w:t>%；医疗卫生支出（类）</w:t>
      </w:r>
      <w:r>
        <w:rPr>
          <w:rFonts w:hint="eastAsia" w:ascii="仿宋_GB2312" w:hAnsi="仿宋" w:eastAsia="仿宋_GB2312"/>
          <w:sz w:val="32"/>
          <w:szCs w:val="32"/>
          <w:lang w:val="en-US" w:eastAsia="zh-CN"/>
        </w:rPr>
        <w:t>8.7</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2.89</w:t>
      </w:r>
      <w:r>
        <w:rPr>
          <w:rFonts w:hint="eastAsia" w:ascii="仿宋_GB2312" w:hAnsi="仿宋" w:eastAsia="仿宋_GB2312"/>
          <w:sz w:val="32"/>
          <w:szCs w:val="32"/>
          <w:lang w:eastAsia="zh-CN"/>
        </w:rPr>
        <w:t>%；住房保障支出（类）</w:t>
      </w:r>
      <w:r>
        <w:rPr>
          <w:rFonts w:hint="eastAsia" w:ascii="仿宋_GB2312" w:hAnsi="仿宋" w:eastAsia="仿宋_GB2312"/>
          <w:sz w:val="32"/>
          <w:szCs w:val="32"/>
          <w:lang w:val="en-US" w:eastAsia="zh-CN"/>
        </w:rPr>
        <w:t>10.82</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3.6</w:t>
      </w:r>
      <w:r>
        <w:rPr>
          <w:rFonts w:hint="eastAsia" w:ascii="仿宋_GB2312" w:hAnsi="仿宋" w:eastAsia="仿宋_GB2312"/>
          <w:sz w:val="32"/>
          <w:szCs w:val="32"/>
          <w:lang w:eastAsia="zh-CN"/>
        </w:rPr>
        <w:t>%。（罗列全部功能分类科目，至类级。）</w:t>
      </w:r>
    </w:p>
    <w:p>
      <w:pPr>
        <w:spacing w:line="600" w:lineRule="exact"/>
        <w:ind w:firstLine="420" w:firstLineChars="200"/>
        <w:rPr>
          <w:rFonts w:hint="eastAsia" w:ascii="仿宋" w:hAnsi="仿宋" w:eastAsia="仿宋"/>
          <w:color w:val="000000"/>
          <w:sz w:val="32"/>
          <w:szCs w:val="32"/>
        </w:rPr>
      </w:pPr>
      <w:r>
        <w:drawing>
          <wp:anchor distT="0" distB="0" distL="114300" distR="114300" simplePos="0" relativeHeight="251663360" behindDoc="0" locked="0" layoutInCell="1" allowOverlap="1">
            <wp:simplePos x="0" y="0"/>
            <wp:positionH relativeFrom="column">
              <wp:posOffset>409575</wp:posOffset>
            </wp:positionH>
            <wp:positionV relativeFrom="paragraph">
              <wp:posOffset>137795</wp:posOffset>
            </wp:positionV>
            <wp:extent cx="4572000" cy="2743200"/>
            <wp:effectExtent l="4445" t="4445" r="14605" b="14605"/>
            <wp:wrapTopAndBottom/>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（图6：一般公共预算财政拨款支出决算结构）（饼状图）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6" w:name="_Toc15377212"/>
      <w:r>
        <w:rPr>
          <w:rFonts w:hint="eastAsia" w:ascii="仿宋" w:hAnsi="仿宋" w:eastAsia="仿宋"/>
          <w:b/>
          <w:color w:val="000000"/>
          <w:sz w:val="32"/>
          <w:szCs w:val="32"/>
        </w:rPr>
        <w:t>（三）一般公共预算财政拨款支出决算具体情况</w:t>
      </w:r>
      <w:bookmarkEnd w:id="36"/>
    </w:p>
    <w:p>
      <w:pPr>
        <w:spacing w:line="600" w:lineRule="exact"/>
        <w:ind w:firstLine="643" w:firstLineChars="200"/>
        <w:outlineLvl w:val="2"/>
        <w:rPr>
          <w:rFonts w:ascii="仿宋" w:hAnsi="仿宋" w:eastAsia="仿宋"/>
          <w:color w:val="FF0000"/>
          <w:sz w:val="32"/>
          <w:szCs w:val="32"/>
        </w:rPr>
      </w:pPr>
      <w:bookmarkStart w:id="37" w:name="_Toc15377213"/>
      <w:bookmarkStart w:id="38" w:name="_Toc15377444"/>
      <w:bookmarkStart w:id="39" w:name="_Toc15378460"/>
      <w:r>
        <w:rPr>
          <w:rFonts w:hint="eastAsia" w:ascii="仿宋" w:hAnsi="仿宋" w:eastAsia="仿宋"/>
          <w:b/>
          <w:color w:val="000000" w:themeColor="text1"/>
          <w:sz w:val="32"/>
          <w:szCs w:val="32"/>
          <w14:textFill>
            <w14:solidFill>
              <w14:schemeClr w14:val="tx1"/>
            </w14:solidFill>
          </w14:textFill>
        </w:rPr>
        <w:t>2018年</w:t>
      </w:r>
      <w:r>
        <w:rPr>
          <w:rFonts w:hint="eastAsia" w:ascii="仿宋" w:hAnsi="仿宋" w:eastAsia="仿宋"/>
          <w:b/>
          <w:color w:val="000000" w:themeColor="text1"/>
          <w:sz w:val="32"/>
          <w:szCs w:val="32"/>
          <w:lang w:eastAsia="zh-CN"/>
          <w14:textFill>
            <w14:solidFill>
              <w14:schemeClr w14:val="tx1"/>
            </w14:solidFill>
          </w14:textFill>
        </w:rPr>
        <w:t>一</w:t>
      </w:r>
      <w:r>
        <w:rPr>
          <w:rFonts w:hint="eastAsia" w:ascii="仿宋" w:hAnsi="仿宋" w:eastAsia="仿宋"/>
          <w:b/>
          <w:color w:val="000000" w:themeColor="text1"/>
          <w:sz w:val="32"/>
          <w:szCs w:val="32"/>
          <w14:textFill>
            <w14:solidFill>
              <w14:schemeClr w14:val="tx1"/>
            </w14:solidFill>
          </w14:textFill>
        </w:rPr>
        <w:t>般公共预算支出决算数为</w:t>
      </w:r>
      <w:r>
        <w:rPr>
          <w:rFonts w:hint="eastAsia" w:ascii="仿宋" w:hAnsi="仿宋" w:eastAsia="仿宋"/>
          <w:b/>
          <w:color w:val="000000" w:themeColor="text1"/>
          <w:sz w:val="32"/>
          <w:szCs w:val="32"/>
          <w:lang w:val="en-US" w:eastAsia="zh-CN"/>
          <w14:textFill>
            <w14:solidFill>
              <w14:schemeClr w14:val="tx1"/>
            </w14:solidFill>
          </w14:textFill>
        </w:rPr>
        <w:t>300.92万元</w:t>
      </w:r>
      <w:r>
        <w:rPr>
          <w:rFonts w:hint="eastAsia" w:ascii="仿宋" w:hAnsi="仿宋" w:eastAsia="仿宋"/>
          <w:color w:val="000000" w:themeColor="text1"/>
          <w:sz w:val="32"/>
          <w:szCs w:val="32"/>
          <w14:textFill>
            <w14:solidFill>
              <w14:schemeClr w14:val="tx1"/>
            </w14:solidFill>
          </w14:textFill>
        </w:rPr>
        <w:t>，</w:t>
      </w:r>
      <w:r>
        <w:rPr>
          <w:rStyle w:val="15"/>
          <w:rFonts w:hint="eastAsia" w:ascii="仿宋" w:hAnsi="仿宋" w:eastAsia="仿宋"/>
          <w:bCs/>
          <w:color w:val="000000" w:themeColor="text1"/>
          <w:sz w:val="32"/>
          <w:szCs w:val="32"/>
          <w14:textFill>
            <w14:solidFill>
              <w14:schemeClr w14:val="tx1"/>
            </w14:solidFill>
          </w14:textFill>
        </w:rPr>
        <w:t>完成</w:t>
      </w:r>
      <w:r>
        <w:rPr>
          <w:rStyle w:val="15"/>
          <w:rFonts w:hint="eastAsia" w:ascii="仿宋" w:hAnsi="仿宋" w:eastAsia="仿宋"/>
          <w:bCs/>
          <w:color w:val="000000"/>
          <w:sz w:val="32"/>
          <w:szCs w:val="32"/>
        </w:rPr>
        <w:t>预算</w:t>
      </w:r>
      <w:r>
        <w:rPr>
          <w:rStyle w:val="15"/>
          <w:rFonts w:hint="eastAsia" w:ascii="仿宋" w:hAnsi="仿宋" w:eastAsia="仿宋"/>
          <w:bCs/>
          <w:color w:val="000000"/>
          <w:sz w:val="32"/>
          <w:szCs w:val="32"/>
          <w:lang w:val="en-US" w:eastAsia="zh-CN"/>
        </w:rPr>
        <w:t>100</w:t>
      </w:r>
      <w:r>
        <w:rPr>
          <w:rStyle w:val="15"/>
          <w:rFonts w:ascii="仿宋" w:hAnsi="仿宋" w:eastAsia="仿宋"/>
          <w:bCs/>
          <w:color w:val="000000"/>
          <w:sz w:val="32"/>
          <w:szCs w:val="32"/>
        </w:rPr>
        <w:t>%</w:t>
      </w:r>
      <w:r>
        <w:rPr>
          <w:rStyle w:val="15"/>
          <w:rFonts w:hint="eastAsia" w:ascii="仿宋" w:hAnsi="仿宋" w:eastAsia="仿宋"/>
          <w:bCs/>
          <w:color w:val="000000"/>
          <w:sz w:val="32"/>
          <w:szCs w:val="32"/>
        </w:rPr>
        <w:t>。其中：</w:t>
      </w:r>
      <w:bookmarkEnd w:id="37"/>
      <w:bookmarkEnd w:id="38"/>
      <w:bookmarkEnd w:id="39"/>
    </w:p>
    <w:p>
      <w:pPr>
        <w:spacing w:line="600" w:lineRule="exact"/>
        <w:ind w:firstLine="643" w:firstLineChars="200"/>
        <w:rPr>
          <w:rFonts w:hint="eastAsia" w:ascii="仿宋_GB2312" w:hAnsi="仿宋" w:eastAsia="仿宋_GB2312"/>
          <w:sz w:val="32"/>
          <w:szCs w:val="32"/>
          <w:lang w:eastAsia="zh-CN"/>
        </w:rPr>
      </w:pPr>
      <w:r>
        <w:rPr>
          <w:rStyle w:val="15"/>
          <w:rFonts w:ascii="仿宋" w:hAnsi="仿宋" w:eastAsia="仿宋"/>
          <w:bCs/>
          <w:color w:val="000000"/>
          <w:sz w:val="32"/>
          <w:szCs w:val="32"/>
        </w:rPr>
        <w:t>1.</w:t>
      </w:r>
      <w:r>
        <w:rPr>
          <w:rStyle w:val="15"/>
          <w:rFonts w:hint="eastAsia" w:ascii="仿宋" w:hAnsi="仿宋" w:eastAsia="仿宋"/>
          <w:bCs/>
          <w:color w:val="000000"/>
          <w:sz w:val="32"/>
          <w:szCs w:val="32"/>
        </w:rPr>
        <w:t>一般公共服务（类）政府办公厅（室）及相关机构事务（款） 行政运行（项）</w:t>
      </w:r>
      <w:r>
        <w:rPr>
          <w:rStyle w:val="15"/>
          <w:rFonts w:ascii="仿宋" w:hAnsi="仿宋" w:eastAsia="仿宋"/>
          <w:bCs/>
          <w:color w:val="000000"/>
          <w:sz w:val="32"/>
          <w:szCs w:val="32"/>
        </w:rPr>
        <w:t>:</w:t>
      </w:r>
      <w:r>
        <w:rPr>
          <w:rStyle w:val="15"/>
          <w:rFonts w:ascii="仿宋" w:hAnsi="仿宋" w:eastAsia="仿宋"/>
          <w:b w:val="0"/>
          <w:bCs/>
          <w:color w:val="000000"/>
          <w:sz w:val="32"/>
          <w:szCs w:val="32"/>
        </w:rPr>
        <w:t xml:space="preserve"> </w:t>
      </w:r>
      <w:r>
        <w:rPr>
          <w:rFonts w:hint="eastAsia" w:ascii="仿宋_GB2312" w:hAnsi="仿宋" w:eastAsia="仿宋_GB2312"/>
          <w:sz w:val="32"/>
          <w:szCs w:val="32"/>
          <w:lang w:eastAsia="zh-CN"/>
        </w:rPr>
        <w:t>支出决算为</w:t>
      </w:r>
      <w:r>
        <w:rPr>
          <w:rFonts w:hint="eastAsia" w:ascii="仿宋_GB2312" w:hAnsi="仿宋" w:eastAsia="仿宋_GB2312"/>
          <w:sz w:val="32"/>
          <w:szCs w:val="32"/>
          <w:lang w:val="en-US" w:eastAsia="zh-CN"/>
        </w:rPr>
        <w:t>121.53</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w:t>
      </w:r>
    </w:p>
    <w:p>
      <w:pPr>
        <w:spacing w:line="600" w:lineRule="exact"/>
        <w:ind w:firstLine="643" w:firstLineChars="200"/>
        <w:rPr>
          <w:rFonts w:hint="eastAsia" w:ascii="仿宋_GB2312" w:hAnsi="仿宋" w:eastAsia="仿宋_GB2312"/>
          <w:sz w:val="32"/>
          <w:szCs w:val="32"/>
          <w:lang w:eastAsia="zh-CN"/>
        </w:rPr>
      </w:pPr>
      <w:r>
        <w:rPr>
          <w:rStyle w:val="15"/>
          <w:rFonts w:ascii="仿宋" w:hAnsi="仿宋" w:eastAsia="仿宋"/>
          <w:bCs/>
          <w:color w:val="000000"/>
          <w:sz w:val="32"/>
          <w:szCs w:val="32"/>
        </w:rPr>
        <w:t>2.</w:t>
      </w:r>
      <w:r>
        <w:rPr>
          <w:rStyle w:val="15"/>
          <w:rFonts w:hint="eastAsia" w:ascii="仿宋" w:hAnsi="仿宋" w:eastAsia="仿宋"/>
          <w:bCs/>
          <w:color w:val="000000"/>
          <w:sz w:val="32"/>
          <w:szCs w:val="32"/>
        </w:rPr>
        <w:t>一般公共服务（类）政府办公厅（室）及相关机构事务（款） 行政运行（项）</w:t>
      </w:r>
      <w:r>
        <w:rPr>
          <w:rStyle w:val="15"/>
          <w:rFonts w:ascii="仿宋" w:hAnsi="仿宋" w:eastAsia="仿宋"/>
          <w:bCs/>
          <w:color w:val="000000"/>
          <w:sz w:val="32"/>
          <w:szCs w:val="32"/>
        </w:rPr>
        <w:t>:</w:t>
      </w:r>
      <w:r>
        <w:rPr>
          <w:rStyle w:val="15"/>
          <w:rFonts w:ascii="仿宋" w:hAnsi="仿宋" w:eastAsia="仿宋"/>
          <w:b w:val="0"/>
          <w:bCs/>
          <w:color w:val="000000"/>
          <w:sz w:val="32"/>
          <w:szCs w:val="32"/>
        </w:rPr>
        <w:t xml:space="preserve"> </w:t>
      </w:r>
      <w:r>
        <w:rPr>
          <w:rFonts w:hint="eastAsia" w:ascii="仿宋_GB2312" w:hAnsi="仿宋" w:eastAsia="仿宋_GB2312"/>
          <w:sz w:val="32"/>
          <w:szCs w:val="32"/>
          <w:lang w:eastAsia="zh-CN"/>
        </w:rPr>
        <w:t>支出决算为</w:t>
      </w:r>
      <w:r>
        <w:rPr>
          <w:rFonts w:hint="eastAsia" w:ascii="仿宋_GB2312" w:hAnsi="仿宋" w:eastAsia="仿宋_GB2312"/>
          <w:sz w:val="32"/>
          <w:szCs w:val="32"/>
          <w:lang w:val="en-US" w:eastAsia="zh-CN"/>
        </w:rPr>
        <w:t>138.77</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w:t>
      </w:r>
    </w:p>
    <w:p>
      <w:pPr>
        <w:spacing w:line="600" w:lineRule="exact"/>
        <w:ind w:firstLine="643" w:firstLineChars="200"/>
        <w:rPr>
          <w:rFonts w:hint="eastAsia" w:ascii="仿宋_GB2312" w:hAnsi="仿宋" w:eastAsia="仿宋_GB2312"/>
          <w:sz w:val="32"/>
          <w:szCs w:val="32"/>
          <w:lang w:eastAsia="zh-CN"/>
        </w:rPr>
      </w:pPr>
      <w:r>
        <w:rPr>
          <w:rStyle w:val="15"/>
          <w:rFonts w:ascii="仿宋" w:hAnsi="仿宋" w:eastAsia="仿宋"/>
          <w:bCs/>
          <w:color w:val="000000"/>
          <w:sz w:val="32"/>
          <w:szCs w:val="32"/>
        </w:rPr>
        <w:t>3.</w:t>
      </w:r>
      <w:r>
        <w:rPr>
          <w:rFonts w:hint="eastAsia" w:ascii="仿宋" w:hAnsi="仿宋" w:eastAsia="仿宋"/>
          <w:b/>
          <w:color w:val="000000" w:themeColor="text1"/>
          <w:sz w:val="32"/>
          <w:szCs w:val="32"/>
          <w14:textFill>
            <w14:solidFill>
              <w14:schemeClr w14:val="tx1"/>
            </w14:solidFill>
          </w14:textFill>
        </w:rPr>
        <w:t>社会保障和就业（类）</w:t>
      </w:r>
      <w:r>
        <w:rPr>
          <w:rFonts w:hint="eastAsia" w:ascii="仿宋" w:hAnsi="仿宋" w:eastAsia="仿宋"/>
          <w:color w:val="000000" w:themeColor="text1"/>
          <w:sz w:val="32"/>
          <w:szCs w:val="32"/>
          <w14:textFill>
            <w14:solidFill>
              <w14:schemeClr w14:val="tx1"/>
            </w14:solidFill>
          </w14:textFill>
        </w:rPr>
        <w:t>支出行政事业单位离退休</w:t>
      </w:r>
      <w:r>
        <w:rPr>
          <w:rFonts w:hint="eastAsia" w:ascii="仿宋" w:hAnsi="仿宋" w:eastAsia="仿宋"/>
          <w:color w:val="000000" w:themeColor="text1"/>
          <w:sz w:val="32"/>
          <w:szCs w:val="32"/>
          <w:lang w:eastAsia="zh-CN"/>
          <w14:textFill>
            <w14:solidFill>
              <w14:schemeClr w14:val="tx1"/>
            </w14:solidFill>
          </w14:textFill>
        </w:rPr>
        <w:t>（款）</w:t>
      </w:r>
      <w:r>
        <w:rPr>
          <w:rFonts w:hint="eastAsia" w:ascii="仿宋" w:hAnsi="仿宋" w:eastAsia="仿宋"/>
          <w:color w:val="000000" w:themeColor="text1"/>
          <w:sz w:val="32"/>
          <w:szCs w:val="32"/>
          <w14:textFill>
            <w14:solidFill>
              <w14:schemeClr w14:val="tx1"/>
            </w14:solidFill>
          </w14:textFill>
        </w:rPr>
        <w:t>机关事业单位基本养老保险缴费支出</w:t>
      </w:r>
      <w:r>
        <w:rPr>
          <w:rFonts w:hint="eastAsia" w:ascii="仿宋" w:hAnsi="仿宋" w:eastAsia="仿宋"/>
          <w:color w:val="000000" w:themeColor="text1"/>
          <w:sz w:val="32"/>
          <w:szCs w:val="32"/>
          <w:lang w:val="en-US" w:eastAsia="zh-CN"/>
          <w14:textFill>
            <w14:solidFill>
              <w14:schemeClr w14:val="tx1"/>
            </w14:solidFill>
          </w14:textFill>
        </w:rPr>
        <w:t>（项）</w:t>
      </w:r>
      <w:r>
        <w:rPr>
          <w:rStyle w:val="15"/>
          <w:rFonts w:ascii="仿宋" w:hAnsi="仿宋" w:eastAsia="仿宋"/>
          <w:bCs/>
          <w:color w:val="000000"/>
          <w:sz w:val="32"/>
          <w:szCs w:val="32"/>
        </w:rPr>
        <w:t>:</w:t>
      </w:r>
      <w:r>
        <w:rPr>
          <w:rStyle w:val="15"/>
          <w:rFonts w:ascii="仿宋" w:hAnsi="仿宋" w:eastAsia="仿宋"/>
          <w:b w:val="0"/>
          <w:bCs/>
          <w:color w:val="000000"/>
          <w:sz w:val="32"/>
          <w:szCs w:val="32"/>
        </w:rPr>
        <w:t xml:space="preserve"> </w:t>
      </w:r>
      <w:r>
        <w:rPr>
          <w:rFonts w:hint="eastAsia" w:ascii="仿宋_GB2312" w:hAnsi="仿宋" w:eastAsia="仿宋_GB2312"/>
          <w:sz w:val="32"/>
          <w:szCs w:val="32"/>
          <w:lang w:eastAsia="zh-CN"/>
        </w:rPr>
        <w:t>支出决算为</w:t>
      </w:r>
      <w:r>
        <w:rPr>
          <w:rFonts w:hint="eastAsia" w:ascii="仿宋_GB2312" w:hAnsi="仿宋" w:eastAsia="仿宋_GB2312"/>
          <w:sz w:val="32"/>
          <w:szCs w:val="32"/>
          <w:lang w:val="en-US" w:eastAsia="zh-CN"/>
        </w:rPr>
        <w:t>18.03</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w:t>
      </w:r>
    </w:p>
    <w:p>
      <w:pPr>
        <w:spacing w:line="600" w:lineRule="exact"/>
        <w:ind w:firstLine="643" w:firstLineChars="200"/>
        <w:rPr>
          <w:rFonts w:hint="eastAsia" w:ascii="仿宋_GB2312" w:hAnsi="仿宋" w:eastAsia="仿宋_GB2312"/>
          <w:sz w:val="32"/>
          <w:szCs w:val="32"/>
          <w:lang w:eastAsia="zh-CN"/>
        </w:rPr>
      </w:pPr>
      <w:r>
        <w:rPr>
          <w:rFonts w:hint="eastAsia" w:ascii="仿宋" w:hAnsi="仿宋" w:eastAsia="仿宋"/>
          <w:b/>
          <w:color w:val="000000" w:themeColor="text1"/>
          <w:sz w:val="32"/>
          <w:szCs w:val="32"/>
          <w:lang w:val="en-US" w:eastAsia="zh-CN"/>
          <w14:textFill>
            <w14:solidFill>
              <w14:schemeClr w14:val="tx1"/>
            </w14:solidFill>
          </w14:textFill>
        </w:rPr>
        <w:t>4.</w:t>
      </w:r>
      <w:r>
        <w:rPr>
          <w:rFonts w:hint="eastAsia" w:ascii="仿宋" w:hAnsi="仿宋" w:eastAsia="仿宋"/>
          <w:b/>
          <w:color w:val="000000" w:themeColor="text1"/>
          <w:sz w:val="32"/>
          <w:szCs w:val="32"/>
          <w14:textFill>
            <w14:solidFill>
              <w14:schemeClr w14:val="tx1"/>
            </w14:solidFill>
          </w14:textFill>
        </w:rPr>
        <w:t>社会保障和就业（类）</w:t>
      </w:r>
      <w:r>
        <w:rPr>
          <w:rFonts w:hint="eastAsia" w:ascii="仿宋" w:hAnsi="仿宋" w:eastAsia="仿宋"/>
          <w:color w:val="000000" w:themeColor="text1"/>
          <w:sz w:val="32"/>
          <w:szCs w:val="32"/>
          <w14:textFill>
            <w14:solidFill>
              <w14:schemeClr w14:val="tx1"/>
            </w14:solidFill>
          </w14:textFill>
        </w:rPr>
        <w:t>支出行政事业单位离退休</w:t>
      </w:r>
      <w:r>
        <w:rPr>
          <w:rFonts w:hint="eastAsia" w:ascii="仿宋" w:hAnsi="仿宋" w:eastAsia="仿宋"/>
          <w:color w:val="000000" w:themeColor="text1"/>
          <w:sz w:val="32"/>
          <w:szCs w:val="32"/>
          <w:lang w:eastAsia="zh-CN"/>
          <w14:textFill>
            <w14:solidFill>
              <w14:schemeClr w14:val="tx1"/>
            </w14:solidFill>
          </w14:textFill>
        </w:rPr>
        <w:t>（款）</w:t>
      </w:r>
      <w:r>
        <w:rPr>
          <w:rFonts w:hint="eastAsia" w:ascii="仿宋" w:hAnsi="仿宋" w:eastAsia="仿宋"/>
          <w:color w:val="000000" w:themeColor="text1"/>
          <w:sz w:val="32"/>
          <w:szCs w:val="32"/>
          <w14:textFill>
            <w14:solidFill>
              <w14:schemeClr w14:val="tx1"/>
            </w14:solidFill>
          </w14:textFill>
        </w:rPr>
        <w:t>机关事业单位职业年金缴费支出</w:t>
      </w:r>
      <w:r>
        <w:rPr>
          <w:rFonts w:hint="eastAsia" w:ascii="仿宋" w:hAnsi="仿宋" w:eastAsia="仿宋"/>
          <w:color w:val="000000" w:themeColor="text1"/>
          <w:sz w:val="32"/>
          <w:szCs w:val="32"/>
          <w:lang w:val="en-US" w:eastAsia="zh-CN"/>
          <w14:textFill>
            <w14:solidFill>
              <w14:schemeClr w14:val="tx1"/>
            </w14:solidFill>
          </w14:textFill>
        </w:rPr>
        <w:t>（项）</w:t>
      </w:r>
      <w:r>
        <w:rPr>
          <w:rStyle w:val="15"/>
          <w:rFonts w:ascii="仿宋" w:hAnsi="仿宋" w:eastAsia="仿宋"/>
          <w:bCs/>
          <w:color w:val="000000"/>
          <w:sz w:val="32"/>
          <w:szCs w:val="32"/>
        </w:rPr>
        <w:t>:</w:t>
      </w:r>
      <w:r>
        <w:rPr>
          <w:rStyle w:val="15"/>
          <w:rFonts w:ascii="仿宋" w:hAnsi="仿宋" w:eastAsia="仿宋"/>
          <w:b w:val="0"/>
          <w:bCs/>
          <w:color w:val="000000"/>
          <w:sz w:val="32"/>
          <w:szCs w:val="32"/>
        </w:rPr>
        <w:t xml:space="preserve"> </w:t>
      </w:r>
      <w:r>
        <w:rPr>
          <w:rFonts w:hint="eastAsia" w:ascii="仿宋_GB2312" w:hAnsi="仿宋" w:eastAsia="仿宋_GB2312"/>
          <w:sz w:val="32"/>
          <w:szCs w:val="32"/>
          <w:lang w:eastAsia="zh-CN"/>
        </w:rPr>
        <w:t>支出决算为</w:t>
      </w:r>
      <w:r>
        <w:rPr>
          <w:rFonts w:hint="eastAsia" w:ascii="仿宋_GB2312" w:hAnsi="仿宋" w:eastAsia="仿宋_GB2312"/>
          <w:sz w:val="32"/>
          <w:szCs w:val="32"/>
          <w:lang w:val="en-US" w:eastAsia="zh-CN"/>
        </w:rPr>
        <w:t>3.06</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w:t>
      </w:r>
    </w:p>
    <w:p>
      <w:pPr>
        <w:spacing w:line="600" w:lineRule="exact"/>
        <w:ind w:firstLine="643" w:firstLineChars="200"/>
        <w:rPr>
          <w:rFonts w:hint="eastAsia" w:ascii="仿宋_GB2312" w:hAnsi="仿宋" w:eastAsia="仿宋_GB2312"/>
          <w:sz w:val="32"/>
          <w:szCs w:val="32"/>
          <w:lang w:eastAsia="zh-CN"/>
        </w:rPr>
      </w:pPr>
      <w:r>
        <w:rPr>
          <w:rStyle w:val="15"/>
          <w:rFonts w:hint="eastAsia" w:ascii="仿宋" w:hAnsi="仿宋" w:eastAsia="仿宋"/>
          <w:bCs/>
          <w:color w:val="000000"/>
          <w:sz w:val="32"/>
          <w:szCs w:val="32"/>
          <w:lang w:val="en-US" w:eastAsia="zh-CN"/>
        </w:rPr>
        <w:t>5</w:t>
      </w:r>
      <w:r>
        <w:rPr>
          <w:rStyle w:val="15"/>
          <w:rFonts w:ascii="仿宋" w:hAnsi="仿宋" w:eastAsia="仿宋"/>
          <w:bCs/>
          <w:color w:val="000000"/>
          <w:sz w:val="32"/>
          <w:szCs w:val="32"/>
        </w:rPr>
        <w:t>.</w:t>
      </w:r>
      <w:r>
        <w:rPr>
          <w:rFonts w:hint="eastAsia" w:ascii="仿宋" w:hAnsi="仿宋" w:eastAsia="仿宋"/>
          <w:color w:val="000000" w:themeColor="text1"/>
          <w:sz w:val="32"/>
          <w:szCs w:val="32"/>
          <w14:textFill>
            <w14:solidFill>
              <w14:schemeClr w14:val="tx1"/>
            </w14:solidFill>
          </w14:textFill>
        </w:rPr>
        <w:t>医疗卫生支出</w:t>
      </w:r>
      <w:r>
        <w:rPr>
          <w:rFonts w:hint="eastAsia" w:ascii="仿宋" w:hAnsi="仿宋" w:eastAsia="仿宋"/>
          <w:color w:val="000000" w:themeColor="text1"/>
          <w:sz w:val="32"/>
          <w:szCs w:val="32"/>
          <w:lang w:eastAsia="zh-CN"/>
          <w14:textFill>
            <w14:solidFill>
              <w14:schemeClr w14:val="tx1"/>
            </w14:solidFill>
          </w14:textFill>
        </w:rPr>
        <w:t>（类）行政事业单位医疗（款）行政单位医疗支出</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Fonts w:hint="eastAsia" w:ascii="仿宋_GB2312" w:hAnsi="仿宋" w:eastAsia="仿宋_GB2312"/>
          <w:sz w:val="32"/>
          <w:szCs w:val="32"/>
          <w:lang w:eastAsia="zh-CN"/>
        </w:rPr>
        <w:t xml:space="preserve"> 支出决算为</w:t>
      </w:r>
      <w:r>
        <w:rPr>
          <w:rFonts w:hint="eastAsia" w:ascii="仿宋_GB2312" w:hAnsi="仿宋" w:eastAsia="仿宋_GB2312"/>
          <w:sz w:val="32"/>
          <w:szCs w:val="32"/>
          <w:lang w:val="en-US" w:eastAsia="zh-CN"/>
        </w:rPr>
        <w:t>8.7</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w:t>
      </w:r>
    </w:p>
    <w:p>
      <w:pPr>
        <w:spacing w:line="600" w:lineRule="exact"/>
        <w:ind w:firstLine="643" w:firstLineChars="200"/>
        <w:rPr>
          <w:rFonts w:ascii="仿宋" w:hAnsi="仿宋" w:eastAsia="仿宋"/>
          <w:b/>
          <w:color w:val="000000"/>
          <w:sz w:val="32"/>
          <w:szCs w:val="32"/>
        </w:rPr>
      </w:pPr>
      <w:r>
        <w:rPr>
          <w:rStyle w:val="15"/>
          <w:rFonts w:hint="eastAsia" w:ascii="仿宋" w:hAnsi="仿宋" w:eastAsia="仿宋"/>
          <w:bCs/>
          <w:color w:val="000000"/>
          <w:sz w:val="32"/>
          <w:szCs w:val="32"/>
          <w:lang w:val="en-US" w:eastAsia="zh-CN"/>
        </w:rPr>
        <w:t>6</w:t>
      </w:r>
      <w:r>
        <w:rPr>
          <w:rStyle w:val="15"/>
          <w:rFonts w:ascii="仿宋" w:hAnsi="仿宋" w:eastAsia="仿宋"/>
          <w:bCs/>
          <w:color w:val="000000"/>
          <w:sz w:val="32"/>
          <w:szCs w:val="32"/>
        </w:rPr>
        <w:t>.</w:t>
      </w:r>
      <w:r>
        <w:rPr>
          <w:rStyle w:val="15"/>
          <w:rFonts w:hint="eastAsia" w:ascii="仿宋" w:hAnsi="仿宋" w:eastAsia="仿宋"/>
          <w:bCs/>
          <w:color w:val="000000"/>
          <w:sz w:val="32"/>
          <w:szCs w:val="32"/>
        </w:rPr>
        <w:t>住房保障支出（类）住房</w:t>
      </w:r>
      <w:r>
        <w:rPr>
          <w:rStyle w:val="15"/>
          <w:rFonts w:hint="eastAsia" w:ascii="仿宋" w:hAnsi="仿宋" w:eastAsia="仿宋"/>
          <w:bCs/>
          <w:color w:val="000000"/>
          <w:sz w:val="32"/>
          <w:szCs w:val="32"/>
          <w:lang w:eastAsia="zh-CN"/>
        </w:rPr>
        <w:t>改革</w:t>
      </w:r>
      <w:r>
        <w:rPr>
          <w:rStyle w:val="15"/>
          <w:rFonts w:hint="eastAsia" w:ascii="仿宋" w:hAnsi="仿宋" w:eastAsia="仿宋"/>
          <w:bCs/>
          <w:color w:val="000000"/>
          <w:sz w:val="32"/>
          <w:szCs w:val="32"/>
        </w:rPr>
        <w:t>支出（款）</w:t>
      </w:r>
      <w:r>
        <w:rPr>
          <w:rStyle w:val="15"/>
          <w:rFonts w:hint="eastAsia" w:ascii="仿宋" w:hAnsi="仿宋" w:eastAsia="仿宋"/>
          <w:bCs/>
          <w:color w:val="000000"/>
          <w:sz w:val="32"/>
          <w:szCs w:val="32"/>
          <w:lang w:eastAsia="zh-CN"/>
        </w:rPr>
        <w:t>住房公积金</w:t>
      </w:r>
      <w:r>
        <w:rPr>
          <w:rStyle w:val="15"/>
          <w:rFonts w:hint="eastAsia" w:ascii="仿宋" w:hAnsi="仿宋" w:eastAsia="仿宋"/>
          <w:bCs/>
          <w:color w:val="000000"/>
          <w:sz w:val="32"/>
          <w:szCs w:val="32"/>
        </w:rPr>
        <w:t>（项）</w:t>
      </w:r>
      <w:r>
        <w:rPr>
          <w:rStyle w:val="15"/>
          <w:rFonts w:ascii="仿宋" w:hAnsi="仿宋" w:eastAsia="仿宋"/>
          <w:bCs/>
          <w:color w:val="000000"/>
          <w:sz w:val="32"/>
          <w:szCs w:val="32"/>
        </w:rPr>
        <w:t>:</w:t>
      </w:r>
      <w:r>
        <w:rPr>
          <w:rStyle w:val="15"/>
          <w:rFonts w:ascii="仿宋" w:hAnsi="仿宋" w:eastAsia="仿宋"/>
          <w:b w:val="0"/>
          <w:bCs/>
          <w:color w:val="000000"/>
          <w:sz w:val="32"/>
          <w:szCs w:val="32"/>
        </w:rPr>
        <w:t xml:space="preserve"> </w:t>
      </w:r>
      <w:r>
        <w:rPr>
          <w:rFonts w:hint="eastAsia" w:ascii="方正仿宋_GBK" w:hAnsi="方正仿宋_GBK" w:eastAsia="方正仿宋_GBK" w:cs="方正仿宋_GBK"/>
          <w:i w:val="0"/>
          <w:color w:val="333333"/>
          <w:kern w:val="0"/>
          <w:sz w:val="32"/>
          <w:szCs w:val="32"/>
          <w:lang w:val="en-US" w:eastAsia="zh-CN" w:bidi="ar"/>
        </w:rPr>
        <w:t>支出决算为10.82万元，完成预算100%。</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（数据来源财决08表，罗列全部功能分类科目至项级。上述“预算”口径为调整预算数。增减变动原因为决算数&lt;项级&gt;和调整预算数&lt;项级&gt;比较，与预算数持平可以不写原因。）</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26"/>
        </w:rPr>
      </w:pPr>
      <w:bookmarkStart w:id="40" w:name="_Toc15377214"/>
      <w:bookmarkStart w:id="4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6"/>
          <w:rFonts w:hint="eastAsia" w:ascii="黑体" w:hAnsi="黑体" w:eastAsia="黑体"/>
          <w:b w:val="0"/>
        </w:rPr>
        <w:t>般公共预算财政拨款基本支出决算情况说明</w:t>
      </w:r>
      <w:bookmarkEnd w:id="40"/>
      <w:bookmarkEnd w:id="41"/>
      <w:r>
        <w:rPr>
          <w:rStyle w:val="26"/>
          <w:rFonts w:ascii="黑体" w:hAnsi="黑体" w:eastAsia="黑体"/>
          <w:b w:val="0"/>
        </w:rPr>
        <w:tab/>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2018年一般公共预算财政拨款基本支出</w:t>
      </w:r>
      <w:r>
        <w:rPr>
          <w:rFonts w:hint="eastAsia" w:ascii="仿宋_GB2312" w:hAnsi="仿宋" w:eastAsia="仿宋_GB2312"/>
          <w:sz w:val="32"/>
          <w:szCs w:val="32"/>
          <w:lang w:val="en-US" w:eastAsia="zh-CN"/>
        </w:rPr>
        <w:t>210.92</w:t>
      </w:r>
      <w:r>
        <w:rPr>
          <w:rFonts w:hint="eastAsia" w:ascii="仿宋_GB2312" w:hAnsi="仿宋" w:eastAsia="仿宋_GB2312"/>
          <w:sz w:val="32"/>
          <w:szCs w:val="32"/>
          <w:lang w:eastAsia="zh-CN"/>
        </w:rPr>
        <w:t>万元，其中：</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人员经费</w:t>
      </w:r>
      <w:r>
        <w:rPr>
          <w:rFonts w:hint="eastAsia" w:ascii="仿宋_GB2312" w:hAnsi="仿宋" w:eastAsia="仿宋_GB2312"/>
          <w:sz w:val="32"/>
          <w:szCs w:val="32"/>
          <w:lang w:val="en-US" w:eastAsia="zh-CN"/>
        </w:rPr>
        <w:t>150.85</w:t>
      </w:r>
      <w:r>
        <w:rPr>
          <w:rFonts w:hint="eastAsia" w:ascii="仿宋_GB2312" w:hAnsi="仿宋" w:eastAsia="仿宋_GB2312"/>
          <w:sz w:val="32"/>
          <w:szCs w:val="32"/>
          <w:lang w:eastAsia="zh-CN"/>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hint="eastAsia" w:ascii="仿宋_GB2312" w:hAnsi="仿宋" w:eastAsia="仿宋_GB2312"/>
          <w:sz w:val="32"/>
          <w:szCs w:val="32"/>
          <w:lang w:eastAsia="zh-CN"/>
        </w:rPr>
        <w:br w:type="textWrapping"/>
      </w:r>
      <w:r>
        <w:rPr>
          <w:rFonts w:hint="eastAsia" w:ascii="仿宋_GB2312" w:hAnsi="仿宋" w:eastAsia="仿宋_GB2312"/>
          <w:sz w:val="32"/>
          <w:szCs w:val="32"/>
          <w:lang w:eastAsia="zh-CN"/>
        </w:rPr>
        <w:t>　　公用经费</w:t>
      </w:r>
      <w:r>
        <w:rPr>
          <w:rFonts w:hint="eastAsia" w:ascii="仿宋_GB2312" w:hAnsi="仿宋" w:eastAsia="仿宋_GB2312"/>
          <w:sz w:val="32"/>
          <w:szCs w:val="32"/>
          <w:lang w:val="en-US" w:eastAsia="zh-CN"/>
        </w:rPr>
        <w:t>60.7</w:t>
      </w:r>
      <w:r>
        <w:rPr>
          <w:rFonts w:hint="eastAsia" w:ascii="仿宋_GB2312" w:hAnsi="仿宋" w:eastAsia="仿宋_GB2312"/>
          <w:sz w:val="32"/>
          <w:szCs w:val="32"/>
          <w:lang w:eastAsia="zh-CN"/>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（数据来源财决07表，根据本部门实际支出情况罗列全部经济分类科目。）</w:t>
      </w:r>
    </w:p>
    <w:p>
      <w:pPr>
        <w:spacing w:line="600" w:lineRule="exact"/>
        <w:ind w:firstLine="640"/>
        <w:rPr>
          <w:rFonts w:ascii="仿宋" w:hAnsi="仿宋" w:eastAsia="仿宋"/>
          <w:b/>
          <w:color w:val="FF0000"/>
          <w:sz w:val="32"/>
          <w:szCs w:val="32"/>
        </w:rPr>
      </w:pPr>
    </w:p>
    <w:p>
      <w:pPr>
        <w:spacing w:line="600" w:lineRule="exact"/>
        <w:ind w:firstLine="640"/>
        <w:outlineLvl w:val="1"/>
        <w:rPr>
          <w:rStyle w:val="26"/>
          <w:rFonts w:ascii="黑体" w:hAnsi="黑体" w:eastAsia="黑体"/>
          <w:b w:val="0"/>
        </w:rPr>
      </w:pPr>
      <w:bookmarkStart w:id="42" w:name="_Toc15377215"/>
      <w:bookmarkStart w:id="43" w:name="_Toc15396609"/>
      <w:r>
        <w:rPr>
          <w:rFonts w:hint="eastAsia" w:ascii="黑体" w:eastAsia="黑体"/>
          <w:color w:val="000000"/>
          <w:sz w:val="32"/>
          <w:szCs w:val="32"/>
        </w:rPr>
        <w:t>七、</w:t>
      </w:r>
      <w:r>
        <w:rPr>
          <w:rStyle w:val="26"/>
          <w:rFonts w:hint="eastAsia" w:ascii="黑体" w:hAnsi="黑体" w:eastAsia="黑体"/>
        </w:rPr>
        <w:t>“</w:t>
      </w:r>
      <w:r>
        <w:rPr>
          <w:rStyle w:val="26"/>
          <w:rFonts w:hint="eastAsia" w:ascii="黑体" w:hAnsi="黑体" w:eastAsia="黑体"/>
          <w:b w:val="0"/>
        </w:rPr>
        <w:t>三公”经费财政拨款支出决算情况说明</w:t>
      </w:r>
      <w:bookmarkEnd w:id="42"/>
      <w:bookmarkEnd w:id="43"/>
    </w:p>
    <w:p>
      <w:pPr>
        <w:spacing w:line="600" w:lineRule="exact"/>
        <w:ind w:firstLine="640"/>
        <w:outlineLvl w:val="2"/>
        <w:rPr>
          <w:rFonts w:ascii="仿宋" w:hAnsi="仿宋" w:eastAsia="仿宋"/>
          <w:b/>
          <w:color w:val="000000"/>
          <w:sz w:val="32"/>
          <w:szCs w:val="32"/>
        </w:rPr>
      </w:pPr>
      <w:bookmarkStart w:id="44" w:name="_Toc15377216"/>
      <w:r>
        <w:rPr>
          <w:rFonts w:hint="eastAsia" w:ascii="仿宋" w:hAnsi="仿宋" w:eastAsia="仿宋"/>
          <w:b/>
          <w:color w:val="000000"/>
          <w:sz w:val="32"/>
          <w:szCs w:val="32"/>
        </w:rPr>
        <w:t>（一）“三公”经费财政拨款支出决算总体情况说明</w:t>
      </w:r>
      <w:bookmarkEnd w:id="44"/>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2018年“三公”经费财政拨款支出决算为</w:t>
      </w:r>
      <w:r>
        <w:rPr>
          <w:rFonts w:hint="eastAsia" w:ascii="仿宋_GB2312" w:hAnsi="仿宋" w:eastAsia="仿宋_GB2312"/>
          <w:sz w:val="32"/>
          <w:szCs w:val="32"/>
          <w:lang w:val="en-US" w:eastAsia="zh-CN"/>
        </w:rPr>
        <w:t>0.22</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15.7</w:t>
      </w:r>
      <w:r>
        <w:rPr>
          <w:rFonts w:hint="eastAsia" w:ascii="仿宋_GB2312" w:hAnsi="仿宋" w:eastAsia="仿宋_GB2312"/>
          <w:sz w:val="32"/>
          <w:szCs w:val="32"/>
          <w:lang w:eastAsia="zh-CN"/>
        </w:rPr>
        <w:t>%，决算数小于预算数的主要原因是严格执行八项规定，节约开支。</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（上述“预算”口径为调整预算数，包括政府性基金支出决算情况。）</w:t>
      </w:r>
    </w:p>
    <w:p>
      <w:pPr>
        <w:spacing w:line="600" w:lineRule="exact"/>
        <w:ind w:firstLine="640"/>
        <w:outlineLvl w:val="2"/>
        <w:rPr>
          <w:rFonts w:ascii="仿宋" w:hAnsi="仿宋" w:eastAsia="仿宋"/>
          <w:b/>
          <w:color w:val="000000"/>
          <w:sz w:val="32"/>
          <w:szCs w:val="32"/>
        </w:rPr>
      </w:pPr>
      <w:bookmarkStart w:id="45" w:name="_Toc15377217"/>
      <w:r>
        <w:rPr>
          <w:rFonts w:hint="eastAsia" w:ascii="仿宋" w:hAnsi="仿宋" w:eastAsia="仿宋"/>
          <w:b/>
          <w:color w:val="000000"/>
          <w:sz w:val="32"/>
          <w:szCs w:val="32"/>
        </w:rPr>
        <w:t>（二）“三公”经费财政拨款支出决算具体情况说明</w:t>
      </w:r>
      <w:bookmarkEnd w:id="45"/>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2018年“三公”经费财政拨款支出决算中，因公出国（境）费支出决算</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%；公务用车购置及运行维护费支出决算</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%；公务接待费支出决算</w:t>
      </w:r>
      <w:r>
        <w:rPr>
          <w:rFonts w:hint="eastAsia" w:ascii="仿宋_GB2312" w:hAnsi="仿宋" w:eastAsia="仿宋_GB2312"/>
          <w:sz w:val="32"/>
          <w:szCs w:val="32"/>
          <w:lang w:val="en-US" w:eastAsia="zh-CN"/>
        </w:rPr>
        <w:t>0.22</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%。具体情况如下：</w:t>
      </w: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r>
        <w:drawing>
          <wp:anchor distT="0" distB="0" distL="114300" distR="114300" simplePos="0" relativeHeight="251664384" behindDoc="0" locked="0" layoutInCell="1" allowOverlap="1">
            <wp:simplePos x="0" y="0"/>
            <wp:positionH relativeFrom="column">
              <wp:posOffset>410845</wp:posOffset>
            </wp:positionH>
            <wp:positionV relativeFrom="paragraph">
              <wp:posOffset>-666750</wp:posOffset>
            </wp:positionV>
            <wp:extent cx="4572000" cy="2700020"/>
            <wp:effectExtent l="4445" t="4445" r="14605" b="19685"/>
            <wp:wrapTopAndBottom/>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rPr>
          <w:rFonts w:hint="eastAsia" w:ascii="仿宋_GB2312" w:hAnsi="仿宋" w:eastAsia="仿宋_GB2312"/>
          <w:sz w:val="32"/>
          <w:szCs w:val="32"/>
          <w:lang w:eastAsia="zh-CN"/>
        </w:rPr>
      </w:pPr>
      <w:r>
        <w:rPr>
          <w:rFonts w:hint="eastAsia" w:ascii="仿宋" w:hAnsi="仿宋" w:eastAsia="仿宋"/>
          <w:color w:val="000000"/>
          <w:sz w:val="32"/>
          <w:szCs w:val="32"/>
        </w:rPr>
        <w:t>（</w:t>
      </w:r>
      <w:r>
        <w:rPr>
          <w:rFonts w:hint="eastAsia" w:ascii="仿宋_GB2312" w:hAnsi="仿宋" w:eastAsia="仿宋_GB2312"/>
          <w:sz w:val="32"/>
          <w:szCs w:val="32"/>
          <w:lang w:eastAsia="zh-CN"/>
        </w:rPr>
        <w:t>图8：“三公”经费财政拨款支出结构）（饼状图）</w:t>
      </w:r>
    </w:p>
    <w:p>
      <w:pPr>
        <w:numPr>
          <w:ilvl w:val="0"/>
          <w:numId w:val="3"/>
        </w:numPr>
        <w:spacing w:line="600" w:lineRule="exact"/>
        <w:ind w:firstLine="640"/>
        <w:rPr>
          <w:rFonts w:hint="eastAsia" w:ascii="仿宋_GB2312" w:eastAsia="仿宋_GB2312"/>
          <w:color w:val="000000"/>
          <w:sz w:val="32"/>
          <w:szCs w:val="32"/>
        </w:rPr>
      </w:pP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hint="default" w:ascii="仿宋_GB2312" w:eastAsia="仿宋_GB2312"/>
          <w:b/>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由于公车改革，今年已没有公车开支。</w:t>
      </w:r>
    </w:p>
    <w:p>
      <w:pPr>
        <w:spacing w:line="600" w:lineRule="exact"/>
        <w:ind w:firstLine="640"/>
        <w:rPr>
          <w:rFonts w:hint="eastAsia" w:ascii="仿宋_GB2312" w:hAnsi="仿宋" w:eastAsia="仿宋_GB2312"/>
          <w:sz w:val="32"/>
          <w:szCs w:val="32"/>
          <w:lang w:eastAsia="zh-CN"/>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0.22</w:t>
      </w:r>
      <w:r>
        <w:rPr>
          <w:rFonts w:hint="eastAsia" w:ascii="仿宋_GB2312" w:hAnsi="仿宋" w:eastAsia="仿宋_GB2312"/>
          <w:sz w:val="32"/>
          <w:szCs w:val="32"/>
          <w:lang w:eastAsia="zh-CN"/>
        </w:rPr>
        <w:t>万元，完成预算</w:t>
      </w:r>
      <w:r>
        <w:rPr>
          <w:rFonts w:hint="eastAsia" w:ascii="仿宋_GB2312" w:hAnsi="仿宋" w:eastAsia="仿宋_GB2312"/>
          <w:sz w:val="32"/>
          <w:szCs w:val="32"/>
          <w:lang w:val="en-US" w:eastAsia="zh-CN"/>
        </w:rPr>
        <w:t>15.7</w:t>
      </w:r>
      <w:r>
        <w:rPr>
          <w:rFonts w:hint="eastAsia" w:ascii="仿宋_GB2312" w:hAnsi="仿宋" w:eastAsia="仿宋_GB2312"/>
          <w:sz w:val="32"/>
          <w:szCs w:val="32"/>
          <w:lang w:eastAsia="zh-CN"/>
        </w:rPr>
        <w:t>%。公务接待费支出决算比2017年减少</w:t>
      </w:r>
      <w:r>
        <w:rPr>
          <w:rFonts w:hint="eastAsia" w:ascii="仿宋_GB2312" w:hAnsi="仿宋" w:eastAsia="仿宋_GB2312"/>
          <w:sz w:val="32"/>
          <w:szCs w:val="32"/>
          <w:lang w:val="en-US" w:eastAsia="zh-CN"/>
        </w:rPr>
        <w:t>0.64</w:t>
      </w:r>
      <w:r>
        <w:rPr>
          <w:rFonts w:hint="eastAsia" w:ascii="仿宋_GB2312" w:hAnsi="仿宋" w:eastAsia="仿宋_GB2312"/>
          <w:sz w:val="32"/>
          <w:szCs w:val="32"/>
          <w:lang w:eastAsia="zh-CN"/>
        </w:rPr>
        <w:t>万元，下降</w:t>
      </w:r>
      <w:r>
        <w:rPr>
          <w:rFonts w:hint="eastAsia" w:ascii="仿宋_GB2312" w:hAnsi="仿宋" w:eastAsia="仿宋_GB2312"/>
          <w:sz w:val="32"/>
          <w:szCs w:val="32"/>
          <w:lang w:val="en-US" w:eastAsia="zh-CN"/>
        </w:rPr>
        <w:t>74.4</w:t>
      </w:r>
      <w:r>
        <w:rPr>
          <w:rFonts w:hint="eastAsia" w:ascii="仿宋_GB2312" w:hAnsi="仿宋" w:eastAsia="仿宋_GB2312"/>
          <w:sz w:val="32"/>
          <w:szCs w:val="32"/>
          <w:lang w:eastAsia="zh-CN"/>
        </w:rPr>
        <w:t>%。主要原因是严格执行八项规定，节约开支。</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主要用于执行公务、开展业务活动开支的交通费、住宿费、用餐费等。国内公务接待</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35</w:t>
      </w:r>
      <w:r>
        <w:rPr>
          <w:rFonts w:hint="eastAsia" w:ascii="仿宋_GB2312" w:eastAsia="仿宋_GB2312"/>
          <w:color w:val="000000"/>
          <w:sz w:val="32"/>
          <w:szCs w:val="32"/>
        </w:rPr>
        <w:t>人次（不包括陪同人员），共计支出</w:t>
      </w:r>
      <w:r>
        <w:rPr>
          <w:rFonts w:hint="eastAsia" w:ascii="仿宋_GB2312" w:eastAsia="仿宋_GB2312"/>
          <w:color w:val="000000"/>
          <w:sz w:val="32"/>
          <w:szCs w:val="32"/>
          <w:lang w:val="en-US" w:eastAsia="zh-CN"/>
        </w:rPr>
        <w:t>0.22</w:t>
      </w:r>
      <w:r>
        <w:rPr>
          <w:rFonts w:hint="eastAsia" w:ascii="仿宋_GB2312" w:eastAsia="仿宋_GB2312"/>
          <w:color w:val="000000"/>
          <w:sz w:val="32"/>
          <w:szCs w:val="32"/>
        </w:rPr>
        <w:t>万元，具体内容包括：</w:t>
      </w:r>
      <w:r>
        <w:rPr>
          <w:rFonts w:hint="eastAsia" w:ascii="仿宋_GB2312" w:eastAsia="仿宋_GB2312"/>
          <w:color w:val="000000"/>
          <w:sz w:val="32"/>
          <w:szCs w:val="32"/>
          <w:lang w:eastAsia="zh-CN"/>
        </w:rPr>
        <w:t>市信访局来渠县督查信访工作</w:t>
      </w:r>
      <w:r>
        <w:rPr>
          <w:rFonts w:hint="eastAsia" w:ascii="仿宋_GB2312" w:eastAsia="仿宋_GB2312"/>
          <w:color w:val="000000"/>
          <w:sz w:val="32"/>
          <w:szCs w:val="32"/>
          <w:lang w:val="en-US" w:eastAsia="zh-CN"/>
        </w:rPr>
        <w:t>3次，支出0.14万元，信访工作交流接待开支1次支出0.08万元</w:t>
      </w:r>
      <w:r>
        <w:rPr>
          <w:rFonts w:hint="eastAsia" w:ascii="仿宋_GB2312" w:eastAsia="仿宋_GB2312"/>
          <w:color w:val="000000"/>
          <w:sz w:val="32"/>
          <w:szCs w:val="32"/>
        </w:rPr>
        <w:t>。其中：</w:t>
      </w:r>
    </w:p>
    <w:p>
      <w:pPr>
        <w:spacing w:line="600" w:lineRule="exact"/>
        <w:ind w:firstLine="643"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 w:hAnsi="仿宋" w:eastAsia="仿宋"/>
          <w:b/>
          <w:color w:val="000000"/>
          <w:sz w:val="32"/>
          <w:szCs w:val="32"/>
        </w:rPr>
        <w:t>外事接待支出</w:t>
      </w:r>
      <w:r>
        <w:rPr>
          <w:rFonts w:hint="eastAsia" w:ascii="仿宋_GB2312" w:eastAsia="仿宋_GB2312"/>
          <w:color w:val="000000"/>
          <w:sz w:val="32"/>
          <w:szCs w:val="32"/>
          <w:lang w:val="en-US" w:eastAsia="zh-CN"/>
        </w:rPr>
        <w:t>0万元。</w:t>
      </w:r>
    </w:p>
    <w:p>
      <w:pPr>
        <w:spacing w:line="600" w:lineRule="exact"/>
        <w:ind w:firstLine="640"/>
        <w:rPr>
          <w:rFonts w:hint="eastAsia" w:ascii="黑体" w:eastAsia="黑体"/>
          <w:color w:val="000000"/>
          <w:sz w:val="32"/>
          <w:szCs w:val="32"/>
        </w:rPr>
      </w:pPr>
      <w:r>
        <w:rPr>
          <w:rFonts w:hint="eastAsia" w:ascii="仿宋" w:hAnsi="仿宋" w:eastAsia="仿宋"/>
          <w:b/>
          <w:color w:val="000000"/>
          <w:sz w:val="32"/>
          <w:szCs w:val="32"/>
        </w:rPr>
        <w:t>其他国内公务接待支出</w:t>
      </w:r>
      <w:r>
        <w:rPr>
          <w:rFonts w:hint="eastAsia" w:ascii="仿宋_GB2312" w:eastAsia="仿宋_GB2312"/>
          <w:color w:val="000000"/>
          <w:sz w:val="32"/>
          <w:szCs w:val="32"/>
          <w:lang w:val="en-US" w:eastAsia="zh-CN"/>
        </w:rPr>
        <w:t>0.22万元，主要用于市信访局来渠县信访督查工作接待开支和信访交流工作接待开支。</w:t>
      </w:r>
      <w:bookmarkStart w:id="46" w:name="_Toc15377218"/>
      <w:bookmarkStart w:id="47" w:name="_Toc15396610"/>
    </w:p>
    <w:p>
      <w:pPr>
        <w:spacing w:line="600" w:lineRule="exact"/>
        <w:ind w:firstLine="640"/>
        <w:outlineLvl w:val="1"/>
        <w:rPr>
          <w:rStyle w:val="26"/>
          <w:rFonts w:ascii="黑体" w:hAnsi="黑体" w:eastAsia="黑体"/>
        </w:rPr>
      </w:pPr>
      <w:r>
        <w:rPr>
          <w:rFonts w:hint="eastAsia" w:ascii="黑体" w:eastAsia="黑体"/>
          <w:color w:val="000000"/>
          <w:sz w:val="32"/>
          <w:szCs w:val="32"/>
        </w:rPr>
        <w:t>八、</w:t>
      </w:r>
      <w:r>
        <w:rPr>
          <w:rStyle w:val="26"/>
          <w:rFonts w:hint="eastAsia" w:ascii="黑体" w:hAnsi="黑体" w:eastAsia="黑体"/>
          <w:b w:val="0"/>
        </w:rPr>
        <w:t>政府性基金预算支出决算情况说明</w:t>
      </w:r>
      <w:bookmarkEnd w:id="46"/>
      <w:bookmarkEnd w:id="4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8年政府性基金预算拨款支出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numPr>
          <w:ilvl w:val="0"/>
          <w:numId w:val="4"/>
        </w:numPr>
        <w:spacing w:line="600" w:lineRule="exact"/>
        <w:ind w:firstLine="640"/>
        <w:outlineLvl w:val="1"/>
        <w:rPr>
          <w:rStyle w:val="26"/>
          <w:rFonts w:ascii="黑体" w:hAnsi="黑体" w:eastAsia="黑体"/>
          <w:b w:val="0"/>
        </w:rPr>
      </w:pPr>
      <w:bookmarkStart w:id="73" w:name="_GoBack"/>
      <w:bookmarkEnd w:id="73"/>
      <w:bookmarkStart w:id="48" w:name="_Toc15377219"/>
      <w:bookmarkStart w:id="49" w:name="_Toc15396611"/>
      <w:r>
        <w:rPr>
          <w:rStyle w:val="26"/>
          <w:rFonts w:hint="eastAsia" w:ascii="黑体" w:hAnsi="黑体" w:eastAsia="黑体"/>
          <w:b w:val="0"/>
        </w:rPr>
        <w:t>国有资本经营预算支出决算情况说明</w:t>
      </w:r>
      <w:bookmarkEnd w:id="48"/>
      <w:bookmarkEnd w:id="4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8年国有资本经营预算拨款支出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Style w:val="24"/>
        <w:numPr>
          <w:ilvl w:val="0"/>
          <w:numId w:val="5"/>
        </w:numPr>
        <w:spacing w:line="580" w:lineRule="exact"/>
        <w:ind w:firstLineChars="0"/>
        <w:rPr>
          <w:rStyle w:val="26"/>
          <w:rFonts w:ascii="黑体" w:hAnsi="黑体" w:eastAsia="黑体"/>
          <w:b w:val="0"/>
        </w:rPr>
      </w:pPr>
      <w:r>
        <w:rPr>
          <w:rStyle w:val="26"/>
          <w:rFonts w:hint="eastAsia" w:ascii="黑体" w:hAnsi="黑体" w:eastAsia="黑体"/>
          <w:b w:val="0"/>
        </w:rPr>
        <w:t>预算绩效情况说明</w:t>
      </w:r>
    </w:p>
    <w:p>
      <w:pPr>
        <w:numPr>
          <w:ilvl w:val="0"/>
          <w:numId w:val="6"/>
        </w:numPr>
        <w:spacing w:line="580" w:lineRule="exact"/>
        <w:ind w:firstLine="643" w:firstLineChars="200"/>
        <w:rPr>
          <w:rFonts w:ascii="仿宋" w:hAnsi="仿宋" w:eastAsia="仿宋" w:cs="楷体_GB2312"/>
          <w:b/>
          <w:bCs/>
          <w:sz w:val="32"/>
          <w:szCs w:val="32"/>
        </w:rPr>
      </w:pPr>
      <w:r>
        <w:rPr>
          <w:rFonts w:hint="eastAsia" w:ascii="仿宋" w:hAnsi="仿宋" w:eastAsia="仿宋" w:cs="楷体_GB2312"/>
          <w:b/>
          <w:bCs/>
          <w:sz w:val="32"/>
          <w:szCs w:val="32"/>
        </w:rPr>
        <w:t>预算绩效管理工作开展情况。</w:t>
      </w:r>
    </w:p>
    <w:p>
      <w:pPr>
        <w:spacing w:line="580" w:lineRule="exact"/>
        <w:ind w:firstLine="640" w:firstLineChars="200"/>
        <w:rPr>
          <w:rFonts w:hint="eastAsia" w:ascii="仿宋_GB2312" w:hAnsi="仿宋_GB2312" w:eastAsia="方正仿宋_GBK" w:cs="仿宋_GB2312"/>
          <w:sz w:val="32"/>
          <w:szCs w:val="32"/>
          <w:lang w:eastAsia="zh-CN"/>
        </w:rPr>
      </w:pPr>
      <w:r>
        <w:rPr>
          <w:rFonts w:hint="eastAsia" w:ascii="仿宋_GB2312" w:hAnsi="仿宋_GB2312" w:eastAsia="仿宋_GB2312" w:cs="仿宋_GB2312"/>
          <w:sz w:val="32"/>
          <w:szCs w:val="32"/>
        </w:rPr>
        <w:t>根据预算绩效管理要求，本部门（单位）在年初预算编制阶段，组织</w:t>
      </w:r>
      <w:r>
        <w:rPr>
          <w:rFonts w:hint="eastAsia" w:ascii="仿宋_GB2312" w:hAnsi="仿宋_GB2312" w:eastAsia="仿宋_GB2312" w:cs="仿宋_GB2312"/>
          <w:color w:val="auto"/>
          <w:sz w:val="32"/>
          <w:szCs w:val="32"/>
        </w:rPr>
        <w:t>对本</w:t>
      </w:r>
      <w:r>
        <w:rPr>
          <w:rFonts w:hint="eastAsia" w:ascii="仿宋_GB2312" w:hAnsi="仿宋_GB2312" w:eastAsia="仿宋_GB2312" w:cs="仿宋_GB2312"/>
          <w:sz w:val="32"/>
          <w:szCs w:val="32"/>
        </w:rPr>
        <w:t>部门按要求对2018年部门整体支出开展绩效自评，从评价情况来看</w:t>
      </w:r>
      <w:r>
        <w:rPr>
          <w:rFonts w:hint="default" w:ascii="仿宋_GB2312" w:hAnsi="仿宋_GB2312" w:eastAsia="仿宋_GB2312" w:cs="仿宋_GB2312"/>
          <w:sz w:val="32"/>
          <w:szCs w:val="32"/>
        </w:rPr>
        <w:t>保障</w:t>
      </w:r>
      <w:r>
        <w:rPr>
          <w:rFonts w:hint="eastAsia" w:ascii="仿宋_GB2312" w:hAnsi="仿宋_GB2312" w:eastAsia="仿宋_GB2312" w:cs="仿宋_GB2312"/>
          <w:sz w:val="32"/>
          <w:szCs w:val="32"/>
          <w:lang w:eastAsia="zh-CN"/>
        </w:rPr>
        <w:t>了</w:t>
      </w:r>
      <w:r>
        <w:rPr>
          <w:rFonts w:hint="default" w:ascii="仿宋_GB2312" w:hAnsi="仿宋_GB2312" w:eastAsia="仿宋_GB2312" w:cs="仿宋_GB2312"/>
          <w:sz w:val="32"/>
          <w:szCs w:val="32"/>
        </w:rPr>
        <w:t>本部门机构正常运转、完成</w:t>
      </w:r>
      <w:r>
        <w:rPr>
          <w:rFonts w:hint="eastAsia" w:ascii="仿宋_GB2312" w:hAnsi="仿宋_GB2312" w:eastAsia="仿宋_GB2312" w:cs="仿宋_GB2312"/>
          <w:sz w:val="32"/>
          <w:szCs w:val="32"/>
          <w:lang w:eastAsia="zh-CN"/>
        </w:rPr>
        <w:t>了</w:t>
      </w:r>
      <w:r>
        <w:rPr>
          <w:rFonts w:hint="default" w:ascii="仿宋_GB2312" w:hAnsi="仿宋_GB2312" w:eastAsia="仿宋_GB2312" w:cs="仿宋_GB2312"/>
          <w:sz w:val="32"/>
          <w:szCs w:val="32"/>
        </w:rPr>
        <w:t>日常工作任务等相关工作。包括基本工资、津贴补贴等人员经费以及办公费、印刷费、水电费等日常公用经费</w:t>
      </w:r>
      <w:r>
        <w:rPr>
          <w:rFonts w:hint="eastAsia" w:ascii="仿宋_GB2312" w:hAnsi="仿宋_GB2312" w:eastAsia="仿宋_GB2312" w:cs="仿宋_GB2312"/>
          <w:sz w:val="32"/>
          <w:szCs w:val="32"/>
          <w:lang w:eastAsia="zh-CN"/>
        </w:rPr>
        <w:t>，共计经费开支</w:t>
      </w:r>
      <w:r>
        <w:rPr>
          <w:rFonts w:hint="eastAsia" w:ascii="仿宋_GB2312" w:hAnsi="仿宋_GB2312" w:eastAsia="仿宋_GB2312" w:cs="仿宋_GB2312"/>
          <w:sz w:val="32"/>
          <w:szCs w:val="32"/>
          <w:lang w:val="en-US" w:eastAsia="zh-CN"/>
        </w:rPr>
        <w:t>300.92万元</w:t>
      </w:r>
      <w:r>
        <w:rPr>
          <w:rFonts w:hint="eastAsia" w:ascii="仿宋_GB2312" w:hAnsi="仿宋_GB2312" w:eastAsia="仿宋_GB2312" w:cs="仿宋_GB2312"/>
          <w:sz w:val="32"/>
          <w:szCs w:val="32"/>
        </w:rPr>
        <w:t>。从评价情况来看</w:t>
      </w:r>
      <w:r>
        <w:rPr>
          <w:rFonts w:hint="eastAsia" w:ascii="方正仿宋_GBK" w:hAnsi="方正仿宋_GBK" w:eastAsia="方正仿宋_GBK" w:cs="方正仿宋_GBK"/>
          <w:i w:val="0"/>
          <w:color w:val="000000"/>
          <w:sz w:val="32"/>
          <w:szCs w:val="32"/>
          <w:shd w:val="clear" w:color="auto" w:fill="FFFFFF"/>
        </w:rPr>
        <w:t>处理</w:t>
      </w:r>
      <w:r>
        <w:rPr>
          <w:rFonts w:hint="eastAsia" w:ascii="方正仿宋_GBK" w:hAnsi="方正仿宋_GBK" w:eastAsia="方正仿宋_GBK" w:cs="方正仿宋_GBK"/>
          <w:i w:val="0"/>
          <w:color w:val="000000"/>
          <w:sz w:val="32"/>
          <w:szCs w:val="32"/>
          <w:shd w:val="clear" w:color="auto" w:fill="FFFFFF"/>
          <w:lang w:eastAsia="zh-CN"/>
        </w:rPr>
        <w:t>了</w:t>
      </w:r>
      <w:r>
        <w:rPr>
          <w:rFonts w:hint="eastAsia" w:ascii="方正仿宋_GBK" w:hAnsi="方正仿宋_GBK" w:eastAsia="方正仿宋_GBK" w:cs="方正仿宋_GBK"/>
          <w:i w:val="0"/>
          <w:color w:val="000000"/>
          <w:sz w:val="32"/>
          <w:szCs w:val="32"/>
          <w:shd w:val="clear" w:color="auto" w:fill="FFFFFF"/>
        </w:rPr>
        <w:t>全县人民群众给县委、县政府及领导同志的来信，接待群众来访</w:t>
      </w:r>
      <w:r>
        <w:rPr>
          <w:rFonts w:hint="eastAsia" w:ascii="方正仿宋_GBK" w:hAnsi="方正仿宋_GBK" w:eastAsia="方正仿宋_GBK" w:cs="方正仿宋_GBK"/>
          <w:i w:val="0"/>
          <w:color w:val="000000"/>
          <w:sz w:val="32"/>
          <w:szCs w:val="32"/>
          <w:shd w:val="clear" w:color="auto" w:fill="FFFFFF"/>
          <w:lang w:eastAsia="zh-CN"/>
        </w:rPr>
        <w:t>，</w:t>
      </w:r>
      <w:r>
        <w:rPr>
          <w:rFonts w:hint="eastAsia" w:ascii="方正仿宋_GBK" w:hAnsi="方正仿宋_GBK" w:eastAsia="方正仿宋_GBK" w:cs="方正仿宋_GBK"/>
          <w:i w:val="0"/>
          <w:color w:val="000000"/>
          <w:sz w:val="32"/>
          <w:szCs w:val="32"/>
          <w:shd w:val="clear" w:color="auto" w:fill="FFFFFF"/>
        </w:rPr>
        <w:t>承办上级党委、政府和县级领导交办的信访案件，督促检查县委、县政府领导指示和上级交办的信访案件的落实情况，向各地各部门交办信访事项，督促检查重要信访事项的办理和落实情况，将办理情况回报交办机关和领导</w:t>
      </w:r>
      <w:r>
        <w:rPr>
          <w:rFonts w:hint="eastAsia" w:ascii="方正仿宋_GBK" w:hAnsi="方正仿宋_GBK" w:eastAsia="方正仿宋_GBK" w:cs="方正仿宋_GBK"/>
          <w:i w:val="0"/>
          <w:color w:val="000000"/>
          <w:sz w:val="32"/>
          <w:szCs w:val="32"/>
          <w:shd w:val="clear" w:color="auto" w:fill="FFFFFF"/>
          <w:lang w:eastAsia="zh-CN"/>
        </w:rPr>
        <w:t>，</w:t>
      </w:r>
      <w:r>
        <w:rPr>
          <w:rFonts w:hint="eastAsia" w:ascii="方正仿宋_GBK" w:hAnsi="方正仿宋_GBK" w:eastAsia="方正仿宋_GBK" w:cs="方正仿宋_GBK"/>
          <w:i w:val="0"/>
          <w:color w:val="000000"/>
          <w:sz w:val="32"/>
          <w:szCs w:val="32"/>
          <w:shd w:val="clear" w:color="auto" w:fill="FFFFFF"/>
        </w:rPr>
        <w:t>对全县信访和群众工作的指导，建立健全信访和群众工作机构和队伍，培训信访干部</w:t>
      </w:r>
      <w:r>
        <w:rPr>
          <w:rFonts w:hint="eastAsia" w:ascii="方正仿宋_GBK" w:hAnsi="方正仿宋_GBK" w:eastAsia="方正仿宋_GBK" w:cs="方正仿宋_GBK"/>
          <w:i w:val="0"/>
          <w:color w:val="000000"/>
          <w:sz w:val="32"/>
          <w:szCs w:val="32"/>
          <w:shd w:val="clear" w:color="auto" w:fill="FFFFFF"/>
          <w:lang w:eastAsia="zh-CN"/>
        </w:rPr>
        <w:t>。</w:t>
      </w:r>
    </w:p>
    <w:p>
      <w:pPr>
        <w:spacing w:line="600" w:lineRule="exact"/>
        <w:ind w:firstLine="643" w:firstLineChars="200"/>
        <w:rPr>
          <w:rFonts w:hint="eastAsia" w:ascii="仿宋_GB2312" w:hAnsi="仿宋" w:eastAsia="仿宋_GB2312"/>
          <w:sz w:val="32"/>
          <w:szCs w:val="32"/>
          <w:lang w:eastAsia="zh-CN"/>
        </w:rPr>
      </w:pPr>
      <w:r>
        <w:rPr>
          <w:rFonts w:hint="eastAsia" w:ascii="仿宋" w:hAnsi="仿宋" w:eastAsia="仿宋" w:cs="楷体_GB2312"/>
          <w:b/>
          <w:bCs/>
          <w:sz w:val="32"/>
          <w:szCs w:val="32"/>
          <w:lang w:eastAsia="zh-CN"/>
        </w:rPr>
        <w:t>（二）</w:t>
      </w:r>
      <w:r>
        <w:rPr>
          <w:rFonts w:hint="eastAsia" w:ascii="仿宋" w:hAnsi="仿宋" w:eastAsia="仿宋" w:cs="楷体_GB2312"/>
          <w:b/>
          <w:bCs/>
          <w:sz w:val="32"/>
          <w:szCs w:val="32"/>
        </w:rPr>
        <w:t>项目绩效目标完成情况。</w:t>
      </w:r>
      <w:r>
        <w:rPr>
          <w:rFonts w:hint="eastAsia" w:ascii="楷体_GB2312" w:hAnsi="楷体_GB2312" w:eastAsia="楷体_GB2312" w:cs="楷体_GB2312"/>
          <w:b/>
          <w:bCs/>
          <w:sz w:val="32"/>
          <w:szCs w:val="32"/>
        </w:rPr>
        <w:br w:type="textWrapping"/>
      </w:r>
      <w:r>
        <w:rPr>
          <w:rFonts w:hint="eastAsia" w:ascii="仿宋_GB2312" w:hAnsi="仿宋_GB2312" w:eastAsia="仿宋_GB2312" w:cs="仿宋_GB2312"/>
          <w:sz w:val="32"/>
          <w:szCs w:val="32"/>
        </w:rPr>
        <w:t xml:space="preserve">    本</w:t>
      </w:r>
      <w:r>
        <w:rPr>
          <w:rFonts w:hint="eastAsia" w:ascii="仿宋_GB2312" w:hAnsi="仿宋" w:eastAsia="仿宋_GB2312"/>
          <w:sz w:val="32"/>
          <w:szCs w:val="32"/>
          <w:lang w:eastAsia="zh-CN"/>
        </w:rPr>
        <w:t>部门在2018年度部门决算中反映“到京非正常上访人员劝返金工作经费</w:t>
      </w:r>
      <w:r>
        <w:rPr>
          <w:rFonts w:hint="eastAsia" w:ascii="仿宋_GB2312" w:hAnsi="仿宋" w:eastAsia="仿宋_GB2312"/>
          <w:sz w:val="32"/>
          <w:szCs w:val="32"/>
          <w:lang w:eastAsia="zh-CN"/>
        </w:rPr>
        <w:tab/>
      </w:r>
      <w:r>
        <w:rPr>
          <w:rFonts w:hint="eastAsia" w:ascii="仿宋_GB2312" w:hAnsi="仿宋" w:eastAsia="仿宋_GB2312"/>
          <w:sz w:val="32"/>
          <w:szCs w:val="32"/>
          <w:lang w:eastAsia="zh-CN"/>
        </w:rPr>
        <w:t>”“网络信访办公经费</w:t>
      </w:r>
      <w:r>
        <w:rPr>
          <w:rFonts w:hint="eastAsia" w:ascii="仿宋_GB2312" w:hAnsi="仿宋" w:eastAsia="仿宋_GB2312"/>
          <w:sz w:val="32"/>
          <w:szCs w:val="32"/>
          <w:lang w:eastAsia="zh-CN"/>
        </w:rPr>
        <w:tab/>
      </w:r>
      <w:r>
        <w:rPr>
          <w:rFonts w:hint="eastAsia" w:ascii="仿宋_GB2312" w:hAnsi="仿宋" w:eastAsia="仿宋_GB2312"/>
          <w:sz w:val="32"/>
          <w:szCs w:val="32"/>
          <w:lang w:eastAsia="zh-CN"/>
        </w:rPr>
        <w:t>”“渠县群众信访接待中心工作经费”等</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个项目绩效目标实际完成情况。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sz w:val="32"/>
          <w:szCs w:val="32"/>
          <w:lang w:eastAsia="zh-CN"/>
        </w:rPr>
        <w:t>一是到京非正常上访人员劝返金工作经费项目绩效目</w:t>
      </w:r>
      <w:r>
        <w:rPr>
          <w:rFonts w:hint="eastAsia" w:ascii="仿宋_GB2312" w:hAnsi="仿宋_GB2312" w:eastAsia="仿宋_GB2312" w:cs="仿宋_GB2312"/>
          <w:sz w:val="32"/>
          <w:szCs w:val="32"/>
        </w:rPr>
        <w:t>标完成情况综述。项目全年预算数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%。通过项目实施，做好</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每年全国两会期间和重要敏感时期的到京非正常上访人员的劝返工作开支，以及长期在北京值班人员的差旅费等</w:t>
      </w:r>
      <w:r>
        <w:rPr>
          <w:rFonts w:hint="eastAsia" w:ascii="仿宋_GB2312" w:hAnsi="仿宋_GB2312" w:eastAsia="仿宋_GB2312" w:cs="仿宋_GB2312"/>
          <w:sz w:val="32"/>
          <w:szCs w:val="32"/>
          <w:lang w:eastAsia="zh-CN"/>
        </w:rPr>
        <w:t>，维护了北京的正常生活和工作环境。</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二是网络信访办公经费项目绩效目标完成情况综述。项目全年预算数</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万元，执行数为</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万元，完成预算的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%。通过项目实施，保障了全年书记信箱、省长信箱热线的维护、热线办公室的正常运行。</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三是渠县群众信访接待中心工作经费项目绩效目标完成情况综述。项目全年预算数</w:t>
      </w:r>
      <w:r>
        <w:rPr>
          <w:rFonts w:hint="eastAsia" w:ascii="仿宋_GB2312" w:hAnsi="仿宋" w:eastAsia="仿宋_GB2312"/>
          <w:sz w:val="32"/>
          <w:szCs w:val="32"/>
          <w:lang w:val="en-US" w:eastAsia="zh-CN"/>
        </w:rPr>
        <w:t>10</w:t>
      </w:r>
      <w:r>
        <w:rPr>
          <w:rFonts w:hint="eastAsia" w:ascii="仿宋_GB2312" w:hAnsi="仿宋" w:eastAsia="仿宋_GB2312"/>
          <w:sz w:val="32"/>
          <w:szCs w:val="32"/>
          <w:lang w:eastAsia="zh-CN"/>
        </w:rPr>
        <w:t>万元，执行数为</w:t>
      </w:r>
      <w:r>
        <w:rPr>
          <w:rFonts w:hint="eastAsia" w:ascii="仿宋_GB2312" w:hAnsi="仿宋" w:eastAsia="仿宋_GB2312"/>
          <w:sz w:val="32"/>
          <w:szCs w:val="32"/>
          <w:lang w:val="en-US" w:eastAsia="zh-CN"/>
        </w:rPr>
        <w:t>10</w:t>
      </w:r>
      <w:r>
        <w:rPr>
          <w:rFonts w:hint="eastAsia" w:ascii="仿宋_GB2312" w:hAnsi="仿宋" w:eastAsia="仿宋_GB2312"/>
          <w:sz w:val="32"/>
          <w:szCs w:val="32"/>
          <w:lang w:eastAsia="zh-CN"/>
        </w:rPr>
        <w:t>万元，完成预算的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通过项目实施，保障群众信访接待中心的工作经费，专门用于接待中心的各项开支，接待群众来访，保证信访渠道畅通，及时、准确地向县委、县政府有关领导反映群众的来信来访中提出的重要建议、意见和问题。</w:t>
      </w:r>
    </w:p>
    <w:p>
      <w:pPr>
        <w:spacing w:line="60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四是网上信访信息平台运行维护工作经费项目绩效目标完成情况综述。项目全年预算数</w:t>
      </w:r>
      <w:r>
        <w:rPr>
          <w:rFonts w:hint="eastAsia" w:ascii="仿宋_GB2312" w:hAnsi="仿宋" w:eastAsia="仿宋_GB2312"/>
          <w:sz w:val="32"/>
          <w:szCs w:val="32"/>
          <w:lang w:val="en-US" w:eastAsia="zh-CN"/>
        </w:rPr>
        <w:t>17</w:t>
      </w:r>
      <w:r>
        <w:rPr>
          <w:rFonts w:hint="eastAsia" w:ascii="仿宋_GB2312" w:hAnsi="仿宋" w:eastAsia="仿宋_GB2312"/>
          <w:sz w:val="32"/>
          <w:szCs w:val="32"/>
          <w:lang w:eastAsia="zh-CN"/>
        </w:rPr>
        <w:t>万元，执行数为</w:t>
      </w:r>
      <w:r>
        <w:rPr>
          <w:rFonts w:hint="eastAsia" w:ascii="仿宋_GB2312" w:hAnsi="仿宋" w:eastAsia="仿宋_GB2312"/>
          <w:sz w:val="32"/>
          <w:szCs w:val="32"/>
          <w:lang w:val="en-US" w:eastAsia="zh-CN"/>
        </w:rPr>
        <w:t>17</w:t>
      </w:r>
      <w:r>
        <w:rPr>
          <w:rFonts w:hint="eastAsia" w:ascii="仿宋_GB2312" w:hAnsi="仿宋" w:eastAsia="仿宋_GB2312"/>
          <w:sz w:val="32"/>
          <w:szCs w:val="32"/>
          <w:lang w:eastAsia="zh-CN"/>
        </w:rPr>
        <w:t>万元，完成预算的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lang w:eastAsia="zh-CN"/>
        </w:rPr>
        <w:t>%。通过项目实施，保障全年整个网上信访信息平台的正常运行和日常的维护。</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 w:eastAsia="仿宋_GB2312"/>
          <w:sz w:val="32"/>
          <w:szCs w:val="32"/>
          <w:lang w:eastAsia="zh-CN"/>
        </w:rPr>
        <w:t>五是信访门户网站和投诉平台运行维护费项目绩</w:t>
      </w:r>
      <w:r>
        <w:rPr>
          <w:rFonts w:hint="eastAsia" w:ascii="仿宋_GB2312" w:hAnsi="仿宋_GB2312" w:eastAsia="仿宋_GB2312" w:cs="仿宋_GB2312"/>
          <w:sz w:val="32"/>
          <w:szCs w:val="32"/>
        </w:rPr>
        <w:t>效目标完成情况综述。项目全年预算数</w:t>
      </w:r>
      <w:r>
        <w:rPr>
          <w:rFonts w:hint="eastAsia" w:ascii="仿宋_GB2312" w:hAnsi="仿宋_GB2312" w:eastAsia="仿宋_GB2312" w:cs="仿宋_GB2312"/>
          <w:sz w:val="32"/>
          <w:szCs w:val="32"/>
          <w:lang w:val="en-US" w:eastAsia="zh-CN"/>
        </w:rPr>
        <w:t>11.77</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11.77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%。通过项目实施，保障了信访门户网站和投诉平台正常运行进行维护的费用</w:t>
      </w:r>
      <w:r>
        <w:rPr>
          <w:rFonts w:hint="eastAsia" w:ascii="仿宋_GB2312" w:hAnsi="仿宋_GB2312" w:eastAsia="仿宋_GB2312" w:cs="仿宋_GB2312"/>
          <w:sz w:val="32"/>
          <w:szCs w:val="32"/>
          <w:lang w:eastAsia="zh-CN"/>
        </w:rPr>
        <w:t>。</w:t>
      </w: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394"/>
        <w:gridCol w:w="2392"/>
      </w:tblGrid>
      <w:tr>
        <w:tblPrEx>
          <w:tblLayout w:type="fixed"/>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lang w:bidi="ar"/>
              </w:rPr>
              <w:t>项目支出绩效目标完成情况表</w:t>
            </w:r>
            <w:r>
              <w:rPr>
                <w:rFonts w:hint="eastAsia" w:ascii="宋体" w:hAnsi="宋体" w:cs="宋体"/>
                <w:b/>
                <w:bCs/>
                <w:color w:val="000000"/>
                <w:kern w:val="0"/>
                <w:sz w:val="36"/>
                <w:szCs w:val="36"/>
                <w:lang w:bidi="ar"/>
              </w:rPr>
              <w:br w:type="textWrapping"/>
            </w:r>
            <w:r>
              <w:rPr>
                <w:rFonts w:hint="eastAsia" w:ascii="宋体" w:hAnsi="宋体" w:cs="宋体"/>
                <w:color w:val="000000"/>
                <w:kern w:val="0"/>
                <w:sz w:val="36"/>
                <w:szCs w:val="36"/>
                <w:lang w:bidi="ar"/>
              </w:rPr>
              <w:t>(2018 年度)</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到京非正常上访人员劝返金</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渠县人民政府信访局</w:t>
            </w:r>
          </w:p>
        </w:tc>
      </w:tr>
      <w:tr>
        <w:tblPrEx>
          <w:tblLayout w:type="fixed"/>
          <w:tblCellMar>
            <w:top w:w="0" w:type="dxa"/>
            <w:left w:w="0" w:type="dxa"/>
            <w:bottom w:w="0" w:type="dxa"/>
            <w:right w:w="0" w:type="dxa"/>
          </w:tblCellMar>
        </w:tblPrEx>
        <w:trPr>
          <w:trHeight w:val="301"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5万元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5万元</w:t>
            </w:r>
          </w:p>
        </w:tc>
      </w:tr>
      <w:tr>
        <w:tblPrEx>
          <w:tblLayout w:type="fixed"/>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5万元</w:t>
            </w:r>
          </w:p>
        </w:tc>
      </w:tr>
      <w:tr>
        <w:tblPrEx>
          <w:tblLayout w:type="fixed"/>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Layout w:type="fixed"/>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做好每年全国两会期间和重要敏感时期的到京非正常上访人员的劝返工作开支，以及长期在北京值班人员的差旅费等开支</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rPr>
              <w:t>做好</w:t>
            </w:r>
            <w:r>
              <w:rPr>
                <w:rFonts w:hint="eastAsia" w:ascii="宋体" w:hAnsi="宋体" w:cs="宋体"/>
                <w:color w:val="000000"/>
                <w:sz w:val="24"/>
                <w:lang w:eastAsia="zh-CN"/>
              </w:rPr>
              <w:t>了</w:t>
            </w:r>
            <w:r>
              <w:rPr>
                <w:rFonts w:hint="eastAsia" w:ascii="宋体" w:hAnsi="宋体" w:cs="宋体"/>
                <w:color w:val="000000"/>
                <w:sz w:val="24"/>
              </w:rPr>
              <w:t>每年全国两会期间和重要敏感时期的到京非正常上访人员的劝返工作开支，以及长期在北京值班人员的差旅费等开支</w:t>
            </w:r>
            <w:r>
              <w:rPr>
                <w:rFonts w:hint="eastAsia" w:ascii="宋体" w:hAnsi="宋体" w:cs="宋体"/>
                <w:color w:val="000000"/>
                <w:sz w:val="24"/>
                <w:lang w:eastAsia="zh-CN"/>
              </w:rPr>
              <w:t>。</w:t>
            </w:r>
          </w:p>
        </w:tc>
      </w:tr>
      <w:tr>
        <w:tblPrEx>
          <w:tblLayout w:type="fixed"/>
          <w:tblCellMar>
            <w:top w:w="0" w:type="dxa"/>
            <w:left w:w="0" w:type="dxa"/>
            <w:bottom w:w="0" w:type="dxa"/>
            <w:right w:w="0" w:type="dxa"/>
          </w:tblCellMar>
        </w:tblPrEx>
        <w:trPr>
          <w:trHeight w:val="719"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实际完成指标值(包含数字及文字描述)</w:t>
            </w:r>
          </w:p>
        </w:tc>
      </w:tr>
      <w:tr>
        <w:tblPrEx>
          <w:tblLayout w:type="fixed"/>
          <w:tblCellMar>
            <w:top w:w="0" w:type="dxa"/>
            <w:left w:w="0" w:type="dxa"/>
            <w:bottom w:w="0" w:type="dxa"/>
            <w:right w:w="0" w:type="dxa"/>
          </w:tblCellMar>
        </w:tblPrEx>
        <w:trPr>
          <w:trHeight w:val="79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做好劝返到北京非正常上访人员的经费开支</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r>
      <w:tr>
        <w:tblPrEx>
          <w:tblLayout w:type="fixed"/>
          <w:tblCellMar>
            <w:top w:w="0" w:type="dxa"/>
            <w:left w:w="0" w:type="dxa"/>
            <w:bottom w:w="0" w:type="dxa"/>
            <w:right w:w="0" w:type="dxa"/>
          </w:tblCellMar>
        </w:tblPrEx>
        <w:trPr>
          <w:trHeight w:val="56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保证到京非正常上访人员及时返回</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维护良好的上访环境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维护良好的上访环境</w:t>
            </w:r>
          </w:p>
        </w:tc>
      </w:tr>
      <w:tr>
        <w:tblPrEx>
          <w:tblLayout w:type="fixed"/>
          <w:tblCellMar>
            <w:top w:w="0" w:type="dxa"/>
            <w:left w:w="0" w:type="dxa"/>
            <w:bottom w:w="0" w:type="dxa"/>
            <w:right w:w="0" w:type="dxa"/>
          </w:tblCellMar>
        </w:tblPrEx>
        <w:trPr>
          <w:trHeight w:val="73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到京非正常上访人员做到及时劝返</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r>
      <w:tr>
        <w:tblPrEx>
          <w:tblLayout w:type="fixed"/>
          <w:tblCellMar>
            <w:top w:w="0" w:type="dxa"/>
            <w:left w:w="0" w:type="dxa"/>
            <w:bottom w:w="0" w:type="dxa"/>
            <w:right w:w="0" w:type="dxa"/>
          </w:tblCellMar>
        </w:tblPrEx>
        <w:trPr>
          <w:trHeight w:val="60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交通费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3万元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3万元</w:t>
            </w:r>
          </w:p>
        </w:tc>
      </w:tr>
      <w:tr>
        <w:tblPrEx>
          <w:tblLayout w:type="fixed"/>
          <w:tblCellMar>
            <w:top w:w="0" w:type="dxa"/>
            <w:left w:w="0" w:type="dxa"/>
            <w:bottom w:w="0" w:type="dxa"/>
            <w:right w:w="0" w:type="dxa"/>
          </w:tblCellMar>
        </w:tblPrEx>
        <w:trPr>
          <w:trHeight w:val="864"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厉行节约，搞好到京人员的劝返工作</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完成上访人员劝返工作，成本控制不得突破5万元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完成上访人员劝返工作，成本控制不得突破5万元</w:t>
            </w:r>
          </w:p>
        </w:tc>
      </w:tr>
      <w:tr>
        <w:tblPrEx>
          <w:tblLayout w:type="fixed"/>
          <w:tblCellMar>
            <w:top w:w="0" w:type="dxa"/>
            <w:left w:w="0" w:type="dxa"/>
            <w:bottom w:w="0" w:type="dxa"/>
            <w:right w:w="0" w:type="dxa"/>
          </w:tblCellMar>
        </w:tblPrEx>
        <w:trPr>
          <w:trHeight w:val="74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搞好信访工作</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r>
      <w:tr>
        <w:tblPrEx>
          <w:tblLayout w:type="fixed"/>
          <w:tblCellMar>
            <w:top w:w="0" w:type="dxa"/>
            <w:left w:w="0" w:type="dxa"/>
            <w:bottom w:w="0" w:type="dxa"/>
            <w:right w:w="0" w:type="dxa"/>
          </w:tblCellMar>
        </w:tblPrEx>
        <w:trPr>
          <w:trHeight w:val="73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坚持绿色发展理念</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注重涉及环保方面政策的落实。</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注重涉及环保方面政策的落实。</w:t>
            </w:r>
          </w:p>
        </w:tc>
      </w:tr>
      <w:tr>
        <w:tblPrEx>
          <w:tblLayout w:type="fixed"/>
          <w:tblCellMar>
            <w:top w:w="0" w:type="dxa"/>
            <w:left w:w="0" w:type="dxa"/>
            <w:bottom w:w="0" w:type="dxa"/>
            <w:right w:w="0" w:type="dxa"/>
          </w:tblCellMar>
        </w:tblPrEx>
        <w:trPr>
          <w:trHeight w:val="9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搞好到京非正常上访人员的劝返工作</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r>
      <w:tr>
        <w:tblPrEx>
          <w:tblLayout w:type="fixed"/>
          <w:tblCellMar>
            <w:top w:w="0" w:type="dxa"/>
            <w:left w:w="0" w:type="dxa"/>
            <w:bottom w:w="0" w:type="dxa"/>
            <w:right w:w="0" w:type="dxa"/>
          </w:tblCellMar>
        </w:tblPrEx>
        <w:trPr>
          <w:trHeight w:val="5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满意度指标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上级部门满意度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Style w:val="31"/>
                <w:rFonts w:eastAsia="宋体"/>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Style w:val="31"/>
                <w:rFonts w:eastAsia="宋体"/>
                <w:lang w:val="en-US" w:eastAsia="zh-CN" w:bidi="ar"/>
              </w:rPr>
              <w:t>95%</w:t>
            </w:r>
          </w:p>
        </w:tc>
      </w:tr>
      <w:tr>
        <w:tblPrEx>
          <w:tblLayout w:type="fixed"/>
          <w:tblCellMar>
            <w:top w:w="0" w:type="dxa"/>
            <w:left w:w="0" w:type="dxa"/>
            <w:bottom w:w="0" w:type="dxa"/>
            <w:right w:w="0" w:type="dxa"/>
          </w:tblCellMar>
        </w:tblPrEx>
        <w:trPr>
          <w:trHeight w:val="48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满意度指标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相关部门和人员满意度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Style w:val="31"/>
                <w:rFonts w:eastAsia="宋体"/>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Style w:val="31"/>
                <w:rFonts w:eastAsia="宋体"/>
                <w:lang w:val="en-US" w:eastAsia="zh-CN" w:bidi="ar"/>
              </w:rPr>
              <w:t>95%</w:t>
            </w:r>
          </w:p>
        </w:tc>
      </w:tr>
    </w:tbl>
    <w:p>
      <w:pPr>
        <w:rPr>
          <w:rFonts w:ascii="Calibri" w:hAnsi="Calibri"/>
        </w:rPr>
      </w:pP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490"/>
        <w:gridCol w:w="2296"/>
      </w:tblGrid>
      <w:tr>
        <w:tblPrEx>
          <w:tblLayout w:type="fixed"/>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lang w:bidi="ar"/>
              </w:rPr>
              <w:t>项目支出绩效目标完成情况表</w:t>
            </w:r>
            <w:r>
              <w:rPr>
                <w:rFonts w:hint="eastAsia" w:ascii="宋体" w:hAnsi="宋体" w:cs="宋体"/>
                <w:b/>
                <w:bCs/>
                <w:color w:val="000000"/>
                <w:kern w:val="0"/>
                <w:sz w:val="36"/>
                <w:szCs w:val="36"/>
                <w:lang w:bidi="ar"/>
              </w:rPr>
              <w:br w:type="textWrapping"/>
            </w:r>
            <w:r>
              <w:rPr>
                <w:rFonts w:hint="eastAsia" w:ascii="宋体" w:hAnsi="宋体" w:cs="宋体"/>
                <w:color w:val="000000"/>
                <w:kern w:val="0"/>
                <w:sz w:val="36"/>
                <w:szCs w:val="36"/>
                <w:lang w:bidi="ar"/>
              </w:rPr>
              <w:t>(2018 年度)</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网络信访办公经费</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渠县人民政府信访局</w:t>
            </w:r>
          </w:p>
        </w:tc>
      </w:tr>
      <w:tr>
        <w:tblPrEx>
          <w:tblLayout w:type="fixed"/>
          <w:tblCellMar>
            <w:top w:w="0" w:type="dxa"/>
            <w:left w:w="0" w:type="dxa"/>
            <w:bottom w:w="0" w:type="dxa"/>
            <w:right w:w="0" w:type="dxa"/>
          </w:tblCellMar>
        </w:tblPrEx>
        <w:trPr>
          <w:trHeight w:val="301"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5万元</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执行数:</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5万元</w:t>
            </w:r>
          </w:p>
        </w:tc>
      </w:tr>
      <w:tr>
        <w:tblPrEx>
          <w:tblLayout w:type="fixed"/>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5万元</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5万元</w:t>
            </w:r>
          </w:p>
        </w:tc>
      </w:tr>
      <w:tr>
        <w:tblPrEx>
          <w:tblLayout w:type="fixed"/>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Layout w:type="fixed"/>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做好全年书记信箱、省长信箱热线的维护、热线办公室的正常运行</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rPr>
              <w:t>做好</w:t>
            </w:r>
            <w:r>
              <w:rPr>
                <w:rFonts w:hint="eastAsia" w:ascii="宋体" w:hAnsi="宋体" w:cs="宋体"/>
                <w:color w:val="000000"/>
                <w:sz w:val="24"/>
                <w:lang w:eastAsia="zh-CN"/>
              </w:rPr>
              <w:t>了</w:t>
            </w:r>
            <w:r>
              <w:rPr>
                <w:rFonts w:hint="eastAsia" w:ascii="宋体" w:hAnsi="宋体" w:cs="宋体"/>
                <w:color w:val="000000"/>
                <w:sz w:val="24"/>
              </w:rPr>
              <w:t>全年书记信箱、省长信箱热线的维护、热线办公室的正常运行</w:t>
            </w:r>
            <w:r>
              <w:rPr>
                <w:rFonts w:hint="eastAsia" w:ascii="宋体" w:hAnsi="宋体" w:cs="宋体"/>
                <w:color w:val="000000"/>
                <w:sz w:val="24"/>
                <w:lang w:eastAsia="zh-CN"/>
              </w:rPr>
              <w:t>。</w:t>
            </w:r>
          </w:p>
        </w:tc>
      </w:tr>
      <w:tr>
        <w:tblPrEx>
          <w:tblLayout w:type="fixed"/>
          <w:tblCellMar>
            <w:top w:w="0" w:type="dxa"/>
            <w:left w:w="0" w:type="dxa"/>
            <w:bottom w:w="0" w:type="dxa"/>
            <w:right w:w="0" w:type="dxa"/>
          </w:tblCellMar>
        </w:tblPrEx>
        <w:trPr>
          <w:trHeight w:val="714"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预期指标值(包含数字及文字描述)</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实际完成指标值(包含数字及文字描述)</w:t>
            </w:r>
          </w:p>
        </w:tc>
      </w:tr>
      <w:tr>
        <w:tblPrEx>
          <w:tblLayout w:type="fixed"/>
          <w:tblCellMar>
            <w:top w:w="0" w:type="dxa"/>
            <w:left w:w="0" w:type="dxa"/>
            <w:bottom w:w="0" w:type="dxa"/>
            <w:right w:w="0" w:type="dxa"/>
          </w:tblCellMar>
        </w:tblPrEx>
        <w:trPr>
          <w:trHeight w:val="658"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书记、省长信箱热线的维护</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提高初信初访问题的办结率</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提高初信初访问题的办结率</w:t>
            </w:r>
          </w:p>
        </w:tc>
      </w:tr>
      <w:tr>
        <w:tblPrEx>
          <w:tblLayout w:type="fixed"/>
          <w:tblCellMar>
            <w:top w:w="0" w:type="dxa"/>
            <w:left w:w="0" w:type="dxa"/>
            <w:bottom w:w="0" w:type="dxa"/>
            <w:right w:w="0" w:type="dxa"/>
          </w:tblCellMar>
        </w:tblPrEx>
        <w:trPr>
          <w:trHeight w:val="93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做好省长信箱的维护、热线办公室的良好运行</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着力在县级把信访案件办结</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着力在县级把信访案件办结</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及时办结各类信访上访案件</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有效地防止了因忽视处理初信初访问题而导致越级访</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有效地防止了因忽视处理初信初访问题而导致越级访</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办公费</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3万元</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3万元</w:t>
            </w:r>
          </w:p>
        </w:tc>
      </w:tr>
      <w:tr>
        <w:tblPrEx>
          <w:tblLayout w:type="fixed"/>
          <w:tblCellMar>
            <w:top w:w="0" w:type="dxa"/>
            <w:left w:w="0" w:type="dxa"/>
            <w:bottom w:w="0" w:type="dxa"/>
            <w:right w:w="0" w:type="dxa"/>
          </w:tblCellMar>
        </w:tblPrEx>
        <w:trPr>
          <w:trHeight w:val="94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差旅费</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2万元</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2万元</w:t>
            </w:r>
          </w:p>
        </w:tc>
      </w:tr>
      <w:tr>
        <w:tblPrEx>
          <w:tblLayout w:type="fixed"/>
          <w:tblCellMar>
            <w:top w:w="0" w:type="dxa"/>
            <w:left w:w="0" w:type="dxa"/>
            <w:bottom w:w="0" w:type="dxa"/>
            <w:right w:w="0" w:type="dxa"/>
          </w:tblCellMar>
        </w:tblPrEx>
        <w:trPr>
          <w:trHeight w:val="764"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厉行节约，严格控制成本</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全年网络信访办公，成本控制不得突破5万元</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全年网络信访办公，成本控制不得突破5万元</w:t>
            </w:r>
          </w:p>
        </w:tc>
      </w:tr>
      <w:tr>
        <w:tblPrEx>
          <w:tblLayout w:type="fixed"/>
          <w:tblCellMar>
            <w:top w:w="0" w:type="dxa"/>
            <w:left w:w="0" w:type="dxa"/>
            <w:bottom w:w="0" w:type="dxa"/>
            <w:right w:w="0" w:type="dxa"/>
          </w:tblCellMar>
        </w:tblPrEx>
        <w:trPr>
          <w:trHeight w:val="83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高质量办结了各类信访案件</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r>
      <w:tr>
        <w:tblPrEx>
          <w:tblLayout w:type="fixed"/>
          <w:tblCellMar>
            <w:top w:w="0" w:type="dxa"/>
            <w:left w:w="0" w:type="dxa"/>
            <w:bottom w:w="0" w:type="dxa"/>
            <w:right w:w="0" w:type="dxa"/>
          </w:tblCellMar>
        </w:tblPrEx>
        <w:trPr>
          <w:trHeight w:val="90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坚持绿色发展理念</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为营造渠县的良好信访氛围努力</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为营造渠县的良好信访氛围努力</w:t>
            </w:r>
          </w:p>
        </w:tc>
      </w:tr>
      <w:tr>
        <w:tblPrEx>
          <w:tblLayout w:type="fixed"/>
          <w:tblCellMar>
            <w:top w:w="0" w:type="dxa"/>
            <w:left w:w="0" w:type="dxa"/>
            <w:bottom w:w="0" w:type="dxa"/>
            <w:right w:w="0" w:type="dxa"/>
          </w:tblCellMar>
        </w:tblPrEx>
        <w:trPr>
          <w:trHeight w:val="45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坚持固本培元，筑牢工作根基</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r>
      <w:tr>
        <w:tblPrEx>
          <w:tblLayout w:type="fixed"/>
          <w:tblCellMar>
            <w:top w:w="0" w:type="dxa"/>
            <w:left w:w="0" w:type="dxa"/>
            <w:bottom w:w="0" w:type="dxa"/>
            <w:right w:w="0" w:type="dxa"/>
          </w:tblCellMar>
        </w:tblPrEx>
        <w:trPr>
          <w:trHeight w:val="83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满意度指标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上级部门满意度</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r>
        <w:tblPrEx>
          <w:tblLayout w:type="fixed"/>
          <w:tblCellMar>
            <w:top w:w="0" w:type="dxa"/>
            <w:left w:w="0" w:type="dxa"/>
            <w:bottom w:w="0" w:type="dxa"/>
            <w:right w:w="0" w:type="dxa"/>
          </w:tblCellMar>
        </w:tblPrEx>
        <w:trPr>
          <w:trHeight w:val="83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满意度指标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相关部门和人员满意度</w:t>
            </w:r>
          </w:p>
        </w:tc>
        <w:tc>
          <w:tcPr>
            <w:tcW w:w="249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29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bl>
    <w:p>
      <w:pPr>
        <w:spacing w:line="580" w:lineRule="exact"/>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394"/>
        <w:gridCol w:w="2392"/>
      </w:tblGrid>
      <w:tr>
        <w:tblPrEx>
          <w:tblLayout w:type="fixed"/>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lang w:bidi="ar"/>
              </w:rPr>
              <w:t>项目支出绩效目标完成情况表</w:t>
            </w:r>
            <w:r>
              <w:rPr>
                <w:rFonts w:hint="eastAsia" w:ascii="宋体" w:hAnsi="宋体" w:cs="宋体"/>
                <w:b/>
                <w:bCs/>
                <w:color w:val="000000"/>
                <w:kern w:val="0"/>
                <w:sz w:val="36"/>
                <w:szCs w:val="36"/>
                <w:lang w:bidi="ar"/>
              </w:rPr>
              <w:br w:type="textWrapping"/>
            </w:r>
            <w:r>
              <w:rPr>
                <w:rFonts w:hint="eastAsia" w:ascii="宋体" w:hAnsi="宋体" w:cs="宋体"/>
                <w:color w:val="000000"/>
                <w:kern w:val="0"/>
                <w:sz w:val="36"/>
                <w:szCs w:val="36"/>
                <w:lang w:bidi="ar"/>
              </w:rPr>
              <w:t>(2018 年度)</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渠县群众信访接待中心工作经费</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渠县人民政府信访局</w:t>
            </w:r>
          </w:p>
        </w:tc>
      </w:tr>
      <w:tr>
        <w:tblPrEx>
          <w:tblLayout w:type="fixed"/>
          <w:tblCellMar>
            <w:top w:w="0" w:type="dxa"/>
            <w:left w:w="0" w:type="dxa"/>
            <w:bottom w:w="0" w:type="dxa"/>
            <w:right w:w="0" w:type="dxa"/>
          </w:tblCellMar>
        </w:tblPrEx>
        <w:trPr>
          <w:trHeight w:val="301"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10万元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10万元</w:t>
            </w:r>
          </w:p>
        </w:tc>
      </w:tr>
      <w:tr>
        <w:tblPrEx>
          <w:tblLayout w:type="fixed"/>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10万元</w:t>
            </w:r>
          </w:p>
        </w:tc>
      </w:tr>
      <w:tr>
        <w:tblPrEx>
          <w:tblLayout w:type="fixed"/>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Layout w:type="fixed"/>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群众信访接待中心的工作经费，专门用于接待中心的各项开支，接待群众来访，保证信访渠道畅通，及时、准确地向县委、县政府有关领导反映群众的来信来访中提出的重要建议、意见和问题</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rPr>
              <w:t>保证信访渠道畅通，及时、准确地向县委、县政府有关领导反映群众的来信来访中提出的重要建议、意见和问题</w:t>
            </w:r>
          </w:p>
        </w:tc>
      </w:tr>
      <w:tr>
        <w:tblPrEx>
          <w:tblLayout w:type="fixed"/>
          <w:tblCellMar>
            <w:top w:w="0" w:type="dxa"/>
            <w:left w:w="0" w:type="dxa"/>
            <w:bottom w:w="0" w:type="dxa"/>
            <w:right w:w="0" w:type="dxa"/>
          </w:tblCellMar>
        </w:tblPrEx>
        <w:trPr>
          <w:trHeight w:val="714"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实际完成指标值(包含数字及文字描述)</w:t>
            </w:r>
          </w:p>
        </w:tc>
      </w:tr>
      <w:tr>
        <w:tblPrEx>
          <w:tblLayout w:type="fixed"/>
          <w:tblCellMar>
            <w:top w:w="0" w:type="dxa"/>
            <w:left w:w="0" w:type="dxa"/>
            <w:bottom w:w="0" w:type="dxa"/>
            <w:right w:w="0" w:type="dxa"/>
          </w:tblCellMar>
        </w:tblPrEx>
        <w:trPr>
          <w:trHeight w:val="658"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做好群众信访接待中心的群众上访</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着力源头防范，有效宣传普及信访知识和相关法律法规</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着力源头防范，有效宣传普及信访知识和相关法律法规</w:t>
            </w:r>
          </w:p>
        </w:tc>
      </w:tr>
      <w:tr>
        <w:tblPrEx>
          <w:tblLayout w:type="fixed"/>
          <w:tblCellMar>
            <w:top w:w="0" w:type="dxa"/>
            <w:left w:w="0" w:type="dxa"/>
            <w:bottom w:w="0" w:type="dxa"/>
            <w:right w:w="0" w:type="dxa"/>
          </w:tblCellMar>
        </w:tblPrEx>
        <w:trPr>
          <w:trHeight w:val="93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建立良好的信访秩序，处理好各类信访案件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增强了群众依法、有序、逐级维护自身权益的意识</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增强了群众依法、有序、逐级维护自身权益的意识</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及时办结各种信访案件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办公费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3万元</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i w:val="0"/>
                <w:color w:val="000000"/>
                <w:kern w:val="0"/>
                <w:sz w:val="24"/>
                <w:szCs w:val="24"/>
                <w:u w:val="none"/>
                <w:lang w:val="en-US" w:eastAsia="zh-CN" w:bidi="ar"/>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差旅费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1万元</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i w:val="0"/>
                <w:color w:val="000000"/>
                <w:kern w:val="0"/>
                <w:sz w:val="24"/>
                <w:szCs w:val="24"/>
                <w:u w:val="none"/>
                <w:lang w:val="en-US" w:eastAsia="zh-CN" w:bidi="ar"/>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印刷费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1万元</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i w:val="0"/>
                <w:color w:val="000000"/>
                <w:kern w:val="0"/>
                <w:sz w:val="24"/>
                <w:szCs w:val="24"/>
                <w:u w:val="none"/>
                <w:lang w:val="en-US" w:eastAsia="zh-CN" w:bidi="ar"/>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劳务费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2万元</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i w:val="0"/>
                <w:color w:val="000000"/>
                <w:kern w:val="0"/>
                <w:sz w:val="24"/>
                <w:szCs w:val="24"/>
                <w:u w:val="none"/>
                <w:lang w:val="en-US" w:eastAsia="zh-CN" w:bidi="ar"/>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其他交通费用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1万元</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其他商品服务支出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2万元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2万元</w:t>
            </w:r>
          </w:p>
        </w:tc>
      </w:tr>
      <w:tr>
        <w:tblPrEx>
          <w:tblLayout w:type="fixed"/>
          <w:tblCellMar>
            <w:top w:w="0" w:type="dxa"/>
            <w:left w:w="0" w:type="dxa"/>
            <w:bottom w:w="0" w:type="dxa"/>
            <w:right w:w="0" w:type="dxa"/>
          </w:tblCellMar>
        </w:tblPrEx>
        <w:trPr>
          <w:trHeight w:val="94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厉行节约，严格控制成本</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做好群众信访接待中心工作，成本控制不得突破10万元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做好群众信访接待中心工作，成本控制不得突破10万元</w:t>
            </w:r>
          </w:p>
        </w:tc>
      </w:tr>
      <w:tr>
        <w:tblPrEx>
          <w:tblLayout w:type="fixed"/>
          <w:tblCellMar>
            <w:top w:w="0" w:type="dxa"/>
            <w:left w:w="0" w:type="dxa"/>
            <w:bottom w:w="0" w:type="dxa"/>
            <w:right w:w="0" w:type="dxa"/>
          </w:tblCellMar>
        </w:tblPrEx>
        <w:trPr>
          <w:trHeight w:val="764"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高质量办结了各类信访案件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r>
      <w:tr>
        <w:tblPrEx>
          <w:tblLayout w:type="fixed"/>
          <w:tblCellMar>
            <w:top w:w="0" w:type="dxa"/>
            <w:left w:w="0" w:type="dxa"/>
            <w:bottom w:w="0" w:type="dxa"/>
            <w:right w:w="0" w:type="dxa"/>
          </w:tblCellMar>
        </w:tblPrEx>
        <w:trPr>
          <w:trHeight w:val="83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坚持绿色发展理念</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为营造渠县的良好信访氛围努力</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为营造渠县的良好信访氛围努力</w:t>
            </w:r>
          </w:p>
        </w:tc>
      </w:tr>
      <w:tr>
        <w:tblPrEx>
          <w:tblLayout w:type="fixed"/>
          <w:tblCellMar>
            <w:top w:w="0" w:type="dxa"/>
            <w:left w:w="0" w:type="dxa"/>
            <w:bottom w:w="0" w:type="dxa"/>
            <w:right w:w="0" w:type="dxa"/>
          </w:tblCellMar>
        </w:tblPrEx>
        <w:trPr>
          <w:trHeight w:val="90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坚持固本培元，筑牢工作根基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r>
      <w:tr>
        <w:tblPrEx>
          <w:tblLayout w:type="fixed"/>
          <w:tblCellMar>
            <w:top w:w="0" w:type="dxa"/>
            <w:left w:w="0" w:type="dxa"/>
            <w:bottom w:w="0" w:type="dxa"/>
            <w:right w:w="0" w:type="dxa"/>
          </w:tblCellMar>
        </w:tblPrEx>
        <w:trPr>
          <w:trHeight w:val="45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满意度指标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上级部门满意度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r>
        <w:tblPrEx>
          <w:tblLayout w:type="fixed"/>
          <w:tblCellMar>
            <w:top w:w="0" w:type="dxa"/>
            <w:left w:w="0" w:type="dxa"/>
            <w:bottom w:w="0" w:type="dxa"/>
            <w:right w:w="0" w:type="dxa"/>
          </w:tblCellMar>
        </w:tblPrEx>
        <w:trPr>
          <w:trHeight w:val="83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满意度指标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相关部门和人员满意度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r>
        <w:tblPrEx>
          <w:tblLayout w:type="fixed"/>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hint="eastAsia" w:ascii="黑体" w:hAnsi="黑体" w:eastAsia="黑体" w:cs="宋体"/>
                <w:bCs/>
                <w:color w:val="000000"/>
                <w:kern w:val="0"/>
                <w:sz w:val="36"/>
                <w:szCs w:val="36"/>
                <w:lang w:bidi="ar"/>
              </w:rPr>
            </w:pPr>
          </w:p>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lang w:bidi="ar"/>
              </w:rPr>
              <w:t>项目支出绩效目标完成情况表</w:t>
            </w:r>
            <w:r>
              <w:rPr>
                <w:rFonts w:hint="eastAsia" w:ascii="宋体" w:hAnsi="宋体" w:cs="宋体"/>
                <w:b/>
                <w:bCs/>
                <w:color w:val="000000"/>
                <w:kern w:val="0"/>
                <w:sz w:val="36"/>
                <w:szCs w:val="36"/>
                <w:lang w:bidi="ar"/>
              </w:rPr>
              <w:br w:type="textWrapping"/>
            </w:r>
            <w:r>
              <w:rPr>
                <w:rFonts w:hint="eastAsia" w:ascii="宋体" w:hAnsi="宋体" w:cs="宋体"/>
                <w:color w:val="000000"/>
                <w:kern w:val="0"/>
                <w:sz w:val="36"/>
                <w:szCs w:val="36"/>
                <w:lang w:bidi="ar"/>
              </w:rPr>
              <w:t>(2018 年度)</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网上信访信息平台运行维护经费</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渠县人民政府信访局</w:t>
            </w:r>
          </w:p>
        </w:tc>
      </w:tr>
      <w:tr>
        <w:tblPrEx>
          <w:tblLayout w:type="fixed"/>
          <w:tblCellMar>
            <w:top w:w="0" w:type="dxa"/>
            <w:left w:w="0" w:type="dxa"/>
            <w:bottom w:w="0" w:type="dxa"/>
            <w:right w:w="0" w:type="dxa"/>
          </w:tblCellMar>
        </w:tblPrEx>
        <w:trPr>
          <w:trHeight w:val="301"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17万元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17万元</w:t>
            </w:r>
          </w:p>
        </w:tc>
      </w:tr>
      <w:tr>
        <w:tblPrEx>
          <w:tblLayout w:type="fixed"/>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17万元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17万元</w:t>
            </w:r>
          </w:p>
        </w:tc>
      </w:tr>
      <w:tr>
        <w:tblPrEx>
          <w:tblLayout w:type="fixed"/>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Layout w:type="fixed"/>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保证全年整个网上信访信息平台的正常运行和日常的维护</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rPr>
              <w:t>保证</w:t>
            </w:r>
            <w:r>
              <w:rPr>
                <w:rFonts w:hint="eastAsia" w:ascii="宋体" w:hAnsi="宋体" w:cs="宋体"/>
                <w:color w:val="000000"/>
                <w:sz w:val="24"/>
                <w:lang w:eastAsia="zh-CN"/>
              </w:rPr>
              <w:t>了</w:t>
            </w:r>
            <w:r>
              <w:rPr>
                <w:rFonts w:hint="eastAsia" w:ascii="宋体" w:hAnsi="宋体" w:cs="宋体"/>
                <w:color w:val="000000"/>
                <w:sz w:val="24"/>
              </w:rPr>
              <w:t>全年整个网上信访信息平台的正常运行和日常的维护</w:t>
            </w:r>
          </w:p>
        </w:tc>
      </w:tr>
      <w:tr>
        <w:tblPrEx>
          <w:tblLayout w:type="fixed"/>
          <w:tblCellMar>
            <w:top w:w="0" w:type="dxa"/>
            <w:left w:w="0" w:type="dxa"/>
            <w:bottom w:w="0" w:type="dxa"/>
            <w:right w:w="0" w:type="dxa"/>
          </w:tblCellMar>
        </w:tblPrEx>
        <w:trPr>
          <w:trHeight w:val="714"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实际完成指标值(包含数字及文字描述)</w:t>
            </w:r>
          </w:p>
        </w:tc>
      </w:tr>
      <w:tr>
        <w:tblPrEx>
          <w:tblLayout w:type="fixed"/>
          <w:tblCellMar>
            <w:top w:w="0" w:type="dxa"/>
            <w:left w:w="0" w:type="dxa"/>
            <w:bottom w:w="0" w:type="dxa"/>
            <w:right w:w="0" w:type="dxa"/>
          </w:tblCellMar>
        </w:tblPrEx>
        <w:trPr>
          <w:trHeight w:val="658"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保证全年网上信访信息平台的正常运行</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网络平台畅通，做好信访平台维护</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网络平台畅通，做好信访平台维护</w:t>
            </w:r>
          </w:p>
        </w:tc>
      </w:tr>
      <w:tr>
        <w:tblPrEx>
          <w:tblLayout w:type="fixed"/>
          <w:tblCellMar>
            <w:top w:w="0" w:type="dxa"/>
            <w:left w:w="0" w:type="dxa"/>
            <w:bottom w:w="0" w:type="dxa"/>
            <w:right w:w="0" w:type="dxa"/>
          </w:tblCellMar>
        </w:tblPrEx>
        <w:trPr>
          <w:trHeight w:val="93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高质量的办结网络平台上的信访案件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通过网络平台，在县级把信访案件办结</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通过网络平台，在县级把信访案件办结</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及时处理网络平台上的信访案件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有效地防止了因忽视处理初信初访问题而导致越级上访</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有效地防止了因忽视处理初信初访问题而导致越级上访</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17万元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17万元</w:t>
            </w:r>
          </w:p>
        </w:tc>
      </w:tr>
      <w:tr>
        <w:tblPrEx>
          <w:tblLayout w:type="fixed"/>
          <w:tblCellMar>
            <w:top w:w="0" w:type="dxa"/>
            <w:left w:w="0" w:type="dxa"/>
            <w:bottom w:w="0" w:type="dxa"/>
            <w:right w:w="0" w:type="dxa"/>
          </w:tblCellMar>
        </w:tblPrEx>
        <w:trPr>
          <w:trHeight w:val="94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减少了群众信访成本</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全年网络平台信访维护，成本控制不得突破17万元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全年网络平台信访维护，成本控制不得突破17万元</w:t>
            </w:r>
          </w:p>
        </w:tc>
      </w:tr>
      <w:tr>
        <w:tblPrEx>
          <w:tblLayout w:type="fixed"/>
          <w:tblCellMar>
            <w:top w:w="0" w:type="dxa"/>
            <w:left w:w="0" w:type="dxa"/>
            <w:bottom w:w="0" w:type="dxa"/>
            <w:right w:w="0" w:type="dxa"/>
          </w:tblCellMar>
        </w:tblPrEx>
        <w:trPr>
          <w:trHeight w:val="764"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建立健全了网上信访投诉平台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r>
      <w:tr>
        <w:tblPrEx>
          <w:tblLayout w:type="fixed"/>
          <w:tblCellMar>
            <w:top w:w="0" w:type="dxa"/>
            <w:left w:w="0" w:type="dxa"/>
            <w:bottom w:w="0" w:type="dxa"/>
            <w:right w:w="0" w:type="dxa"/>
          </w:tblCellMar>
        </w:tblPrEx>
        <w:trPr>
          <w:trHeight w:val="83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坚持绿色发展理念</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注重涉及环保方面政策的落实。</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注重涉及环保方面政策的落实。</w:t>
            </w:r>
          </w:p>
        </w:tc>
      </w:tr>
      <w:tr>
        <w:tblPrEx>
          <w:tblLayout w:type="fixed"/>
          <w:tblCellMar>
            <w:top w:w="0" w:type="dxa"/>
            <w:left w:w="0" w:type="dxa"/>
            <w:bottom w:w="0" w:type="dxa"/>
            <w:right w:w="0" w:type="dxa"/>
          </w:tblCellMar>
        </w:tblPrEx>
        <w:trPr>
          <w:trHeight w:val="90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保证了网上信访信息平台的畅通</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r>
      <w:tr>
        <w:tblPrEx>
          <w:tblLayout w:type="fixed"/>
          <w:tblCellMar>
            <w:top w:w="0" w:type="dxa"/>
            <w:left w:w="0" w:type="dxa"/>
            <w:bottom w:w="0" w:type="dxa"/>
            <w:right w:w="0" w:type="dxa"/>
          </w:tblCellMar>
        </w:tblPrEx>
        <w:trPr>
          <w:trHeight w:val="45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满意度指标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上级部门满意度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r>
        <w:tblPrEx>
          <w:tblLayout w:type="fixed"/>
          <w:tblCellMar>
            <w:top w:w="0" w:type="dxa"/>
            <w:left w:w="0" w:type="dxa"/>
            <w:bottom w:w="0" w:type="dxa"/>
            <w:right w:w="0" w:type="dxa"/>
          </w:tblCellMar>
        </w:tblPrEx>
        <w:trPr>
          <w:trHeight w:val="83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满意度指标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相关部门和人员满意度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r>
        <w:tblPrEx>
          <w:tblLayout w:type="fixed"/>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hint="eastAsia" w:ascii="黑体" w:hAnsi="黑体" w:eastAsia="黑体" w:cs="宋体"/>
                <w:bCs/>
                <w:color w:val="000000"/>
                <w:kern w:val="0"/>
                <w:sz w:val="36"/>
                <w:szCs w:val="36"/>
                <w:lang w:bidi="ar"/>
              </w:rPr>
            </w:pPr>
          </w:p>
          <w:p>
            <w:pPr>
              <w:pStyle w:val="24"/>
              <w:widowControl/>
              <w:ind w:left="4173" w:leftChars="1310" w:hanging="1422" w:hangingChars="395"/>
              <w:textAlignment w:val="center"/>
              <w:rPr>
                <w:rFonts w:hint="eastAsia" w:ascii="黑体" w:hAnsi="黑体" w:eastAsia="黑体" w:cs="宋体"/>
                <w:bCs/>
                <w:color w:val="000000"/>
                <w:kern w:val="0"/>
                <w:sz w:val="36"/>
                <w:szCs w:val="36"/>
                <w:lang w:bidi="ar"/>
              </w:rPr>
            </w:pPr>
          </w:p>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lang w:bidi="ar"/>
              </w:rPr>
              <w:t>项目支出绩效目标完成情况表</w:t>
            </w:r>
            <w:r>
              <w:rPr>
                <w:rFonts w:hint="eastAsia" w:ascii="宋体" w:hAnsi="宋体" w:cs="宋体"/>
                <w:b/>
                <w:bCs/>
                <w:color w:val="000000"/>
                <w:kern w:val="0"/>
                <w:sz w:val="36"/>
                <w:szCs w:val="36"/>
                <w:lang w:bidi="ar"/>
              </w:rPr>
              <w:br w:type="textWrapping"/>
            </w:r>
            <w:r>
              <w:rPr>
                <w:rFonts w:hint="eastAsia" w:ascii="宋体" w:hAnsi="宋体" w:cs="宋体"/>
                <w:color w:val="000000"/>
                <w:kern w:val="0"/>
                <w:sz w:val="36"/>
                <w:szCs w:val="36"/>
                <w:lang w:bidi="ar"/>
              </w:rPr>
              <w:t>(2018 年度)</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信访门户网站和投诉平台运行维护费</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渠县人民政府信访局</w:t>
            </w:r>
          </w:p>
        </w:tc>
      </w:tr>
      <w:tr>
        <w:tblPrEx>
          <w:tblLayout w:type="fixed"/>
          <w:tblCellMar>
            <w:top w:w="0" w:type="dxa"/>
            <w:left w:w="0" w:type="dxa"/>
            <w:bottom w:w="0" w:type="dxa"/>
            <w:right w:w="0" w:type="dxa"/>
          </w:tblCellMar>
        </w:tblPrEx>
        <w:trPr>
          <w:trHeight w:val="301"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11.77万元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11.77万元</w:t>
            </w:r>
          </w:p>
        </w:tc>
      </w:tr>
      <w:tr>
        <w:tblPrEx>
          <w:tblLayout w:type="fixed"/>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11.77万元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11.77万元</w:t>
            </w:r>
          </w:p>
        </w:tc>
      </w:tr>
      <w:tr>
        <w:tblPrEx>
          <w:tblLayout w:type="fixed"/>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Layout w:type="fixed"/>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为了信访门户网站和投诉平台正常运行进行维护的费用</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rPr>
              <w:t>为了信访门户网站和投诉平台正常运行进行维护的费用</w:t>
            </w:r>
          </w:p>
        </w:tc>
      </w:tr>
      <w:tr>
        <w:tblPrEx>
          <w:tblLayout w:type="fixed"/>
          <w:tblCellMar>
            <w:top w:w="0" w:type="dxa"/>
            <w:left w:w="0" w:type="dxa"/>
            <w:bottom w:w="0" w:type="dxa"/>
            <w:right w:w="0" w:type="dxa"/>
          </w:tblCellMar>
        </w:tblPrEx>
        <w:trPr>
          <w:trHeight w:val="714"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实际完成指标值(包含数字及文字描述)</w:t>
            </w:r>
          </w:p>
        </w:tc>
      </w:tr>
      <w:tr>
        <w:tblPrEx>
          <w:tblLayout w:type="fixed"/>
          <w:tblCellMar>
            <w:top w:w="0" w:type="dxa"/>
            <w:left w:w="0" w:type="dxa"/>
            <w:bottom w:w="0" w:type="dxa"/>
            <w:right w:w="0" w:type="dxa"/>
          </w:tblCellMar>
        </w:tblPrEx>
        <w:trPr>
          <w:trHeight w:val="658"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保证信访门户网站和投诉平台正常运行</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网络平台畅通，做好信访平台维护</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网络平台畅通，做好信访平台维护</w:t>
            </w:r>
          </w:p>
        </w:tc>
      </w:tr>
      <w:tr>
        <w:tblPrEx>
          <w:tblLayout w:type="fixed"/>
          <w:tblCellMar>
            <w:top w:w="0" w:type="dxa"/>
            <w:left w:w="0" w:type="dxa"/>
            <w:bottom w:w="0" w:type="dxa"/>
            <w:right w:w="0" w:type="dxa"/>
          </w:tblCellMar>
        </w:tblPrEx>
        <w:trPr>
          <w:trHeight w:val="93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高质量的办结网络平台上的信访案件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通过网络平台，在县级把信访案件办结</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通过网络平台，在县级把信访案件办结</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及时处理网络平台上的信访案件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有效地防止了因忽视处理初信初访问题而导致越级上访</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有效地防止了因忽视处理初信初访问题而导致越级上访</w:t>
            </w:r>
          </w:p>
        </w:tc>
      </w:tr>
      <w:tr>
        <w:tblPrEx>
          <w:tblLayout w:type="fixed"/>
          <w:tblCellMar>
            <w:top w:w="0" w:type="dxa"/>
            <w:left w:w="0" w:type="dxa"/>
            <w:bottom w:w="0" w:type="dxa"/>
            <w:right w:w="0" w:type="dxa"/>
          </w:tblCellMar>
        </w:tblPrEx>
        <w:trPr>
          <w:trHeight w:val="685"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11.77万元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11.77万元</w:t>
            </w:r>
          </w:p>
        </w:tc>
      </w:tr>
      <w:tr>
        <w:tblPrEx>
          <w:tblLayout w:type="fixed"/>
          <w:tblCellMar>
            <w:top w:w="0" w:type="dxa"/>
            <w:left w:w="0" w:type="dxa"/>
            <w:bottom w:w="0" w:type="dxa"/>
            <w:right w:w="0" w:type="dxa"/>
          </w:tblCellMar>
        </w:tblPrEx>
        <w:trPr>
          <w:trHeight w:val="94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厉行节约，做好我县网上信访平台的正常运行</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全年网络平台信访维护，成本控制不得突破11.77万元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全年网络平台信访维护，成本控制不得突破11.77万元</w:t>
            </w:r>
          </w:p>
        </w:tc>
      </w:tr>
      <w:tr>
        <w:tblPrEx>
          <w:tblLayout w:type="fixed"/>
          <w:tblCellMar>
            <w:top w:w="0" w:type="dxa"/>
            <w:left w:w="0" w:type="dxa"/>
            <w:bottom w:w="0" w:type="dxa"/>
            <w:right w:w="0" w:type="dxa"/>
          </w:tblCellMar>
        </w:tblPrEx>
        <w:trPr>
          <w:trHeight w:val="764"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高质量的办结网络平台上的信访案件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加大了信访突出问题化解力度</w:t>
            </w:r>
          </w:p>
        </w:tc>
      </w:tr>
      <w:tr>
        <w:tblPrEx>
          <w:tblLayout w:type="fixed"/>
          <w:tblCellMar>
            <w:top w:w="0" w:type="dxa"/>
            <w:left w:w="0" w:type="dxa"/>
            <w:bottom w:w="0" w:type="dxa"/>
            <w:right w:w="0" w:type="dxa"/>
          </w:tblCellMar>
        </w:tblPrEx>
        <w:trPr>
          <w:trHeight w:val="83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坚持绿色发展理念</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注重涉及环保方面政策的落实。</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注重涉及环保方面政策的落实。</w:t>
            </w:r>
          </w:p>
        </w:tc>
      </w:tr>
      <w:tr>
        <w:tblPrEx>
          <w:tblLayout w:type="fixed"/>
          <w:tblCellMar>
            <w:top w:w="0" w:type="dxa"/>
            <w:left w:w="0" w:type="dxa"/>
            <w:bottom w:w="0" w:type="dxa"/>
            <w:right w:w="0" w:type="dxa"/>
          </w:tblCellMar>
        </w:tblPrEx>
        <w:trPr>
          <w:trHeight w:val="90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保证了网上信访信息平台的畅通</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维护社会和谐稳定，长治久安</w:t>
            </w:r>
          </w:p>
        </w:tc>
      </w:tr>
      <w:tr>
        <w:tblPrEx>
          <w:tblLayout w:type="fixed"/>
          <w:tblCellMar>
            <w:top w:w="0" w:type="dxa"/>
            <w:left w:w="0" w:type="dxa"/>
            <w:bottom w:w="0" w:type="dxa"/>
            <w:right w:w="0" w:type="dxa"/>
          </w:tblCellMar>
        </w:tblPrEx>
        <w:trPr>
          <w:trHeight w:val="45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满意度指标</w:t>
            </w:r>
          </w:p>
        </w:tc>
        <w:tc>
          <w:tcPr>
            <w:tcW w:w="102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上级部门满意度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r>
        <w:tblPrEx>
          <w:tblLayout w:type="fixed"/>
          <w:tblCellMar>
            <w:top w:w="0" w:type="dxa"/>
            <w:left w:w="0" w:type="dxa"/>
            <w:bottom w:w="0" w:type="dxa"/>
            <w:right w:w="0" w:type="dxa"/>
          </w:tblCellMar>
        </w:tblPrEx>
        <w:trPr>
          <w:trHeight w:val="83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满意度指标</w:t>
            </w:r>
          </w:p>
        </w:tc>
        <w:tc>
          <w:tcPr>
            <w:tcW w:w="1025"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cs="宋体"/>
                <w:color w:val="000000"/>
                <w:sz w:val="24"/>
              </w:rPr>
            </w:pPr>
            <w:r>
              <w:rPr>
                <w:rFonts w:hint="eastAsia" w:ascii="宋体" w:hAnsi="宋体" w:eastAsia="宋体" w:cs="宋体"/>
                <w:i w:val="0"/>
                <w:color w:val="000000"/>
                <w:kern w:val="0"/>
                <w:sz w:val="24"/>
                <w:szCs w:val="24"/>
                <w:u w:val="none"/>
                <w:lang w:val="en-US" w:eastAsia="zh-CN" w:bidi="ar"/>
              </w:rPr>
              <w:t>相关部门和人员满意度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cs="宋体"/>
                <w:color w:val="000000"/>
                <w:sz w:val="24"/>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95%</w:t>
            </w:r>
          </w:p>
        </w:tc>
      </w:tr>
    </w:tbl>
    <w:p>
      <w:pPr>
        <w:spacing w:line="580" w:lineRule="exact"/>
        <w:rPr>
          <w:rFonts w:ascii="仿宋_GB2312" w:hAnsi="仿宋_GB2312" w:eastAsia="仿宋_GB2312" w:cs="仿宋_GB2312"/>
          <w:sz w:val="32"/>
          <w:szCs w:val="32"/>
        </w:rPr>
      </w:pPr>
    </w:p>
    <w:p>
      <w:pPr>
        <w:numPr>
          <w:numId w:val="0"/>
        </w:numPr>
        <w:spacing w:line="580" w:lineRule="exact"/>
        <w:ind w:firstLine="643" w:firstLineChars="200"/>
        <w:rPr>
          <w:rFonts w:ascii="仿宋" w:hAnsi="仿宋" w:eastAsia="仿宋" w:cs="仿宋_GB2312"/>
          <w:sz w:val="32"/>
          <w:szCs w:val="32"/>
        </w:rPr>
      </w:pPr>
      <w:r>
        <w:rPr>
          <w:rFonts w:hint="eastAsia" w:ascii="仿宋" w:hAnsi="仿宋" w:eastAsia="仿宋" w:cs="楷体_GB2312"/>
          <w:b/>
          <w:bCs/>
          <w:sz w:val="32"/>
          <w:szCs w:val="32"/>
          <w:lang w:eastAsia="zh-CN"/>
        </w:rPr>
        <w:t>（三）</w:t>
      </w:r>
      <w:r>
        <w:rPr>
          <w:rFonts w:hint="eastAsia" w:ascii="仿宋" w:hAnsi="仿宋" w:eastAsia="仿宋" w:cs="楷体_GB2312"/>
          <w:b/>
          <w:bCs/>
          <w:sz w:val="32"/>
          <w:szCs w:val="32"/>
        </w:rPr>
        <w:t>部门开展绩效评价结果。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本部门按要求对2018年部门整体支出绩效评价情况开展自评，《</w:t>
      </w:r>
      <w:r>
        <w:rPr>
          <w:rFonts w:hint="eastAsia" w:ascii="仿宋_GB2312" w:hAnsi="仿宋_GB2312" w:eastAsia="仿宋_GB2312" w:cs="仿宋_GB2312"/>
          <w:sz w:val="32"/>
          <w:szCs w:val="32"/>
          <w:lang w:eastAsia="zh-CN"/>
        </w:rPr>
        <w:t>渠县人民政府信访局</w:t>
      </w:r>
      <w:r>
        <w:rPr>
          <w:rFonts w:hint="eastAsia" w:ascii="仿宋_GB2312" w:hAnsi="仿宋_GB2312" w:eastAsia="仿宋_GB2312" w:cs="仿宋_GB2312"/>
          <w:sz w:val="32"/>
          <w:szCs w:val="32"/>
        </w:rPr>
        <w:t>2018年部门整体支出绩效评价报告》见附件。</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本部门自行组织对到京非正常上访人员劝返金工作经费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网络信访办公经费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渠县群众信访接待中心工作经</w:t>
      </w:r>
      <w:r>
        <w:rPr>
          <w:rFonts w:hint="eastAsia" w:ascii="仿宋_GB2312" w:hAnsi="仿宋_GB2312" w:eastAsia="仿宋_GB2312" w:cs="仿宋_GB2312"/>
          <w:sz w:val="32"/>
          <w:szCs w:val="32"/>
          <w:lang w:eastAsia="zh-CN"/>
        </w:rPr>
        <w:t>费、</w:t>
      </w:r>
      <w:r>
        <w:rPr>
          <w:rFonts w:hint="eastAsia" w:ascii="仿宋_GB2312" w:hAnsi="仿宋_GB2312" w:eastAsia="仿宋_GB2312" w:cs="仿宋_GB2312"/>
          <w:sz w:val="32"/>
          <w:szCs w:val="32"/>
        </w:rPr>
        <w:t>网上信访信息平台运行维护工作经费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信访门户网站和投诉平台运行维护费</w:t>
      </w:r>
      <w:r>
        <w:rPr>
          <w:rFonts w:hint="eastAsia" w:ascii="仿宋_GB2312" w:hAnsi="仿宋_GB2312" w:eastAsia="仿宋_GB2312" w:cs="仿宋_GB2312"/>
          <w:sz w:val="32"/>
          <w:szCs w:val="32"/>
          <w:lang w:eastAsia="zh-CN"/>
        </w:rPr>
        <w:t>共</w:t>
      </w:r>
      <w:r>
        <w:rPr>
          <w:rFonts w:hint="eastAsia" w:ascii="仿宋_GB2312" w:hAnsi="仿宋_GB2312" w:eastAsia="仿宋_GB2312" w:cs="仿宋_GB2312"/>
          <w:sz w:val="32"/>
          <w:szCs w:val="32"/>
          <w:lang w:val="en-US" w:eastAsia="zh-CN"/>
        </w:rPr>
        <w:t>5个</w:t>
      </w:r>
      <w:r>
        <w:rPr>
          <w:rFonts w:hint="eastAsia" w:ascii="仿宋_GB2312" w:hAnsi="仿宋_GB2312" w:eastAsia="仿宋_GB2312" w:cs="仿宋_GB2312"/>
          <w:sz w:val="32"/>
          <w:szCs w:val="32"/>
        </w:rPr>
        <w:t>项目开展了绩效评价，《</w:t>
      </w:r>
      <w:r>
        <w:rPr>
          <w:rFonts w:hint="eastAsia" w:ascii="仿宋_GB2312" w:hAnsi="仿宋_GB2312" w:eastAsia="仿宋_GB2312" w:cs="仿宋_GB2312"/>
          <w:sz w:val="32"/>
          <w:szCs w:val="32"/>
          <w:lang w:eastAsia="zh-CN"/>
        </w:rPr>
        <w:t>渠县人民政府信访局</w:t>
      </w:r>
      <w:r>
        <w:rPr>
          <w:rFonts w:hint="eastAsia" w:ascii="仿宋_GB2312" w:hAnsi="仿宋_GB2312" w:eastAsia="仿宋_GB2312" w:cs="仿宋_GB2312"/>
          <w:sz w:val="32"/>
          <w:szCs w:val="32"/>
        </w:rPr>
        <w:t>项目2018年绩效评价报告》见附件。</w:t>
      </w:r>
    </w:p>
    <w:p>
      <w:pPr>
        <w:spacing w:line="600" w:lineRule="exact"/>
        <w:ind w:firstLine="800" w:firstLineChars="250"/>
        <w:outlineLvl w:val="1"/>
        <w:rPr>
          <w:rStyle w:val="26"/>
          <w:rFonts w:ascii="黑体" w:hAnsi="黑体" w:eastAsia="黑体"/>
        </w:rPr>
      </w:pPr>
      <w:bookmarkStart w:id="50" w:name="_Toc15377221"/>
      <w:bookmarkStart w:id="51" w:name="_Toc15396612"/>
      <w:r>
        <w:rPr>
          <w:rFonts w:hint="eastAsia" w:ascii="黑体" w:hAnsi="黑体" w:eastAsia="黑体"/>
          <w:color w:val="000000"/>
          <w:sz w:val="32"/>
          <w:szCs w:val="32"/>
        </w:rPr>
        <w:t>十</w:t>
      </w:r>
      <w:r>
        <w:rPr>
          <w:rStyle w:val="26"/>
          <w:rFonts w:hint="eastAsia" w:ascii="黑体" w:hAnsi="黑体" w:eastAsia="黑体"/>
        </w:rPr>
        <w:t>一、</w:t>
      </w:r>
      <w:r>
        <w:rPr>
          <w:rStyle w:val="26"/>
          <w:rFonts w:hint="eastAsia" w:ascii="黑体" w:hAnsi="黑体" w:eastAsia="黑体"/>
          <w:b w:val="0"/>
        </w:rPr>
        <w:t>其他重要事项的情况说明</w:t>
      </w:r>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ascii="仿宋_GB2312" w:eastAsia="仿宋_GB2312"/>
          <w:color w:val="000000"/>
          <w:sz w:val="32"/>
          <w:szCs w:val="32"/>
        </w:rPr>
        <w:t>201</w:t>
      </w:r>
      <w:r>
        <w:rPr>
          <w:rFonts w:hint="eastAsia" w:ascii="仿宋_GB2312" w:eastAsia="仿宋_GB2312"/>
          <w:color w:val="000000"/>
          <w:sz w:val="32"/>
          <w:szCs w:val="32"/>
        </w:rPr>
        <w:t>8年，</w:t>
      </w:r>
      <w:r>
        <w:rPr>
          <w:rFonts w:hint="eastAsia" w:ascii="仿宋_GB2312" w:hAnsi="仿宋_GB2312" w:eastAsia="仿宋_GB2312" w:cs="仿宋_GB2312"/>
          <w:sz w:val="32"/>
          <w:szCs w:val="32"/>
          <w:lang w:eastAsia="zh-CN"/>
        </w:rPr>
        <w:t>渠县人民政府信访局</w:t>
      </w:r>
      <w:r>
        <w:rPr>
          <w:rFonts w:hint="eastAsia" w:ascii="仿宋_GB2312" w:eastAsia="仿宋_GB2312"/>
          <w:color w:val="000000"/>
          <w:sz w:val="32"/>
          <w:szCs w:val="32"/>
        </w:rPr>
        <w:t>机关运行经费支出</w:t>
      </w:r>
      <w:r>
        <w:rPr>
          <w:rFonts w:hint="eastAsia" w:ascii="仿宋_GB2312" w:eastAsia="仿宋_GB2312"/>
          <w:color w:val="000000"/>
          <w:sz w:val="32"/>
          <w:szCs w:val="32"/>
          <w:lang w:val="en-US" w:eastAsia="zh-CN"/>
        </w:rPr>
        <w:t>60.08</w:t>
      </w:r>
      <w:r>
        <w:rPr>
          <w:rFonts w:hint="eastAsia" w:ascii="仿宋_GB2312" w:eastAsia="仿宋_GB2312"/>
          <w:color w:val="000000"/>
          <w:sz w:val="32"/>
          <w:szCs w:val="32"/>
        </w:rPr>
        <w:t>万元，比</w:t>
      </w:r>
      <w:r>
        <w:rPr>
          <w:rFonts w:ascii="仿宋_GB2312" w:eastAsia="仿宋_GB2312"/>
          <w:color w:val="000000"/>
          <w:sz w:val="32"/>
          <w:szCs w:val="32"/>
        </w:rPr>
        <w:t>201</w:t>
      </w:r>
      <w:r>
        <w:rPr>
          <w:rFonts w:hint="eastAsia" w:ascii="仿宋_GB2312" w:eastAsia="仿宋_GB2312"/>
          <w:color w:val="000000"/>
          <w:sz w:val="32"/>
          <w:szCs w:val="32"/>
        </w:rPr>
        <w:t>7年增加</w:t>
      </w:r>
      <w:r>
        <w:rPr>
          <w:rFonts w:hint="eastAsia" w:ascii="仿宋_GB2312" w:eastAsia="仿宋_GB2312"/>
          <w:color w:val="000000"/>
          <w:sz w:val="32"/>
          <w:szCs w:val="32"/>
          <w:lang w:val="en-US" w:eastAsia="zh-CN"/>
        </w:rPr>
        <w:t>8.26</w:t>
      </w:r>
      <w:r>
        <w:rPr>
          <w:rFonts w:hint="eastAsia" w:ascii="仿宋_GB2312" w:eastAsia="仿宋_GB2312"/>
          <w:color w:val="000000"/>
          <w:sz w:val="32"/>
          <w:szCs w:val="32"/>
        </w:rPr>
        <w:t>万元，增长</w:t>
      </w:r>
      <w:r>
        <w:rPr>
          <w:rFonts w:hint="eastAsia" w:ascii="仿宋_GB2312" w:eastAsia="仿宋_GB2312"/>
          <w:color w:val="000000"/>
          <w:sz w:val="32"/>
          <w:szCs w:val="32"/>
          <w:lang w:val="en-US" w:eastAsia="zh-CN"/>
        </w:rPr>
        <w:t>15.9</w:t>
      </w:r>
      <w:r>
        <w:rPr>
          <w:rFonts w:ascii="仿宋_GB2312" w:eastAsia="仿宋_GB2312"/>
          <w:color w:val="000000"/>
          <w:sz w:val="32"/>
          <w:szCs w:val="32"/>
        </w:rPr>
        <w:t>%</w:t>
      </w:r>
      <w:r>
        <w:rPr>
          <w:rFonts w:hint="eastAsia" w:ascii="仿宋_GB2312" w:eastAsia="仿宋_GB2312"/>
          <w:color w:val="000000"/>
          <w:sz w:val="32"/>
          <w:szCs w:val="32"/>
        </w:rPr>
        <w:t>。</w:t>
      </w:r>
      <w:r>
        <w:rPr>
          <w:rFonts w:hint="eastAsia" w:ascii="仿宋_GB2312" w:eastAsia="仿宋_GB2312"/>
          <w:color w:val="000000" w:themeColor="text1"/>
          <w:sz w:val="32"/>
          <w:szCs w:val="32"/>
          <w14:textFill>
            <w14:solidFill>
              <w14:schemeClr w14:val="tx1"/>
            </w14:solidFill>
          </w14:textFill>
        </w:rPr>
        <w:t>主要原因是</w:t>
      </w:r>
      <w:r>
        <w:rPr>
          <w:rFonts w:hint="eastAsia" w:ascii="仿宋_GB2312" w:eastAsia="仿宋_GB2312"/>
          <w:color w:val="000000" w:themeColor="text1"/>
          <w:sz w:val="32"/>
          <w:szCs w:val="32"/>
          <w:lang w:eastAsia="zh-CN"/>
          <w14:textFill>
            <w14:solidFill>
              <w14:schemeClr w14:val="tx1"/>
            </w14:solidFill>
          </w14:textFill>
        </w:rPr>
        <w:t>信访工作项目资金增多。</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CS05</w:t>
      </w:r>
      <w:r>
        <w:rPr>
          <w:rFonts w:hint="eastAsia" w:ascii="仿宋" w:hAnsi="仿宋" w:eastAsia="仿宋"/>
          <w:b/>
          <w:color w:val="00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8年，</w:t>
      </w:r>
      <w:r>
        <w:rPr>
          <w:rFonts w:hint="eastAsia" w:ascii="仿宋_GB2312" w:hAnsi="仿宋_GB2312" w:eastAsia="仿宋_GB2312" w:cs="仿宋_GB2312"/>
          <w:sz w:val="32"/>
          <w:szCs w:val="32"/>
          <w:lang w:eastAsia="zh-CN"/>
        </w:rPr>
        <w:t>渠县人民政府信访局</w:t>
      </w:r>
      <w:r>
        <w:rPr>
          <w:rFonts w:hint="eastAsia" w:ascii="仿宋_GB2312" w:eastAsia="仿宋_GB2312"/>
          <w:color w:val="000000"/>
          <w:sz w:val="32"/>
          <w:szCs w:val="32"/>
        </w:rPr>
        <w:t>政府采购支出总额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CS06</w:t>
      </w:r>
      <w:r>
        <w:rPr>
          <w:rFonts w:hint="eastAsia" w:ascii="仿宋" w:hAnsi="仿宋" w:eastAsia="仿宋"/>
          <w:b/>
          <w:color w:val="00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8年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hAnsi="仿宋_GB2312" w:eastAsia="仿宋_GB2312" w:cs="仿宋_GB2312"/>
          <w:sz w:val="32"/>
          <w:szCs w:val="32"/>
          <w:lang w:eastAsia="zh-CN"/>
        </w:rPr>
        <w:t>渠县人民政府信访局</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CS05</w:t>
      </w:r>
      <w:r>
        <w:rPr>
          <w:rFonts w:hint="eastAsia" w:ascii="仿宋" w:hAnsi="仿宋" w:eastAsia="仿宋"/>
          <w:b/>
          <w:color w:val="000000"/>
          <w:sz w:val="32"/>
          <w:szCs w:val="32"/>
        </w:rPr>
        <w:t>表，按部门决算报表填报数据罗列车辆情况。）</w:t>
      </w:r>
    </w:p>
    <w:p>
      <w:pPr>
        <w:spacing w:line="600" w:lineRule="atLeast"/>
        <w:ind w:firstLine="643" w:firstLineChars="200"/>
        <w:rPr>
          <w:rFonts w:ascii="仿宋_GB2312" w:eastAsia="仿宋_GB2312"/>
          <w:b/>
          <w:color w:val="000000"/>
          <w:sz w:val="32"/>
          <w:szCs w:val="32"/>
        </w:rPr>
      </w:pP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7"/>
        </w:numPr>
        <w:spacing w:line="600" w:lineRule="exact"/>
        <w:ind w:firstLine="663" w:firstLineChars="150"/>
        <w:jc w:val="center"/>
        <w:outlineLvl w:val="0"/>
        <w:rPr>
          <w:rStyle w:val="25"/>
          <w:rFonts w:ascii="黑体" w:hAnsi="黑体" w:eastAsia="黑体"/>
          <w:b w:val="0"/>
        </w:rPr>
      </w:pPr>
      <w:bookmarkStart w:id="55" w:name="_Toc15396613"/>
      <w:bookmarkStart w:id="56" w:name="_Toc15377225"/>
      <w:r>
        <w:rPr>
          <w:rFonts w:hint="eastAsia" w:ascii="黑体" w:hAnsi="黑体" w:eastAsia="黑体"/>
          <w:b/>
          <w:color w:val="000000"/>
          <w:sz w:val="44"/>
          <w:szCs w:val="44"/>
        </w:rPr>
        <w:t>名</w:t>
      </w:r>
      <w:r>
        <w:rPr>
          <w:rStyle w:val="25"/>
          <w:rFonts w:hint="eastAsia" w:ascii="黑体" w:hAnsi="黑体" w:eastAsia="黑体"/>
          <w:b w:val="0"/>
        </w:rPr>
        <w:t>词解释</w:t>
      </w:r>
      <w:bookmarkEnd w:id="55"/>
      <w:bookmarkEnd w:id="56"/>
    </w:p>
    <w:p>
      <w:pPr>
        <w:spacing w:line="600" w:lineRule="exact"/>
        <w:jc w:val="left"/>
        <w:rPr>
          <w:rFonts w:ascii="宋体"/>
          <w:b/>
          <w:color w:val="000000"/>
          <w:sz w:val="44"/>
          <w:szCs w:val="44"/>
        </w:rPr>
      </w:pPr>
    </w:p>
    <w:p>
      <w:pPr>
        <w:pStyle w:val="23"/>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3"/>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3"/>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3"/>
        <w:spacing w:line="560" w:lineRule="exact"/>
        <w:ind w:firstLine="640" w:firstLineChars="200"/>
        <w:rPr>
          <w:rFonts w:hint="eastAsia"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3"/>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23"/>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3"/>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3"/>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ascii="仿宋_GB2312" w:eastAsia="仿宋_GB2312"/>
          <w:color w:val="000000"/>
          <w:sz w:val="32"/>
          <w:szCs w:val="32"/>
        </w:rPr>
        <w:t>9.</w:t>
      </w:r>
      <w:r>
        <w:rPr>
          <w:rFonts w:hint="eastAsia" w:ascii="仿宋_GB2312" w:hAnsi="Calibri" w:eastAsia="仿宋_GB2312" w:cs="仿宋"/>
          <w:color w:val="000000"/>
          <w:kern w:val="0"/>
          <w:sz w:val="32"/>
          <w:szCs w:val="32"/>
          <w:lang w:val="en-US" w:eastAsia="zh-CN" w:bidi="ar-SA"/>
        </w:rPr>
        <w:t>一般公共服务（类）政府办公厅（室）及相关机构事务（款） 行政运行（项）: 政府行政机关发放职工工资福利支出和商品服务</w:t>
      </w:r>
      <w:r>
        <w:rPr>
          <w:rFonts w:hint="eastAsia" w:ascii="仿宋_GB2312" w:hAnsi="Calibri" w:eastAsia="仿宋_GB2312" w:cs="仿宋"/>
          <w:color w:val="000000"/>
          <w:kern w:val="0"/>
          <w:sz w:val="32"/>
          <w:szCs w:val="32"/>
          <w:lang w:val="en-US" w:eastAsia="zh-CN" w:bidi="ar-SA"/>
        </w:rPr>
        <w:t>支出及其他个人和家庭福利支出开支。</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10.</w:t>
      </w:r>
      <w:r>
        <w:rPr>
          <w:rFonts w:hint="eastAsia" w:ascii="仿宋_GB2312" w:hAnsi="Calibri" w:eastAsia="仿宋_GB2312" w:cs="仿宋"/>
          <w:color w:val="000000"/>
          <w:kern w:val="0"/>
          <w:sz w:val="32"/>
          <w:szCs w:val="32"/>
          <w:lang w:val="en-US" w:eastAsia="zh-CN" w:bidi="ar-SA"/>
        </w:rPr>
        <w:t>一般公共服务（类）政府办公厅（室）及相关机构事务（款） 信访事务（项）: 国家信访机关为信访工作开支经费。</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12.</w:t>
      </w:r>
      <w:r>
        <w:rPr>
          <w:rFonts w:hint="eastAsia" w:ascii="仿宋_GB2312" w:hAnsi="Calibri" w:eastAsia="仿宋_GB2312" w:cs="仿宋"/>
          <w:color w:val="000000"/>
          <w:kern w:val="0"/>
          <w:sz w:val="32"/>
          <w:szCs w:val="32"/>
          <w:lang w:val="en-US" w:eastAsia="zh-CN" w:bidi="ar-SA"/>
        </w:rPr>
        <w:t>社会保障和就业（类）行政事业单位离退休（款）机关事业单位基本养老保险缴费支（项）: 为职工交纳基本养老保险预算经费。</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13.社会保障和就业（类）支出行政事业单位离退休（款）机关事业单位职业年金缴费支出（项）: 为当年应退休职工交纳的职业年金。</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 xml:space="preserve">14.医疗卫生支出（类）行政事业单位医疗（款）行政单位医疗支出（项）: </w:t>
      </w:r>
      <w:r>
        <w:rPr>
          <w:rFonts w:hint="eastAsia" w:ascii="仿宋_GB2312" w:hAnsi="Calibri" w:eastAsia="仿宋_GB2312" w:cs="仿宋"/>
          <w:color w:val="000000"/>
          <w:kern w:val="0"/>
          <w:sz w:val="32"/>
          <w:szCs w:val="32"/>
          <w:lang w:val="en-US" w:eastAsia="zh-CN" w:bidi="ar-SA"/>
        </w:rPr>
        <w:t>为职工医疗保险预算经费。</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15..住房保障支出（类）住房改革支出（款）住房公积金（项）：</w:t>
      </w:r>
      <w:r>
        <w:rPr>
          <w:rFonts w:hint="eastAsia" w:ascii="仿宋_GB2312" w:hAnsi="Calibri" w:eastAsia="仿宋_GB2312" w:cs="仿宋"/>
          <w:color w:val="000000"/>
          <w:kern w:val="0"/>
          <w:sz w:val="32"/>
          <w:szCs w:val="32"/>
          <w:lang w:val="en-US" w:eastAsia="zh-CN" w:bidi="ar-SA"/>
        </w:rPr>
        <w:t>职工住房公积金预算经费。</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（解释本部门决算报表中全部功能分类科目至项级，请参照《2018年政府收支分类科目》增减内容。）</w:t>
      </w:r>
    </w:p>
    <w:p>
      <w:pPr>
        <w:spacing w:line="600" w:lineRule="exact"/>
        <w:ind w:firstLine="640" w:firstLineChars="200"/>
        <w:rPr>
          <w:rFonts w:ascii="仿宋_GB2312" w:eastAsia="仿宋_GB2312"/>
          <w:color w:val="000000"/>
          <w:sz w:val="32"/>
          <w:szCs w:val="32"/>
        </w:rPr>
      </w:pPr>
      <w:r>
        <w:rPr>
          <w:rFonts w:hint="eastAsia" w:ascii="仿宋_GB2312" w:hAnsi="Calibri" w:eastAsia="仿宋_GB2312" w:cs="仿宋"/>
          <w:color w:val="000000"/>
          <w:kern w:val="0"/>
          <w:sz w:val="32"/>
          <w:szCs w:val="32"/>
          <w:lang w:val="en-US" w:eastAsia="zh-CN" w:bidi="ar-SA"/>
        </w:rPr>
        <w:t>16.基本支出：指为保障机构正常</w:t>
      </w:r>
      <w:r>
        <w:rPr>
          <w:rFonts w:hint="eastAsia" w:ascii="仿宋_GB2312" w:eastAsia="仿宋_GB2312"/>
          <w:color w:val="000000"/>
          <w:sz w:val="32"/>
          <w:szCs w:val="32"/>
        </w:rPr>
        <w:t>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17</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18.</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19</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jc w:val="center"/>
        <w:rPr>
          <w:rStyle w:val="25"/>
          <w:rFonts w:ascii="黑体" w:hAnsi="黑体" w:eastAsia="黑体"/>
          <w:b w:val="0"/>
        </w:rPr>
      </w:pPr>
      <w:r>
        <w:rPr>
          <w:rFonts w:hint="eastAsia" w:ascii="仿宋" w:hAnsi="仿宋" w:eastAsia="仿宋"/>
          <w:b/>
          <w:color w:val="000000"/>
          <w:sz w:val="32"/>
          <w:szCs w:val="32"/>
        </w:rPr>
        <w:t>（名词解释部分请根据各部门实际列支情况罗列，并根据本部门职责职能增减名词解释内容。）</w:t>
      </w:r>
      <w:bookmarkStart w:id="57" w:name="_Toc15377226"/>
      <w:r>
        <w:rPr>
          <w:rFonts w:ascii="宋体"/>
          <w:b/>
          <w:color w:val="000000"/>
          <w:sz w:val="44"/>
          <w:szCs w:val="44"/>
        </w:rPr>
        <w:br w:type="page"/>
      </w:r>
      <w:bookmarkStart w:id="58" w:name="_Toc15396614"/>
      <w:r>
        <w:rPr>
          <w:rFonts w:hint="eastAsia" w:ascii="黑体" w:hAnsi="黑体" w:eastAsia="黑体"/>
          <w:color w:val="000000"/>
          <w:sz w:val="44"/>
          <w:szCs w:val="44"/>
        </w:rPr>
        <w:t>第</w:t>
      </w:r>
      <w:r>
        <w:rPr>
          <w:rStyle w:val="25"/>
          <w:rFonts w:hint="eastAsia" w:ascii="黑体" w:hAnsi="黑体" w:eastAsia="黑体"/>
          <w:b w:val="0"/>
        </w:rPr>
        <w:t>四部分 附件</w:t>
      </w:r>
      <w:bookmarkEnd w:id="58"/>
    </w:p>
    <w:p>
      <w:pPr>
        <w:spacing w:line="600" w:lineRule="exact"/>
        <w:jc w:val="center"/>
        <w:outlineLvl w:val="0"/>
        <w:rPr>
          <w:rStyle w:val="25"/>
        </w:rPr>
      </w:pPr>
    </w:p>
    <w:p>
      <w:pPr>
        <w:pStyle w:val="3"/>
        <w:rPr>
          <w:rStyle w:val="25"/>
          <w:rFonts w:ascii="仿宋" w:hAnsi="仿宋" w:eastAsia="仿宋"/>
          <w:b w:val="0"/>
          <w:bCs w:val="0"/>
          <w:sz w:val="32"/>
          <w:szCs w:val="32"/>
        </w:rPr>
      </w:pPr>
      <w:bookmarkStart w:id="59" w:name="_Toc15396615"/>
      <w:r>
        <w:rPr>
          <w:rStyle w:val="25"/>
          <w:rFonts w:hint="eastAsia" w:ascii="仿宋" w:hAnsi="仿宋" w:eastAsia="仿宋"/>
          <w:b w:val="0"/>
          <w:bCs w:val="0"/>
          <w:sz w:val="32"/>
          <w:szCs w:val="32"/>
        </w:rPr>
        <w:t>附件1</w:t>
      </w:r>
      <w:bookmarkEnd w:id="59"/>
    </w:p>
    <w:p>
      <w:pPr>
        <w:spacing w:line="600" w:lineRule="exact"/>
        <w:jc w:val="center"/>
        <w:outlineLvl w:val="0"/>
        <w:rPr>
          <w:rFonts w:hint="eastAsia" w:ascii="黑体" w:hAnsi="黑体" w:eastAsia="黑体" w:cs="方正小标宋简体"/>
          <w:sz w:val="36"/>
          <w:szCs w:val="36"/>
          <w:lang w:eastAsia="zh-CN"/>
        </w:rPr>
      </w:pPr>
      <w:bookmarkStart w:id="60" w:name="_Toc15396616"/>
      <w:r>
        <w:rPr>
          <w:rFonts w:hint="eastAsia" w:ascii="黑体" w:hAnsi="黑体" w:eastAsia="黑体" w:cs="方正小标宋简体"/>
          <w:sz w:val="36"/>
          <w:szCs w:val="36"/>
          <w:lang w:eastAsia="zh-CN"/>
        </w:rPr>
        <w:t>渠县人民政府信访局</w:t>
      </w:r>
    </w:p>
    <w:p>
      <w:pPr>
        <w:spacing w:line="600" w:lineRule="exact"/>
        <w:jc w:val="center"/>
        <w:outlineLvl w:val="0"/>
        <w:rPr>
          <w:rFonts w:ascii="黑体" w:hAnsi="黑体" w:eastAsia="黑体" w:cs="方正小标宋简体"/>
          <w:sz w:val="36"/>
          <w:szCs w:val="36"/>
        </w:rPr>
      </w:pPr>
      <w:r>
        <w:rPr>
          <w:rFonts w:hint="eastAsia" w:ascii="黑体" w:hAnsi="黑体" w:eastAsia="黑体" w:cs="方正小标宋简体"/>
          <w:sz w:val="36"/>
          <w:szCs w:val="36"/>
        </w:rPr>
        <w:t>2018年部门整体支出绩效评价报告</w:t>
      </w:r>
      <w:bookmarkEnd w:id="60"/>
    </w:p>
    <w:p>
      <w:pPr>
        <w:spacing w:line="580" w:lineRule="exact"/>
        <w:ind w:firstLine="640" w:firstLineChars="200"/>
        <w:rPr>
          <w:rFonts w:ascii="黑体" w:hAnsi="黑体" w:eastAsia="黑体" w:cs="黑体"/>
          <w:sz w:val="32"/>
          <w:szCs w:val="32"/>
        </w:rPr>
      </w:pP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一、部门（单位）概况</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（一）机构组成。</w:t>
      </w:r>
      <w:r>
        <w:rPr>
          <w:rFonts w:hint="eastAsia" w:ascii="方正仿宋_GBK" w:hAnsi="方正仿宋_GBK" w:eastAsia="方正仿宋_GBK" w:cs="方正仿宋_GBK"/>
          <w:i w:val="0"/>
          <w:color w:val="000000"/>
          <w:sz w:val="32"/>
          <w:szCs w:val="32"/>
          <w:shd w:val="clear" w:color="auto" w:fill="FFFFFF"/>
          <w:lang w:eastAsia="zh-CN"/>
        </w:rPr>
        <w:t>渠县人民政府</w:t>
      </w:r>
      <w:r>
        <w:rPr>
          <w:rFonts w:hint="eastAsia" w:ascii="方正仿宋_GBK" w:hAnsi="方正仿宋_GBK" w:eastAsia="方正仿宋_GBK" w:cs="方正仿宋_GBK"/>
          <w:i w:val="0"/>
          <w:color w:val="000000"/>
          <w:sz w:val="32"/>
          <w:szCs w:val="32"/>
          <w:shd w:val="clear" w:color="auto" w:fill="FFFFFF"/>
        </w:rPr>
        <w:t>信访局</w:t>
      </w:r>
      <w:r>
        <w:rPr>
          <w:rFonts w:hint="eastAsia" w:ascii="仿宋_GB2312" w:hAnsi="Times New Roman" w:eastAsia="仿宋_GB2312"/>
          <w:color w:val="000000"/>
          <w:sz w:val="32"/>
          <w:szCs w:val="32"/>
        </w:rPr>
        <w:t>下属二级单位</w:t>
      </w:r>
      <w:r>
        <w:rPr>
          <w:rFonts w:hint="eastAsia" w:ascii="仿宋_GB2312" w:hAnsi="Times New Roman" w:eastAsia="仿宋_GB2312"/>
          <w:color w:val="000000"/>
          <w:sz w:val="32"/>
          <w:szCs w:val="32"/>
          <w:lang w:val="en-US" w:eastAsia="zh-CN"/>
        </w:rPr>
        <w:t>1</w:t>
      </w:r>
      <w:r>
        <w:rPr>
          <w:rFonts w:hint="eastAsia" w:ascii="仿宋_GB2312" w:hAnsi="Times New Roman" w:eastAsia="仿宋_GB2312"/>
          <w:color w:val="000000"/>
          <w:sz w:val="32"/>
          <w:szCs w:val="32"/>
        </w:rPr>
        <w:t>个，其中行政单位</w:t>
      </w:r>
      <w:r>
        <w:rPr>
          <w:rFonts w:hint="eastAsia" w:ascii="仿宋_GB2312" w:hAnsi="Times New Roman" w:eastAsia="仿宋_GB2312"/>
          <w:color w:val="000000"/>
          <w:sz w:val="32"/>
          <w:szCs w:val="32"/>
          <w:lang w:val="en-US" w:eastAsia="zh-CN"/>
        </w:rPr>
        <w:t>0</w:t>
      </w:r>
      <w:r>
        <w:rPr>
          <w:rFonts w:hint="eastAsia" w:ascii="仿宋_GB2312" w:hAnsi="Times New Roman" w:eastAsia="仿宋_GB2312"/>
          <w:color w:val="000000"/>
          <w:sz w:val="32"/>
          <w:szCs w:val="32"/>
        </w:rPr>
        <w:t>个，参照公务员法管理的事业单位</w:t>
      </w:r>
      <w:r>
        <w:rPr>
          <w:rFonts w:hint="eastAsia" w:ascii="仿宋_GB2312" w:hAnsi="Times New Roman" w:eastAsia="仿宋_GB2312"/>
          <w:color w:val="000000"/>
          <w:sz w:val="32"/>
          <w:szCs w:val="32"/>
          <w:lang w:val="en-US" w:eastAsia="zh-CN"/>
        </w:rPr>
        <w:t>0</w:t>
      </w:r>
      <w:r>
        <w:rPr>
          <w:rFonts w:hint="eastAsia" w:ascii="仿宋_GB2312" w:hAnsi="Times New Roman" w:eastAsia="仿宋_GB2312"/>
          <w:color w:val="000000"/>
          <w:sz w:val="32"/>
          <w:szCs w:val="32"/>
        </w:rPr>
        <w:t>个，其他事业单位</w:t>
      </w:r>
      <w:r>
        <w:rPr>
          <w:rFonts w:hint="eastAsia" w:ascii="仿宋_GB2312" w:hAnsi="Times New Roman" w:eastAsia="仿宋_GB2312"/>
          <w:color w:val="000000"/>
          <w:sz w:val="32"/>
          <w:szCs w:val="32"/>
          <w:lang w:val="en-US" w:eastAsia="zh-CN"/>
        </w:rPr>
        <w:t>1</w:t>
      </w:r>
      <w:r>
        <w:rPr>
          <w:rFonts w:hint="eastAsia" w:ascii="仿宋_GB2312" w:hAnsi="Times New Roman" w:eastAsia="仿宋_GB2312"/>
          <w:color w:val="000000"/>
          <w:sz w:val="32"/>
          <w:szCs w:val="32"/>
        </w:rPr>
        <w:t>个</w:t>
      </w:r>
      <w:r>
        <w:rPr>
          <w:rFonts w:hint="eastAsia" w:ascii="仿宋_GB2312" w:eastAsia="仿宋_GB2312"/>
          <w:color w:val="000000"/>
          <w:sz w:val="32"/>
          <w:szCs w:val="32"/>
          <w:lang w:eastAsia="zh-CN"/>
        </w:rPr>
        <w:t>（渠县信访接待中心）</w:t>
      </w:r>
      <w:r>
        <w:rPr>
          <w:rFonts w:hint="eastAsia" w:ascii="仿宋_GB2312" w:hAnsi="Times New Roman" w:eastAsia="仿宋_GB2312"/>
          <w:color w:val="000000"/>
          <w:sz w:val="32"/>
          <w:szCs w:val="32"/>
        </w:rPr>
        <w:t>。</w:t>
      </w:r>
      <w:r>
        <w:rPr>
          <w:rFonts w:hint="eastAsia" w:ascii="方正仿宋_GBK" w:hAnsi="方正仿宋_GBK" w:eastAsia="方正仿宋_GBK" w:cs="方正仿宋_GBK"/>
          <w:i w:val="0"/>
          <w:color w:val="000000"/>
          <w:sz w:val="32"/>
          <w:szCs w:val="32"/>
          <w:shd w:val="clear" w:color="auto" w:fill="FFFFFF"/>
        </w:rPr>
        <w:t>内设信访接待中心、综合科、督查督办科、办信科。并设有渠县人民政府信访事项复查复核委员会办公</w:t>
      </w:r>
      <w:r>
        <w:rPr>
          <w:rFonts w:hint="eastAsia" w:ascii="方正仿宋_GBK" w:hAnsi="方正仿宋_GBK" w:eastAsia="方正仿宋_GBK" w:cs="方正仿宋_GBK"/>
          <w:i w:val="0"/>
          <w:color w:val="000000"/>
          <w:sz w:val="32"/>
          <w:szCs w:val="32"/>
          <w:shd w:val="clear" w:color="auto" w:fill="FFFFFF"/>
          <w:lang w:eastAsia="zh-CN"/>
        </w:rPr>
        <w:t>局</w:t>
      </w:r>
      <w:r>
        <w:rPr>
          <w:rFonts w:hint="eastAsia" w:ascii="方正仿宋_GBK" w:hAnsi="方正仿宋_GBK" w:eastAsia="方正仿宋_GBK" w:cs="方正仿宋_GBK"/>
          <w:i w:val="0"/>
          <w:color w:val="000000"/>
          <w:sz w:val="32"/>
          <w:szCs w:val="32"/>
          <w:shd w:val="clear" w:color="auto" w:fill="FFFFFF"/>
        </w:rPr>
        <w:t>、渠县信访联席会议办公</w:t>
      </w:r>
      <w:r>
        <w:rPr>
          <w:rFonts w:hint="eastAsia" w:ascii="方正仿宋_GBK" w:hAnsi="方正仿宋_GBK" w:eastAsia="方正仿宋_GBK" w:cs="方正仿宋_GBK"/>
          <w:i w:val="0"/>
          <w:color w:val="000000"/>
          <w:sz w:val="32"/>
          <w:szCs w:val="32"/>
          <w:shd w:val="clear" w:color="auto" w:fill="FFFFFF"/>
          <w:lang w:eastAsia="zh-CN"/>
        </w:rPr>
        <w:t>局</w:t>
      </w:r>
      <w:r>
        <w:rPr>
          <w:rFonts w:hint="eastAsia" w:ascii="方正仿宋_GBK" w:hAnsi="方正仿宋_GBK" w:eastAsia="方正仿宋_GBK" w:cs="方正仿宋_GBK"/>
          <w:i w:val="0"/>
          <w:color w:val="000000"/>
          <w:sz w:val="32"/>
          <w:szCs w:val="32"/>
          <w:shd w:val="clear" w:color="auto" w:fill="FFFFFF"/>
        </w:rPr>
        <w:t>。</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（二）机构职能。</w:t>
      </w:r>
    </w:p>
    <w:p>
      <w:pPr>
        <w:spacing w:line="580" w:lineRule="exact"/>
        <w:ind w:firstLine="640" w:firstLineChars="200"/>
        <w:rPr>
          <w:rFonts w:ascii="仿宋" w:hAnsi="仿宋" w:eastAsia="仿宋" w:cs="仿宋_GB2312"/>
          <w:sz w:val="32"/>
          <w:szCs w:val="32"/>
        </w:rPr>
      </w:pPr>
      <w:r>
        <w:rPr>
          <w:rFonts w:hint="eastAsia" w:ascii="方正仿宋_GBK" w:hAnsi="方正仿宋_GBK" w:eastAsia="方正仿宋_GBK" w:cs="方正仿宋_GBK"/>
          <w:i w:val="0"/>
          <w:color w:val="000000"/>
          <w:sz w:val="32"/>
          <w:szCs w:val="32"/>
          <w:shd w:val="clear" w:color="auto" w:fill="FFFFFF"/>
          <w:lang w:eastAsia="zh-CN"/>
        </w:rPr>
        <w:t>一是</w:t>
      </w:r>
      <w:r>
        <w:rPr>
          <w:rFonts w:hint="eastAsia" w:ascii="方正仿宋_GBK" w:hAnsi="方正仿宋_GBK" w:eastAsia="方正仿宋_GBK" w:cs="方正仿宋_GBK"/>
          <w:i w:val="0"/>
          <w:color w:val="000000"/>
          <w:sz w:val="32"/>
          <w:szCs w:val="32"/>
          <w:shd w:val="clear" w:color="auto" w:fill="FFFFFF"/>
        </w:rPr>
        <w:t>负责处理全县人民群众给县委、县政府及领导同志的来信，接待群众来访，保证信访渠道畅通；及时、准确地向县委、县政府有关领导反映群众的来信来访中提出的重要建议、意见和问题；综合分析信访形势、筛选信息，为县委、县政府领导决策、指导工作，提供信息服务。</w:t>
      </w:r>
      <w:r>
        <w:rPr>
          <w:rFonts w:hint="eastAsia" w:ascii="方正仿宋_GBK" w:hAnsi="方正仿宋_GBK" w:eastAsia="方正仿宋_GBK" w:cs="方正仿宋_GBK"/>
          <w:i w:val="0"/>
          <w:color w:val="000000"/>
          <w:sz w:val="32"/>
          <w:szCs w:val="32"/>
          <w:shd w:val="clear" w:color="auto" w:fill="FFFFFF"/>
          <w:lang w:eastAsia="zh-CN"/>
        </w:rPr>
        <w:t>二是</w:t>
      </w:r>
      <w:r>
        <w:rPr>
          <w:rFonts w:hint="eastAsia" w:ascii="方正仿宋_GBK" w:hAnsi="方正仿宋_GBK" w:eastAsia="方正仿宋_GBK" w:cs="方正仿宋_GBK"/>
          <w:i w:val="0"/>
          <w:color w:val="000000"/>
          <w:sz w:val="32"/>
          <w:szCs w:val="32"/>
          <w:shd w:val="clear" w:color="auto" w:fill="FFFFFF"/>
        </w:rPr>
        <w:t>承办上级党委、政府和县级领导交办的信访案件，督促检查县委、县政府领导指示和上级交办的信访案件的落实情况，向各地各部门交办信访事项，督促检查重要信访事项的办理和落实情况，将办理情况回报交办机关和领导。</w:t>
      </w:r>
      <w:r>
        <w:rPr>
          <w:rFonts w:hint="eastAsia" w:ascii="方正仿宋_GBK" w:hAnsi="方正仿宋_GBK" w:eastAsia="方正仿宋_GBK" w:cs="方正仿宋_GBK"/>
          <w:i w:val="0"/>
          <w:color w:val="000000"/>
          <w:sz w:val="32"/>
          <w:szCs w:val="32"/>
          <w:shd w:val="clear" w:color="auto" w:fill="FFFFFF"/>
          <w:lang w:eastAsia="zh-CN"/>
        </w:rPr>
        <w:t>三是</w:t>
      </w:r>
      <w:r>
        <w:rPr>
          <w:rFonts w:hint="eastAsia" w:ascii="方正仿宋_GBK" w:hAnsi="方正仿宋_GBK" w:eastAsia="方正仿宋_GBK" w:cs="方正仿宋_GBK"/>
          <w:i w:val="0"/>
          <w:color w:val="000000"/>
          <w:sz w:val="32"/>
          <w:szCs w:val="32"/>
          <w:shd w:val="clear" w:color="auto" w:fill="FFFFFF"/>
        </w:rPr>
        <w:t>负责对全县信访和群众工作的指导，建立健全信访和群众工作机构和队伍，培训信访干部；负责对全县信访和群众工作目标完成情况进行考核，总结推广各地各部门信访和群众工作的经验，提出信访和群众工作责任追究意见。</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（三）人员概况。</w:t>
      </w:r>
      <w:r>
        <w:rPr>
          <w:rFonts w:hint="eastAsia" w:ascii="方正仿宋_GBK" w:hAnsi="方正仿宋_GBK" w:eastAsia="方正仿宋_GBK" w:cs="方正仿宋_GBK"/>
          <w:i w:val="0"/>
          <w:color w:val="000000"/>
          <w:sz w:val="32"/>
          <w:szCs w:val="32"/>
          <w:shd w:val="clear" w:color="auto" w:fill="FFFFFF"/>
        </w:rPr>
        <w:t>行政编制15人，工勤编制2人。在职干部15人，工勤人员1人。</w:t>
      </w:r>
    </w:p>
    <w:p>
      <w:pPr>
        <w:spacing w:line="580" w:lineRule="exact"/>
        <w:ind w:firstLine="640" w:firstLineChars="200"/>
        <w:rPr>
          <w:rFonts w:ascii="黑体" w:hAnsi="黑体" w:eastAsia="黑体" w:cs="黑体"/>
          <w:sz w:val="32"/>
          <w:szCs w:val="32"/>
        </w:rPr>
      </w:pPr>
      <w:r>
        <w:rPr>
          <w:rFonts w:ascii="黑体" w:hAnsi="黑体" w:eastAsia="黑体" w:cs="黑体"/>
          <w:sz w:val="32"/>
          <w:szCs w:val="32"/>
        </w:rPr>
        <w:t>二、部门财政资金收支情况</w:t>
      </w:r>
    </w:p>
    <w:p>
      <w:pPr>
        <w:spacing w:line="600" w:lineRule="exact"/>
        <w:ind w:firstLine="640" w:firstLineChars="200"/>
        <w:rPr>
          <w:rFonts w:hint="default"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（一）</w:t>
      </w:r>
      <w:r>
        <w:rPr>
          <w:rFonts w:hint="eastAsia" w:ascii="仿宋_GB2312" w:hAnsi="Calibri" w:eastAsia="仿宋_GB2312" w:cs="仿宋"/>
          <w:color w:val="000000"/>
          <w:kern w:val="0"/>
          <w:sz w:val="32"/>
          <w:szCs w:val="32"/>
          <w:lang w:val="en-US" w:eastAsia="zh-CN" w:bidi="ar-SA"/>
        </w:rPr>
        <w:t>部门财政资金收入情况。2018年财政拨款收入300.92万元。</w:t>
      </w:r>
    </w:p>
    <w:p>
      <w:pPr>
        <w:spacing w:line="600" w:lineRule="exact"/>
        <w:ind w:firstLine="640" w:firstLineChars="200"/>
        <w:rPr>
          <w:rFonts w:hint="default"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（二）部门财政资金支出情况。2018年财政拨款支出300.92万元。</w:t>
      </w:r>
    </w:p>
    <w:p>
      <w:pPr>
        <w:spacing w:line="580" w:lineRule="exact"/>
        <w:ind w:firstLine="640" w:firstLineChars="200"/>
        <w:rPr>
          <w:rFonts w:ascii="黑体" w:hAnsi="黑体" w:eastAsia="黑体" w:cs="黑体"/>
          <w:sz w:val="32"/>
          <w:szCs w:val="32"/>
        </w:rPr>
      </w:pPr>
      <w:r>
        <w:rPr>
          <w:rFonts w:ascii="黑体" w:hAnsi="黑体" w:eastAsia="黑体" w:cs="黑体"/>
          <w:sz w:val="32"/>
          <w:szCs w:val="32"/>
        </w:rPr>
        <w:t>三、部门整体预算绩效管理情况（根据适用指标体系进行调整）</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（一）部门预算管理。</w:t>
      </w:r>
    </w:p>
    <w:p>
      <w:pPr>
        <w:spacing w:line="600" w:lineRule="exact"/>
        <w:ind w:firstLine="645"/>
        <w:rPr>
          <w:rFonts w:hint="eastAsia" w:ascii="方正仿宋_GBK" w:hAnsi="方正仿宋_GBK" w:eastAsia="方正仿宋_GBK" w:cs="方正仿宋_GBK"/>
          <w:i w:val="0"/>
          <w:color w:val="333333"/>
          <w:kern w:val="0"/>
          <w:sz w:val="32"/>
          <w:szCs w:val="32"/>
          <w:lang w:val="en-US" w:eastAsia="zh-CN" w:bidi="ar"/>
        </w:rPr>
      </w:pPr>
      <w:r>
        <w:rPr>
          <w:rFonts w:hint="eastAsia" w:ascii="方正仿宋_GBK" w:hAnsi="方正仿宋_GBK" w:eastAsia="方正仿宋_GBK" w:cs="方正仿宋_GBK"/>
          <w:i w:val="0"/>
          <w:color w:val="333333"/>
          <w:kern w:val="0"/>
          <w:sz w:val="32"/>
          <w:szCs w:val="32"/>
          <w:lang w:val="en-US" w:eastAsia="zh-CN" w:bidi="ar"/>
        </w:rPr>
        <w:t>本单位职工的工资福利支出金额严格按照其工资构成及金额标准及比例进行年初预算，单位公用经费按照人员数量进行年初预算。年终目标完成情况：保障了每个职工各项工资福利支出的开支；保证了单位日常办公的正常运行。年末绩效评价目标全额完成，支出严格控制在预算额内，当年无违规记录情况。</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（二）专项预算管理。</w:t>
      </w:r>
    </w:p>
    <w:p>
      <w:pPr>
        <w:spacing w:line="600" w:lineRule="exact"/>
        <w:ind w:firstLine="645"/>
        <w:rPr>
          <w:rFonts w:hint="eastAsia" w:ascii="方正仿宋_GBK" w:hAnsi="方正仿宋_GBK" w:eastAsia="方正仿宋_GBK" w:cs="方正仿宋_GBK"/>
          <w:i w:val="0"/>
          <w:color w:val="333333"/>
          <w:kern w:val="0"/>
          <w:sz w:val="32"/>
          <w:szCs w:val="32"/>
          <w:lang w:val="en-US" w:eastAsia="zh-CN" w:bidi="ar"/>
        </w:rPr>
      </w:pPr>
      <w:r>
        <w:rPr>
          <w:rFonts w:hint="eastAsia" w:ascii="方正仿宋_GBK" w:hAnsi="方正仿宋_GBK" w:eastAsia="方正仿宋_GBK" w:cs="方正仿宋_GBK"/>
          <w:i w:val="0"/>
          <w:color w:val="333333"/>
          <w:kern w:val="0"/>
          <w:sz w:val="32"/>
          <w:szCs w:val="32"/>
          <w:lang w:val="en-US" w:eastAsia="zh-CN" w:bidi="ar"/>
        </w:rPr>
        <w:t>按照预算绩效管理要求，本部门对2018年一般公共预算项目支出开展了绩效目标管理，共编制绩效目</w:t>
      </w:r>
      <w:r>
        <w:rPr>
          <w:rFonts w:hint="eastAsia" w:ascii="方正仿宋_GBK" w:hAnsi="方正仿宋_GBK" w:eastAsia="方正仿宋_GBK" w:cs="方正仿宋_GBK"/>
          <w:i w:val="0"/>
          <w:color w:val="auto"/>
          <w:kern w:val="0"/>
          <w:sz w:val="32"/>
          <w:szCs w:val="32"/>
          <w:lang w:val="en-US" w:eastAsia="zh-CN" w:bidi="ar"/>
        </w:rPr>
        <w:t>标5个</w:t>
      </w:r>
      <w:r>
        <w:rPr>
          <w:rFonts w:hint="eastAsia" w:ascii="方正仿宋_GBK" w:hAnsi="方正仿宋_GBK" w:eastAsia="方正仿宋_GBK" w:cs="方正仿宋_GBK"/>
          <w:i w:val="0"/>
          <w:color w:val="333333"/>
          <w:kern w:val="0"/>
          <w:sz w:val="32"/>
          <w:szCs w:val="32"/>
          <w:lang w:val="en-US" w:eastAsia="zh-CN" w:bidi="ar"/>
        </w:rPr>
        <w:t>，涉及财政资金48.77万元，覆盖率达到54.2%。在专项资金管理上程序严密、规划合理、结果符合、分配科学、分配及时、专项预算绩效目标按年初预算圆满完成、违规记录等情况。</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（三）结果应用情况。</w:t>
      </w:r>
    </w:p>
    <w:p>
      <w:pPr>
        <w:spacing w:line="600" w:lineRule="exact"/>
        <w:ind w:firstLine="645"/>
        <w:rPr>
          <w:rFonts w:hint="eastAsia" w:ascii="方正仿宋_GBK" w:hAnsi="方正仿宋_GBK" w:eastAsia="方正仿宋_GBK" w:cs="方正仿宋_GBK"/>
          <w:i w:val="0"/>
          <w:color w:val="333333"/>
          <w:kern w:val="0"/>
          <w:sz w:val="32"/>
          <w:szCs w:val="32"/>
          <w:lang w:val="en-US" w:eastAsia="zh-CN" w:bidi="ar"/>
        </w:rPr>
      </w:pPr>
      <w:r>
        <w:rPr>
          <w:rFonts w:hint="eastAsia" w:ascii="方正仿宋_GBK" w:hAnsi="方正仿宋_GBK" w:eastAsia="方正仿宋_GBK" w:cs="方正仿宋_GBK"/>
          <w:i w:val="0"/>
          <w:color w:val="333333"/>
          <w:kern w:val="0"/>
          <w:sz w:val="32"/>
          <w:szCs w:val="32"/>
          <w:lang w:val="en-US" w:eastAsia="zh-CN" w:bidi="ar"/>
        </w:rPr>
        <w:t>包括部门自评质量、绩效目标公开和自评公开、评价结果整改和应用结果反馈等情况。</w:t>
      </w:r>
    </w:p>
    <w:p>
      <w:pPr>
        <w:spacing w:line="580" w:lineRule="exact"/>
        <w:ind w:firstLine="640" w:firstLineChars="200"/>
        <w:rPr>
          <w:rFonts w:ascii="黑体" w:hAnsi="黑体" w:eastAsia="黑体" w:cs="黑体"/>
          <w:sz w:val="32"/>
          <w:szCs w:val="32"/>
        </w:rPr>
      </w:pPr>
      <w:r>
        <w:rPr>
          <w:rFonts w:ascii="黑体" w:hAnsi="黑体" w:eastAsia="黑体" w:cs="黑体"/>
          <w:sz w:val="32"/>
          <w:szCs w:val="32"/>
        </w:rPr>
        <w:t>四、评价结论及建议</w:t>
      </w:r>
    </w:p>
    <w:p>
      <w:pPr>
        <w:spacing w:line="580" w:lineRule="exact"/>
        <w:ind w:firstLine="640" w:firstLineChars="200"/>
        <w:rPr>
          <w:rFonts w:hint="eastAsia" w:ascii="仿宋" w:hAnsi="仿宋" w:eastAsia="仿宋_GB2312" w:cs="仿宋_GB2312"/>
          <w:sz w:val="32"/>
          <w:szCs w:val="32"/>
          <w:lang w:eastAsia="zh-CN"/>
        </w:rPr>
      </w:pPr>
      <w:r>
        <w:rPr>
          <w:rFonts w:ascii="仿宋" w:hAnsi="仿宋" w:eastAsia="仿宋" w:cs="仿宋_GB2312"/>
          <w:sz w:val="32"/>
          <w:szCs w:val="32"/>
        </w:rPr>
        <w:t>（一）评价结论。</w:t>
      </w:r>
      <w:r>
        <w:rPr>
          <w:rFonts w:hint="eastAsia" w:ascii="仿宋_GB2312" w:eastAsia="仿宋_GB2312"/>
          <w:color w:val="000000"/>
          <w:sz w:val="32"/>
          <w:szCs w:val="32"/>
        </w:rPr>
        <w:t>按照预算绩效管理要求，本部门对201</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年整体支出</w:t>
      </w:r>
      <w:r>
        <w:rPr>
          <w:rFonts w:hint="eastAsia" w:ascii="仿宋_GB2312" w:eastAsia="仿宋_GB2312"/>
          <w:color w:val="000000"/>
          <w:sz w:val="32"/>
          <w:szCs w:val="32"/>
          <w:lang w:eastAsia="zh-CN"/>
        </w:rPr>
        <w:t>及项目支出</w:t>
      </w:r>
      <w:r>
        <w:rPr>
          <w:rFonts w:hint="eastAsia" w:ascii="仿宋_GB2312" w:eastAsia="仿宋_GB2312"/>
          <w:color w:val="000000"/>
          <w:sz w:val="32"/>
          <w:szCs w:val="32"/>
        </w:rPr>
        <w:t>开展绩效自评，自评得分</w:t>
      </w:r>
      <w:r>
        <w:rPr>
          <w:rFonts w:hint="eastAsia" w:ascii="仿宋_GB2312" w:eastAsia="仿宋_GB2312"/>
          <w:color w:val="000000"/>
          <w:sz w:val="32"/>
          <w:szCs w:val="32"/>
          <w:lang w:val="en-US" w:eastAsia="zh-CN"/>
        </w:rPr>
        <w:t>93</w:t>
      </w:r>
      <w:r>
        <w:rPr>
          <w:rFonts w:hint="eastAsia" w:ascii="仿宋_GB2312" w:eastAsia="仿宋_GB2312"/>
          <w:color w:val="000000"/>
          <w:sz w:val="32"/>
          <w:szCs w:val="32"/>
        </w:rPr>
        <w:t>分</w:t>
      </w:r>
      <w:r>
        <w:rPr>
          <w:rFonts w:hint="eastAsia" w:ascii="仿宋_GB2312" w:eastAsia="仿宋_GB2312"/>
          <w:color w:val="000000"/>
          <w:sz w:val="32"/>
          <w:szCs w:val="32"/>
          <w:lang w:eastAsia="zh-CN"/>
        </w:rPr>
        <w:t>。</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（二）存在问题。</w:t>
      </w:r>
      <w:r>
        <w:rPr>
          <w:rFonts w:hint="eastAsia" w:ascii="仿宋_GB2312" w:eastAsia="仿宋_GB2312"/>
          <w:color w:val="000000"/>
          <w:sz w:val="32"/>
          <w:szCs w:val="32"/>
        </w:rPr>
        <w:t>一是</w:t>
      </w:r>
      <w:r>
        <w:rPr>
          <w:rFonts w:hint="eastAsia" w:ascii="仿宋_GB2312" w:eastAsia="仿宋_GB2312"/>
          <w:color w:val="000000"/>
          <w:sz w:val="32"/>
          <w:szCs w:val="32"/>
          <w:lang w:eastAsia="zh-CN"/>
        </w:rPr>
        <w:t>目标管理有所欠缺</w:t>
      </w:r>
      <w:r>
        <w:rPr>
          <w:rFonts w:hint="eastAsia" w:ascii="仿宋_GB2312" w:eastAsia="仿宋_GB2312"/>
          <w:color w:val="000000"/>
          <w:sz w:val="32"/>
          <w:szCs w:val="32"/>
        </w:rPr>
        <w:t>，二是</w:t>
      </w:r>
      <w:r>
        <w:rPr>
          <w:rFonts w:hint="eastAsia" w:ascii="仿宋_GB2312" w:eastAsia="仿宋_GB2312"/>
          <w:color w:val="000000"/>
          <w:sz w:val="32"/>
          <w:szCs w:val="32"/>
          <w:lang w:eastAsia="zh-CN"/>
        </w:rPr>
        <w:t>内部控制制度不够健全</w:t>
      </w:r>
      <w:r>
        <w:rPr>
          <w:rFonts w:hint="eastAsia" w:ascii="仿宋_GB2312" w:eastAsia="仿宋_GB2312"/>
          <w:color w:val="000000"/>
          <w:sz w:val="32"/>
          <w:szCs w:val="32"/>
        </w:rPr>
        <w:t>，三是</w:t>
      </w:r>
      <w:r>
        <w:rPr>
          <w:rFonts w:hint="eastAsia" w:ascii="仿宋_GB2312" w:eastAsia="仿宋_GB2312"/>
          <w:color w:val="000000"/>
          <w:sz w:val="32"/>
          <w:szCs w:val="32"/>
          <w:lang w:eastAsia="zh-CN"/>
        </w:rPr>
        <w:t>在人才管理和科技改革方面还不足</w:t>
      </w:r>
      <w:r>
        <w:rPr>
          <w:rFonts w:hint="eastAsia" w:ascii="仿宋_GB2312" w:eastAsia="仿宋_GB2312"/>
          <w:color w:val="000000"/>
          <w:sz w:val="32"/>
          <w:szCs w:val="32"/>
        </w:rPr>
        <w:t>。</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（三）改进建议。</w:t>
      </w:r>
      <w:r>
        <w:rPr>
          <w:rFonts w:hint="eastAsia" w:ascii="仿宋_GB2312" w:eastAsia="仿宋_GB2312"/>
          <w:color w:val="000000"/>
          <w:sz w:val="32"/>
          <w:szCs w:val="32"/>
          <w:lang w:eastAsia="zh-CN"/>
        </w:rPr>
        <w:t>以后尽量弥补和完善。</w:t>
      </w:r>
    </w:p>
    <w:p>
      <w:pPr>
        <w:spacing w:line="580" w:lineRule="exact"/>
        <w:ind w:firstLine="640" w:firstLineChars="200"/>
        <w:rPr>
          <w:rFonts w:ascii="仿宋_GB2312" w:hAnsi="仿宋_GB2312" w:eastAsia="仿宋_GB2312" w:cs="仿宋_GB2312"/>
          <w:sz w:val="32"/>
          <w:szCs w:val="32"/>
        </w:rPr>
      </w:pPr>
    </w:p>
    <w:p>
      <w:pPr>
        <w:widowControl/>
        <w:jc w:val="left"/>
        <w:rPr>
          <w:rFonts w:ascii="仿宋_GB2312" w:hAnsi="仿宋_GB2312" w:eastAsia="仿宋_GB2312" w:cs="仿宋_GB2312"/>
          <w:sz w:val="32"/>
          <w:szCs w:val="32"/>
        </w:rPr>
      </w:pPr>
      <w:r>
        <w:rPr>
          <w:rFonts w:ascii="仿宋_GB2312" w:hAnsi="仿宋_GB2312" w:eastAsia="仿宋_GB2312" w:cs="仿宋_GB2312"/>
          <w:sz w:val="32"/>
          <w:szCs w:val="32"/>
        </w:rPr>
        <w:br w:type="page"/>
      </w:r>
    </w:p>
    <w:p>
      <w:pPr>
        <w:pStyle w:val="3"/>
        <w:rPr>
          <w:rStyle w:val="25"/>
          <w:rFonts w:ascii="仿宋" w:hAnsi="仿宋" w:eastAsia="仿宋"/>
          <w:b w:val="0"/>
          <w:bCs w:val="0"/>
          <w:sz w:val="32"/>
          <w:szCs w:val="32"/>
        </w:rPr>
      </w:pPr>
      <w:bookmarkStart w:id="61" w:name="_Toc15396617"/>
      <w:r>
        <w:rPr>
          <w:rStyle w:val="25"/>
          <w:rFonts w:hint="eastAsia" w:ascii="仿宋" w:hAnsi="仿宋" w:eastAsia="仿宋"/>
          <w:b w:val="0"/>
          <w:bCs w:val="0"/>
          <w:sz w:val="32"/>
          <w:szCs w:val="32"/>
        </w:rPr>
        <w:t>附件2</w:t>
      </w:r>
      <w:bookmarkEnd w:id="61"/>
    </w:p>
    <w:p>
      <w:pPr>
        <w:spacing w:line="580" w:lineRule="exact"/>
        <w:jc w:val="center"/>
        <w:rPr>
          <w:rFonts w:hint="eastAsia" w:ascii="黑体" w:hAnsi="黑体" w:eastAsia="黑体" w:cs="方正小标宋简体"/>
          <w:sz w:val="44"/>
          <w:szCs w:val="44"/>
          <w:lang w:eastAsia="zh-CN"/>
        </w:rPr>
      </w:pPr>
      <w:r>
        <w:rPr>
          <w:rFonts w:hint="eastAsia" w:ascii="黑体" w:hAnsi="黑体" w:eastAsia="黑体" w:cs="方正小标宋简体"/>
          <w:sz w:val="44"/>
          <w:szCs w:val="44"/>
        </w:rPr>
        <w:t>2018年</w:t>
      </w:r>
      <w:r>
        <w:rPr>
          <w:rFonts w:hint="eastAsia" w:ascii="黑体" w:hAnsi="黑体" w:eastAsia="黑体" w:cs="方正小标宋简体"/>
          <w:sz w:val="44"/>
          <w:szCs w:val="44"/>
          <w:lang w:eastAsia="zh-CN"/>
        </w:rPr>
        <w:t>渠县人民政府信访局</w:t>
      </w:r>
    </w:p>
    <w:p>
      <w:pPr>
        <w:spacing w:line="580" w:lineRule="exact"/>
        <w:jc w:val="center"/>
        <w:rPr>
          <w:rFonts w:ascii="黑体" w:hAnsi="黑体" w:eastAsia="黑体" w:cs="方正小标宋简体"/>
          <w:sz w:val="44"/>
          <w:szCs w:val="44"/>
        </w:rPr>
      </w:pPr>
      <w:r>
        <w:rPr>
          <w:rFonts w:hint="eastAsia" w:ascii="黑体" w:hAnsi="黑体" w:eastAsia="黑体" w:cs="方正小标宋简体"/>
          <w:sz w:val="44"/>
          <w:szCs w:val="44"/>
        </w:rPr>
        <w:t>项目支出绩效评价报告</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s="仿宋_GB2312"/>
          <w:sz w:val="32"/>
          <w:szCs w:val="32"/>
        </w:rPr>
        <w:t>、评价工作开展及项目情况</w:t>
      </w:r>
    </w:p>
    <w:p>
      <w:pPr>
        <w:spacing w:line="580" w:lineRule="exact"/>
        <w:ind w:firstLine="640" w:firstLineChars="200"/>
        <w:rPr>
          <w:rFonts w:hint="eastAsia" w:ascii="仿宋_GB2312" w:eastAsia="仿宋_GB2312"/>
          <w:color w:val="000000"/>
          <w:sz w:val="32"/>
          <w:szCs w:val="32"/>
          <w:lang w:eastAsia="zh-CN"/>
        </w:rPr>
      </w:pPr>
      <w:r>
        <w:rPr>
          <w:rFonts w:hint="eastAsia" w:ascii="仿宋" w:hAnsi="仿宋" w:eastAsia="仿宋" w:cs="仿宋_GB2312"/>
          <w:sz w:val="32"/>
          <w:szCs w:val="32"/>
          <w:lang w:eastAsia="zh-CN"/>
        </w:rPr>
        <w:t>一</w:t>
      </w:r>
      <w:r>
        <w:rPr>
          <w:rFonts w:hint="eastAsia" w:ascii="仿宋_GB2312" w:hAnsi="Calibri" w:eastAsia="仿宋_GB2312" w:cs="仿宋"/>
          <w:color w:val="000000"/>
          <w:kern w:val="0"/>
          <w:sz w:val="32"/>
          <w:szCs w:val="32"/>
          <w:lang w:val="en-US" w:eastAsia="zh-CN" w:bidi="ar-SA"/>
        </w:rPr>
        <w:t>是对“到京非正常上访人员劝返金工作经费”的开展情况。二是对“网络信访办公经费”的开展情况。</w:t>
      </w:r>
      <w:r>
        <w:rPr>
          <w:rFonts w:hint="eastAsia" w:ascii="仿宋_GB2312" w:hAnsi="Calibri" w:eastAsia="仿宋_GB2312" w:cs="仿宋"/>
          <w:color w:val="000000"/>
          <w:kern w:val="0"/>
          <w:sz w:val="32"/>
          <w:szCs w:val="32"/>
          <w:lang w:val="en-US" w:eastAsia="zh-CN" w:bidi="ar-SA"/>
        </w:rPr>
        <w:tab/>
      </w:r>
      <w:r>
        <w:rPr>
          <w:rFonts w:hint="eastAsia" w:ascii="仿宋_GB2312" w:hAnsi="Calibri" w:eastAsia="仿宋_GB2312" w:cs="仿宋"/>
          <w:color w:val="000000"/>
          <w:kern w:val="0"/>
          <w:sz w:val="32"/>
          <w:szCs w:val="32"/>
          <w:lang w:val="en-US" w:eastAsia="zh-CN" w:bidi="ar-SA"/>
        </w:rPr>
        <w:t>三是对“渠县群众信访接待中心工作经费”的开展情况。四是对“网上信访信息平台运</w:t>
      </w:r>
      <w:r>
        <w:rPr>
          <w:rFonts w:hint="eastAsia" w:ascii="仿宋_GB2312" w:hAnsi="Calibri" w:eastAsia="仿宋_GB2312" w:cs="仿宋"/>
          <w:color w:val="000000"/>
          <w:kern w:val="0"/>
          <w:sz w:val="32"/>
          <w:szCs w:val="32"/>
          <w:lang w:val="en-US" w:eastAsia="zh-CN" w:bidi="ar-SA"/>
        </w:rPr>
        <w:t>行维护工作经费”的开展情况。五是对“信访门户网站和投诉平台运行维护费</w:t>
      </w:r>
      <w:r>
        <w:rPr>
          <w:rFonts w:hint="eastAsia" w:ascii="仿宋_GB2312" w:hAnsi="Calibri" w:eastAsia="仿宋_GB2312" w:cs="仿宋"/>
          <w:color w:val="000000"/>
          <w:kern w:val="0"/>
          <w:sz w:val="32"/>
          <w:szCs w:val="32"/>
          <w:lang w:val="en-US" w:eastAsia="zh-CN" w:bidi="ar-SA"/>
        </w:rPr>
        <w:tab/>
      </w:r>
      <w:r>
        <w:rPr>
          <w:rFonts w:hint="eastAsia" w:ascii="仿宋_GB2312" w:hAnsi="Calibri" w:eastAsia="仿宋_GB2312" w:cs="仿宋"/>
          <w:color w:val="000000"/>
          <w:kern w:val="0"/>
          <w:sz w:val="32"/>
          <w:szCs w:val="32"/>
          <w:lang w:val="en-US" w:eastAsia="zh-CN" w:bidi="ar-SA"/>
        </w:rPr>
        <w:t>”的开展情况。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w:t>
      </w:r>
      <w:r>
        <w:rPr>
          <w:rFonts w:ascii="仿宋" w:hAnsi="仿宋" w:eastAsia="仿宋" w:cs="仿宋_GB2312"/>
          <w:sz w:val="32"/>
          <w:szCs w:val="32"/>
        </w:rPr>
        <w:t>、评价结论及绩效分析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（一）评价结论</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项目绩效评价总体结论（包括项目评价得分表）</w:t>
      </w:r>
    </w:p>
    <w:p>
      <w:pPr>
        <w:jc w:val="center"/>
        <w:rPr>
          <w:rFonts w:hint="eastAsia" w:ascii="黑体" w:hAnsi="黑体" w:eastAsia="黑体"/>
          <w:color w:val="000000"/>
          <w:sz w:val="32"/>
          <w:szCs w:val="32"/>
        </w:rPr>
      </w:pPr>
      <w:r>
        <w:rPr>
          <w:rFonts w:hint="eastAsia" w:ascii="黑体" w:hAnsi="黑体" w:eastAsia="黑体"/>
          <w:color w:val="000000"/>
          <w:sz w:val="32"/>
          <w:szCs w:val="32"/>
        </w:rPr>
        <w:t>201</w:t>
      </w:r>
      <w:r>
        <w:rPr>
          <w:rFonts w:hint="eastAsia" w:ascii="黑体" w:hAnsi="黑体" w:eastAsia="黑体"/>
          <w:color w:val="000000"/>
          <w:sz w:val="32"/>
          <w:szCs w:val="32"/>
          <w:lang w:val="en-US" w:eastAsia="zh-CN"/>
        </w:rPr>
        <w:t>8</w:t>
      </w:r>
      <w:r>
        <w:rPr>
          <w:rFonts w:hint="eastAsia" w:ascii="黑体" w:hAnsi="黑体" w:eastAsia="黑体"/>
          <w:color w:val="000000"/>
          <w:sz w:val="32"/>
          <w:szCs w:val="32"/>
        </w:rPr>
        <w:t>年项目支出绩效评价得分表</w:t>
      </w:r>
    </w:p>
    <w:tbl>
      <w:tblPr>
        <w:tblStyle w:val="12"/>
        <w:tblW w:w="9888" w:type="dxa"/>
        <w:jc w:val="center"/>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113"/>
        <w:gridCol w:w="3535"/>
        <w:gridCol w:w="1311"/>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618" w:type="dxa"/>
            <w:noWrap w:val="0"/>
            <w:vAlign w:val="center"/>
          </w:tcPr>
          <w:p>
            <w:pPr>
              <w:widowControl/>
              <w:spacing w:line="260" w:lineRule="exact"/>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单位名称/</w:t>
            </w:r>
          </w:p>
          <w:p>
            <w:pPr>
              <w:widowControl/>
              <w:spacing w:line="260" w:lineRule="exact"/>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项目名称</w:t>
            </w:r>
          </w:p>
        </w:tc>
        <w:tc>
          <w:tcPr>
            <w:tcW w:w="8270" w:type="dxa"/>
            <w:gridSpan w:val="4"/>
            <w:noWrap w:val="0"/>
            <w:vAlign w:val="center"/>
          </w:tcPr>
          <w:p>
            <w:pPr>
              <w:widowControl/>
              <w:spacing w:line="260" w:lineRule="exact"/>
              <w:jc w:val="center"/>
              <w:rPr>
                <w:rFonts w:hint="eastAsia" w:ascii="宋体" w:hAnsi="宋体" w:eastAsia="宋体" w:cs="宋体"/>
                <w:b/>
                <w:bCs/>
                <w:color w:val="000000"/>
                <w:kern w:val="0"/>
                <w:sz w:val="18"/>
                <w:szCs w:val="18"/>
                <w:lang w:eastAsia="zh-CN"/>
              </w:rPr>
            </w:pPr>
            <w:r>
              <w:rPr>
                <w:rFonts w:hint="eastAsia" w:ascii="方正仿宋_GBK" w:hAnsi="方正仿宋_GBK" w:eastAsia="方正仿宋_GBK" w:cs="方正仿宋_GBK"/>
                <w:i w:val="0"/>
                <w:color w:val="000000"/>
                <w:sz w:val="24"/>
                <w:szCs w:val="24"/>
                <w:shd w:val="clear" w:color="auto" w:fill="FFFFFF"/>
                <w:lang w:eastAsia="zh-CN"/>
              </w:rPr>
              <w:t>渠县人民政府</w:t>
            </w:r>
            <w:r>
              <w:rPr>
                <w:rFonts w:hint="eastAsia" w:ascii="方正仿宋_GBK" w:hAnsi="方正仿宋_GBK" w:eastAsia="方正仿宋_GBK" w:cs="方正仿宋_GBK"/>
                <w:i w:val="0"/>
                <w:color w:val="000000"/>
                <w:sz w:val="24"/>
                <w:szCs w:val="24"/>
                <w:shd w:val="clear" w:color="auto" w:fill="FFFFFF"/>
              </w:rPr>
              <w:t>信访局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1618" w:type="dxa"/>
            <w:noWrap w:val="0"/>
            <w:vAlign w:val="center"/>
          </w:tcPr>
          <w:p>
            <w:pPr>
              <w:widowControl/>
              <w:spacing w:line="26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一级</w:t>
            </w:r>
          </w:p>
          <w:p>
            <w:pPr>
              <w:widowControl/>
              <w:spacing w:line="26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指标</w:t>
            </w:r>
          </w:p>
        </w:tc>
        <w:tc>
          <w:tcPr>
            <w:tcW w:w="2113" w:type="dxa"/>
            <w:noWrap w:val="0"/>
            <w:vAlign w:val="center"/>
          </w:tcPr>
          <w:p>
            <w:pPr>
              <w:widowControl/>
              <w:spacing w:line="26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二级</w:t>
            </w:r>
          </w:p>
          <w:p>
            <w:pPr>
              <w:widowControl/>
              <w:spacing w:line="26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指标</w:t>
            </w:r>
          </w:p>
        </w:tc>
        <w:tc>
          <w:tcPr>
            <w:tcW w:w="3535" w:type="dxa"/>
            <w:noWrap w:val="0"/>
            <w:vAlign w:val="center"/>
          </w:tcPr>
          <w:p>
            <w:pPr>
              <w:widowControl/>
              <w:spacing w:line="26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三级指标</w:t>
            </w:r>
          </w:p>
        </w:tc>
        <w:tc>
          <w:tcPr>
            <w:tcW w:w="1311" w:type="dxa"/>
            <w:noWrap w:val="0"/>
            <w:vAlign w:val="center"/>
          </w:tcPr>
          <w:p>
            <w:pPr>
              <w:widowControl/>
              <w:spacing w:line="26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分值</w:t>
            </w:r>
          </w:p>
        </w:tc>
        <w:tc>
          <w:tcPr>
            <w:tcW w:w="1311" w:type="dxa"/>
            <w:noWrap w:val="0"/>
            <w:vAlign w:val="center"/>
          </w:tcPr>
          <w:p>
            <w:pPr>
              <w:widowControl/>
              <w:spacing w:line="26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18"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（20分）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项目决策</w:t>
            </w:r>
          </w:p>
        </w:tc>
        <w:tc>
          <w:tcPr>
            <w:tcW w:w="2113"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（10分）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科学决策</w:t>
            </w: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必要性</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（政策依据)</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可行性</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（政策完善）</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（10）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绩效目标    </w:t>
            </w: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明确性</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合理性</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1618"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（10分）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项目管理</w:t>
            </w:r>
          </w:p>
        </w:tc>
        <w:tc>
          <w:tcPr>
            <w:tcW w:w="2113"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（7分）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资金管理</w:t>
            </w: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资金分配</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textDirection w:val="tbRlV"/>
            <w:vAlign w:val="center"/>
          </w:tcPr>
          <w:p>
            <w:pPr>
              <w:widowControl/>
              <w:spacing w:line="260" w:lineRule="exact"/>
              <w:jc w:val="center"/>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资金使用</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（3分）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项目执行</w:t>
            </w: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执行规范</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1618"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（特性指标70分）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项目绩效  </w:t>
            </w:r>
          </w:p>
        </w:tc>
        <w:tc>
          <w:tcPr>
            <w:tcW w:w="2113"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（20）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项目完成</w:t>
            </w: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完成数量</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 xml:space="preserve">5 </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完成质量</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 xml:space="preserve">5 </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完成时效</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完成成本</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restart"/>
            <w:noWrap w:val="0"/>
            <w:textDirection w:val="tbRlV"/>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（50分）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项目效益</w:t>
            </w: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经济效益（可选项）</w:t>
            </w:r>
          </w:p>
        </w:tc>
        <w:tc>
          <w:tcPr>
            <w:tcW w:w="1311" w:type="dxa"/>
            <w:vMerge w:val="restart"/>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40</w:t>
            </w:r>
          </w:p>
        </w:tc>
        <w:tc>
          <w:tcPr>
            <w:tcW w:w="1311" w:type="dxa"/>
            <w:noWrap w:val="0"/>
            <w:vAlign w:val="top"/>
          </w:tcPr>
          <w:p>
            <w:pPr>
              <w:widowControl/>
              <w:spacing w:line="260" w:lineRule="exact"/>
              <w:jc w:val="center"/>
              <w:rPr>
                <w:rFonts w:hint="eastAsia" w:ascii="宋体" w:hAnsi="宋体" w:cs="宋体"/>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社会效益（可选项）</w:t>
            </w:r>
          </w:p>
        </w:tc>
        <w:tc>
          <w:tcPr>
            <w:tcW w:w="1311" w:type="dxa"/>
            <w:vMerge w:val="continue"/>
            <w:noWrap w:val="0"/>
            <w:vAlign w:val="center"/>
          </w:tcPr>
          <w:p>
            <w:pPr>
              <w:widowControl/>
              <w:spacing w:line="260" w:lineRule="exact"/>
              <w:jc w:val="left"/>
              <w:rPr>
                <w:rFonts w:ascii="宋体" w:hAnsi="宋体" w:cs="宋体"/>
                <w:color w:val="000000"/>
                <w:kern w:val="0"/>
                <w:sz w:val="20"/>
                <w:szCs w:val="20"/>
              </w:rPr>
            </w:pP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生态效益（可选项）</w:t>
            </w:r>
          </w:p>
        </w:tc>
        <w:tc>
          <w:tcPr>
            <w:tcW w:w="1311" w:type="dxa"/>
            <w:vMerge w:val="continue"/>
            <w:noWrap w:val="0"/>
            <w:vAlign w:val="center"/>
          </w:tcPr>
          <w:p>
            <w:pPr>
              <w:widowControl/>
              <w:spacing w:line="260" w:lineRule="exact"/>
              <w:jc w:val="left"/>
              <w:rPr>
                <w:rFonts w:ascii="宋体" w:hAnsi="宋体" w:cs="宋体"/>
                <w:color w:val="000000"/>
                <w:kern w:val="0"/>
                <w:sz w:val="20"/>
                <w:szCs w:val="20"/>
              </w:rPr>
            </w:pP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可持续效益（可选项）</w:t>
            </w:r>
          </w:p>
        </w:tc>
        <w:tc>
          <w:tcPr>
            <w:tcW w:w="1311" w:type="dxa"/>
            <w:vMerge w:val="continue"/>
            <w:noWrap w:val="0"/>
            <w:vAlign w:val="center"/>
          </w:tcPr>
          <w:p>
            <w:pPr>
              <w:widowControl/>
              <w:spacing w:line="260" w:lineRule="exact"/>
              <w:jc w:val="left"/>
              <w:rPr>
                <w:rFonts w:ascii="宋体" w:hAnsi="宋体" w:cs="宋体"/>
                <w:color w:val="000000"/>
                <w:kern w:val="0"/>
                <w:sz w:val="20"/>
                <w:szCs w:val="20"/>
              </w:rPr>
            </w:pP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公平效率（可选项）</w:t>
            </w:r>
          </w:p>
        </w:tc>
        <w:tc>
          <w:tcPr>
            <w:tcW w:w="1311" w:type="dxa"/>
            <w:vMerge w:val="continue"/>
            <w:noWrap w:val="0"/>
            <w:vAlign w:val="center"/>
          </w:tcPr>
          <w:p>
            <w:pPr>
              <w:widowControl/>
              <w:spacing w:line="260" w:lineRule="exact"/>
              <w:jc w:val="left"/>
              <w:rPr>
                <w:rFonts w:ascii="宋体" w:hAnsi="宋体" w:cs="宋体"/>
                <w:color w:val="000000"/>
                <w:kern w:val="0"/>
                <w:sz w:val="20"/>
                <w:szCs w:val="20"/>
              </w:rPr>
            </w:pPr>
          </w:p>
        </w:tc>
        <w:tc>
          <w:tcPr>
            <w:tcW w:w="1311" w:type="dxa"/>
            <w:noWrap w:val="0"/>
            <w:vAlign w:val="top"/>
          </w:tcPr>
          <w:p>
            <w:pPr>
              <w:widowControl/>
              <w:spacing w:line="260" w:lineRule="exact"/>
              <w:jc w:val="center"/>
              <w:rPr>
                <w:rFonts w:ascii="宋体" w:hAnsi="宋体" w:cs="宋体"/>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使用效率（可选项）</w:t>
            </w:r>
          </w:p>
        </w:tc>
        <w:tc>
          <w:tcPr>
            <w:tcW w:w="1311" w:type="dxa"/>
            <w:vMerge w:val="continue"/>
            <w:noWrap w:val="0"/>
            <w:vAlign w:val="center"/>
          </w:tcPr>
          <w:p>
            <w:pPr>
              <w:widowControl/>
              <w:spacing w:line="260" w:lineRule="exact"/>
              <w:jc w:val="left"/>
              <w:rPr>
                <w:rFonts w:ascii="宋体" w:hAnsi="宋体" w:cs="宋体"/>
                <w:color w:val="000000"/>
                <w:kern w:val="0"/>
                <w:sz w:val="20"/>
                <w:szCs w:val="20"/>
              </w:rPr>
            </w:pP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618" w:type="dxa"/>
            <w:vMerge w:val="continue"/>
            <w:noWrap w:val="0"/>
            <w:vAlign w:val="center"/>
          </w:tcPr>
          <w:p>
            <w:pPr>
              <w:widowControl/>
              <w:spacing w:line="260" w:lineRule="exact"/>
              <w:jc w:val="left"/>
              <w:rPr>
                <w:rFonts w:ascii="宋体" w:hAnsi="宋体" w:cs="宋体"/>
                <w:color w:val="000000"/>
                <w:kern w:val="0"/>
                <w:sz w:val="20"/>
                <w:szCs w:val="20"/>
              </w:rPr>
            </w:pPr>
          </w:p>
        </w:tc>
        <w:tc>
          <w:tcPr>
            <w:tcW w:w="2113" w:type="dxa"/>
            <w:vMerge w:val="continue"/>
            <w:noWrap w:val="0"/>
            <w:vAlign w:val="center"/>
          </w:tcPr>
          <w:p>
            <w:pPr>
              <w:widowControl/>
              <w:spacing w:line="260" w:lineRule="exact"/>
              <w:jc w:val="left"/>
              <w:rPr>
                <w:rFonts w:ascii="宋体" w:hAnsi="宋体" w:cs="宋体"/>
                <w:color w:val="000000"/>
                <w:kern w:val="0"/>
                <w:sz w:val="20"/>
                <w:szCs w:val="20"/>
              </w:rPr>
            </w:pPr>
          </w:p>
        </w:tc>
        <w:tc>
          <w:tcPr>
            <w:tcW w:w="3535"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 xml:space="preserve">服务对象满意度    </w:t>
            </w:r>
          </w:p>
        </w:tc>
        <w:tc>
          <w:tcPr>
            <w:tcW w:w="1311" w:type="dxa"/>
            <w:noWrap w:val="0"/>
            <w:vAlign w:val="center"/>
          </w:tcPr>
          <w:p>
            <w:pPr>
              <w:widowControl/>
              <w:spacing w:line="260" w:lineRule="exact"/>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11" w:type="dxa"/>
            <w:noWrap w:val="0"/>
            <w:vAlign w:val="top"/>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1618" w:type="dxa"/>
            <w:noWrap w:val="0"/>
            <w:vAlign w:val="center"/>
          </w:tcPr>
          <w:p>
            <w:pPr>
              <w:widowControl/>
              <w:spacing w:line="260" w:lineRule="exact"/>
              <w:jc w:val="left"/>
              <w:rPr>
                <w:rFonts w:ascii="宋体" w:hAnsi="宋体" w:cs="宋体"/>
                <w:color w:val="000000"/>
                <w:kern w:val="0"/>
                <w:sz w:val="20"/>
                <w:szCs w:val="20"/>
              </w:rPr>
            </w:pPr>
            <w:r>
              <w:rPr>
                <w:rFonts w:hint="eastAsia" w:ascii="宋体" w:hAnsi="宋体" w:cs="宋体"/>
                <w:color w:val="000000"/>
                <w:kern w:val="0"/>
                <w:sz w:val="20"/>
                <w:szCs w:val="20"/>
              </w:rPr>
              <w:t>总分</w:t>
            </w:r>
          </w:p>
        </w:tc>
        <w:tc>
          <w:tcPr>
            <w:tcW w:w="8270" w:type="dxa"/>
            <w:gridSpan w:val="4"/>
            <w:noWrap w:val="0"/>
            <w:vAlign w:val="center"/>
          </w:tcPr>
          <w:p>
            <w:pPr>
              <w:widowControl/>
              <w:spacing w:line="260" w:lineRule="exact"/>
              <w:jc w:val="center"/>
              <w:rPr>
                <w:rFonts w:hint="eastAsia"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93</w:t>
            </w:r>
          </w:p>
        </w:tc>
      </w:tr>
    </w:tbl>
    <w:p>
      <w:pPr>
        <w:spacing w:line="580" w:lineRule="exact"/>
        <w:ind w:firstLine="640" w:firstLineChars="200"/>
        <w:rPr>
          <w:rFonts w:ascii="仿宋" w:hAnsi="仿宋" w:eastAsia="仿宋" w:cs="仿宋_GB2312"/>
          <w:sz w:val="32"/>
          <w:szCs w:val="32"/>
        </w:rPr>
      </w:pP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（二）绩效分析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1、项目决策</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Calibri" w:eastAsia="仿宋_GB2312" w:cs="仿宋"/>
          <w:color w:val="000000"/>
          <w:kern w:val="0"/>
          <w:sz w:val="32"/>
          <w:szCs w:val="32"/>
          <w:lang w:val="en-US" w:eastAsia="zh-CN" w:bidi="ar-SA"/>
        </w:rPr>
        <w:t>必要性和可行性分析2018年，渠县人民政府信访局工作以习近平新时代中国特色</w:t>
      </w:r>
      <w:r>
        <w:rPr>
          <w:rFonts w:hint="eastAsia" w:ascii="方正仿宋_GBK" w:hAnsi="方正仿宋_GBK" w:eastAsia="方正仿宋_GBK" w:cs="方正仿宋_GBK"/>
          <w:i w:val="0"/>
          <w:color w:val="333333"/>
          <w:kern w:val="0"/>
          <w:sz w:val="32"/>
          <w:szCs w:val="32"/>
          <w:lang w:val="en-US" w:eastAsia="zh-CN" w:bidi="ar"/>
        </w:rPr>
        <w:t>社会主义思想为指导，深入贯彻党的十九大精神，认真落实党和国家各项方针、政策和省、市、县工作部署，坚持围绕中心、服务大局，夯实基础设施，强化服务管理，</w:t>
      </w:r>
      <w:r>
        <w:rPr>
          <w:rFonts w:hint="eastAsia" w:ascii="仿宋_GB2312" w:hAnsi="仿宋_GB2312" w:eastAsia="仿宋_GB2312" w:cs="仿宋_GB2312"/>
          <w:sz w:val="32"/>
          <w:szCs w:val="32"/>
          <w:lang w:eastAsia="zh-CN"/>
        </w:rPr>
        <w:t>为了解决群众的一些信访需求，疏通群众诉求合理渠道，减少群众与群众之间、群众与企业之间、群众</w:t>
      </w:r>
      <w:r>
        <w:rPr>
          <w:rFonts w:hint="eastAsia" w:ascii="仿宋_GB2312" w:hAnsi="Calibri" w:eastAsia="仿宋_GB2312" w:cs="仿宋"/>
          <w:color w:val="000000"/>
          <w:kern w:val="0"/>
          <w:sz w:val="32"/>
          <w:szCs w:val="32"/>
          <w:lang w:val="en-US" w:eastAsia="zh-CN" w:bidi="ar-SA"/>
        </w:rPr>
        <w:t>与干部之间、群众与政府之间矛盾，保证大家有一个和谐的诉求氛围。</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2、项目管理</w:t>
      </w:r>
    </w:p>
    <w:p>
      <w:p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根据项目资金性质进行严格管理，保证资金分配管理的科学合理性。</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3、项目绩效</w:t>
      </w:r>
    </w:p>
    <w:p>
      <w:pPr>
        <w:spacing w:line="600" w:lineRule="exact"/>
        <w:ind w:firstLine="640"/>
        <w:rPr>
          <w:rFonts w:hint="eastAsia" w:ascii="仿宋_GB2312" w:eastAsia="仿宋_GB2312"/>
          <w:color w:val="000000"/>
          <w:sz w:val="32"/>
          <w:szCs w:val="32"/>
        </w:rPr>
      </w:pPr>
      <w:r>
        <w:rPr>
          <w:rFonts w:hint="eastAsia" w:ascii="仿宋_GB2312" w:eastAsia="仿宋_GB2312"/>
          <w:color w:val="000000"/>
          <w:sz w:val="32"/>
          <w:szCs w:val="32"/>
          <w:lang w:eastAsia="zh-CN"/>
        </w:rPr>
        <w:t>为了保证建设质量和达到预期目标，首先我们保证了科学的规划、成本的控制、经费的保障、质量的监管、工程的验收等工作，让财政投入的项目经费达到效益的最大化。无论是经济</w:t>
      </w:r>
      <w:r>
        <w:rPr>
          <w:rFonts w:hint="eastAsia" w:ascii="仿宋_GB2312" w:eastAsia="仿宋_GB2312"/>
          <w:color w:val="000000"/>
          <w:sz w:val="32"/>
          <w:szCs w:val="32"/>
        </w:rPr>
        <w:t>效益、项目社会效益、生态效益、可持续效益、公平性、资金使用效率、受益群体满意度等。</w:t>
      </w:r>
    </w:p>
    <w:p>
      <w:pPr>
        <w:spacing w:line="58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三</w:t>
      </w:r>
      <w:r>
        <w:rPr>
          <w:rFonts w:ascii="仿宋" w:hAnsi="仿宋" w:eastAsia="仿宋" w:cs="仿宋_GB2312"/>
          <w:sz w:val="32"/>
          <w:szCs w:val="32"/>
        </w:rPr>
        <w:t>、存在主要问题</w:t>
      </w:r>
      <w:r>
        <w:rPr>
          <w:rFonts w:hint="eastAsia" w:ascii="仿宋" w:hAnsi="仿宋" w:eastAsia="仿宋" w:cs="仿宋_GB2312"/>
          <w:sz w:val="32"/>
          <w:szCs w:val="32"/>
          <w:lang w:eastAsia="zh-CN"/>
        </w:rPr>
        <w:t>：</w:t>
      </w:r>
      <w:r>
        <w:rPr>
          <w:rFonts w:hint="eastAsia" w:ascii="仿宋_GB2312" w:eastAsia="仿宋_GB2312"/>
          <w:color w:val="000000"/>
          <w:sz w:val="32"/>
          <w:szCs w:val="32"/>
        </w:rPr>
        <w:t>一是</w:t>
      </w:r>
      <w:r>
        <w:rPr>
          <w:rFonts w:hint="eastAsia" w:ascii="仿宋_GB2312" w:eastAsia="仿宋_GB2312"/>
          <w:color w:val="000000"/>
          <w:sz w:val="32"/>
          <w:szCs w:val="32"/>
          <w:lang w:eastAsia="zh-CN"/>
        </w:rPr>
        <w:t>目标管理有所欠缺</w:t>
      </w:r>
      <w:r>
        <w:rPr>
          <w:rFonts w:hint="eastAsia" w:ascii="仿宋_GB2312" w:eastAsia="仿宋_GB2312"/>
          <w:color w:val="000000"/>
          <w:sz w:val="32"/>
          <w:szCs w:val="32"/>
        </w:rPr>
        <w:t>，二是</w:t>
      </w:r>
      <w:r>
        <w:rPr>
          <w:rFonts w:hint="eastAsia" w:ascii="仿宋_GB2312" w:eastAsia="仿宋_GB2312"/>
          <w:color w:val="000000"/>
          <w:sz w:val="32"/>
          <w:szCs w:val="32"/>
          <w:lang w:eastAsia="zh-CN"/>
        </w:rPr>
        <w:t>内部控制制度不够健全。</w:t>
      </w:r>
    </w:p>
    <w:p>
      <w:pPr>
        <w:spacing w:line="600" w:lineRule="exact"/>
        <w:ind w:firstLine="640"/>
        <w:rPr>
          <w:rFonts w:hint="eastAsia" w:ascii="仿宋_GB2312" w:eastAsia="仿宋_GB2312"/>
          <w:color w:val="000000"/>
          <w:sz w:val="32"/>
          <w:szCs w:val="32"/>
          <w:lang w:eastAsia="zh-CN"/>
        </w:rPr>
      </w:pPr>
      <w:r>
        <w:rPr>
          <w:rFonts w:hint="eastAsia" w:ascii="仿宋" w:hAnsi="仿宋" w:eastAsia="仿宋" w:cs="仿宋_GB2312"/>
          <w:sz w:val="32"/>
          <w:szCs w:val="32"/>
        </w:rPr>
        <w:t>四</w:t>
      </w:r>
      <w:r>
        <w:rPr>
          <w:rFonts w:ascii="仿宋" w:hAnsi="仿宋" w:eastAsia="仿宋" w:cs="仿宋_GB2312"/>
          <w:sz w:val="32"/>
          <w:szCs w:val="32"/>
        </w:rPr>
        <w:t>、相关措施建议</w:t>
      </w:r>
      <w:r>
        <w:rPr>
          <w:rFonts w:hint="eastAsia" w:ascii="仿宋" w:hAnsi="仿宋" w:eastAsia="仿宋" w:cs="仿宋_GB2312"/>
          <w:sz w:val="32"/>
          <w:szCs w:val="32"/>
          <w:lang w:eastAsia="zh-CN"/>
        </w:rPr>
        <w:t>：</w:t>
      </w:r>
      <w:r>
        <w:rPr>
          <w:rFonts w:hint="eastAsia" w:ascii="仿宋_GB2312" w:eastAsia="仿宋_GB2312"/>
          <w:color w:val="000000"/>
          <w:sz w:val="32"/>
          <w:szCs w:val="32"/>
          <w:lang w:eastAsia="zh-CN"/>
        </w:rPr>
        <w:t>加强法制建设，法制宣传，依法治国、依法治县，让大家能真正地做到有什么诉求走司法程序。</w:t>
      </w:r>
    </w:p>
    <w:p>
      <w:pPr>
        <w:spacing w:line="600" w:lineRule="exact"/>
        <w:jc w:val="center"/>
        <w:outlineLvl w:val="0"/>
        <w:rPr>
          <w:rFonts w:hint="eastAsia" w:ascii="黑体" w:hAnsi="黑体" w:eastAsia="黑体"/>
          <w:color w:val="000000"/>
          <w:sz w:val="44"/>
          <w:szCs w:val="44"/>
        </w:rPr>
      </w:pPr>
      <w:bookmarkStart w:id="62" w:name="_Toc15396618"/>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Style w:val="25"/>
          <w:rFonts w:ascii="黑体" w:hAnsi="黑体" w:eastAsia="黑体"/>
          <w:b w:val="0"/>
        </w:rPr>
      </w:pPr>
      <w:r>
        <w:rPr>
          <w:rFonts w:hint="eastAsia" w:ascii="黑体" w:hAnsi="黑体" w:eastAsia="黑体"/>
          <w:color w:val="000000"/>
          <w:sz w:val="44"/>
          <w:szCs w:val="44"/>
        </w:rPr>
        <w:t>第</w:t>
      </w:r>
      <w:r>
        <w:rPr>
          <w:rStyle w:val="25"/>
          <w:rFonts w:hint="eastAsia" w:ascii="黑体" w:hAnsi="黑体" w:eastAsia="黑体"/>
          <w:b w:val="0"/>
        </w:rPr>
        <w:t>五部分 附表</w:t>
      </w:r>
      <w:bookmarkEnd w:id="57"/>
      <w:bookmarkEnd w:id="62"/>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3" w:name="_Toc15396619"/>
      <w:r>
        <w:rPr>
          <w:rFonts w:hint="eastAsia" w:ascii="仿宋" w:hAnsi="仿宋" w:eastAsia="仿宋"/>
          <w:b w:val="0"/>
          <w:color w:val="000000"/>
        </w:rPr>
        <w:t>一、收</w:t>
      </w:r>
      <w:r>
        <w:rPr>
          <w:rStyle w:val="26"/>
          <w:rFonts w:hint="eastAsia" w:ascii="仿宋" w:hAnsi="仿宋" w:eastAsia="仿宋"/>
          <w:b w:val="0"/>
          <w:bCs w:val="0"/>
        </w:rPr>
        <w:t>入支出决算总表</w:t>
      </w:r>
      <w:bookmarkEnd w:id="63"/>
    </w:p>
    <w:p>
      <w:pPr>
        <w:pStyle w:val="3"/>
        <w:rPr>
          <w:rFonts w:ascii="仿宋" w:hAnsi="仿宋" w:eastAsia="仿宋"/>
          <w:color w:val="000000"/>
        </w:rPr>
      </w:pPr>
      <w:bookmarkStart w:id="64" w:name="_Toc15396620"/>
      <w:r>
        <w:rPr>
          <w:rFonts w:hint="eastAsia" w:ascii="仿宋" w:hAnsi="仿宋" w:eastAsia="仿宋"/>
          <w:b w:val="0"/>
          <w:color w:val="000000"/>
        </w:rPr>
        <w:t>二、收</w:t>
      </w:r>
      <w:r>
        <w:rPr>
          <w:rStyle w:val="26"/>
          <w:rFonts w:hint="eastAsia" w:ascii="仿宋" w:hAnsi="仿宋" w:eastAsia="仿宋"/>
          <w:b w:val="0"/>
          <w:bCs w:val="0"/>
        </w:rPr>
        <w:t>入总表</w:t>
      </w:r>
      <w:bookmarkEnd w:id="64"/>
    </w:p>
    <w:p>
      <w:pPr>
        <w:pStyle w:val="3"/>
        <w:rPr>
          <w:rFonts w:ascii="仿宋" w:hAnsi="仿宋" w:eastAsia="仿宋"/>
          <w:color w:val="000000"/>
        </w:rPr>
      </w:pPr>
      <w:bookmarkStart w:id="65" w:name="_Toc15396621"/>
      <w:r>
        <w:rPr>
          <w:rStyle w:val="26"/>
          <w:rFonts w:hint="eastAsia" w:ascii="仿宋" w:hAnsi="仿宋" w:eastAsia="仿宋"/>
          <w:b w:val="0"/>
          <w:bCs w:val="0"/>
        </w:rPr>
        <w:t>三、</w:t>
      </w:r>
      <w:r>
        <w:rPr>
          <w:rFonts w:hint="eastAsia" w:ascii="仿宋" w:hAnsi="仿宋" w:eastAsia="仿宋"/>
          <w:b w:val="0"/>
          <w:color w:val="000000"/>
        </w:rPr>
        <w:t>支</w:t>
      </w:r>
      <w:r>
        <w:rPr>
          <w:rStyle w:val="26"/>
          <w:rFonts w:hint="eastAsia" w:ascii="仿宋" w:hAnsi="仿宋" w:eastAsia="仿宋"/>
          <w:b w:val="0"/>
          <w:bCs w:val="0"/>
        </w:rPr>
        <w:t>出总表</w:t>
      </w:r>
      <w:bookmarkEnd w:id="65"/>
    </w:p>
    <w:p>
      <w:pPr>
        <w:pStyle w:val="3"/>
        <w:rPr>
          <w:rFonts w:ascii="仿宋" w:hAnsi="仿宋" w:eastAsia="仿宋"/>
          <w:b w:val="0"/>
          <w:color w:val="000000"/>
        </w:rPr>
      </w:pPr>
      <w:bookmarkStart w:id="66" w:name="_Toc15396622"/>
      <w:r>
        <w:rPr>
          <w:rStyle w:val="26"/>
          <w:rFonts w:hint="eastAsia" w:ascii="仿宋" w:hAnsi="仿宋" w:eastAsia="仿宋"/>
          <w:b w:val="0"/>
          <w:bCs w:val="0"/>
        </w:rPr>
        <w:t>四、</w:t>
      </w:r>
      <w:r>
        <w:rPr>
          <w:rFonts w:hint="eastAsia" w:ascii="仿宋" w:hAnsi="仿宋" w:eastAsia="仿宋"/>
          <w:b w:val="0"/>
          <w:color w:val="000000"/>
        </w:rPr>
        <w:t>财</w:t>
      </w:r>
      <w:r>
        <w:rPr>
          <w:rStyle w:val="26"/>
          <w:rFonts w:hint="eastAsia" w:ascii="仿宋" w:hAnsi="仿宋" w:eastAsia="仿宋"/>
          <w:b w:val="0"/>
          <w:bCs w:val="0"/>
        </w:rPr>
        <w:t>政拨款收入支出决算总表</w:t>
      </w:r>
      <w:bookmarkEnd w:id="66"/>
    </w:p>
    <w:p>
      <w:pPr>
        <w:pStyle w:val="3"/>
        <w:rPr>
          <w:rFonts w:ascii="仿宋" w:hAnsi="仿宋" w:eastAsia="仿宋"/>
          <w:color w:val="000000"/>
        </w:rPr>
      </w:pPr>
      <w:bookmarkStart w:id="67" w:name="_Toc15396623"/>
      <w:r>
        <w:rPr>
          <w:rStyle w:val="26"/>
          <w:rFonts w:hint="eastAsia" w:ascii="仿宋" w:hAnsi="仿宋" w:eastAsia="仿宋"/>
          <w:b w:val="0"/>
          <w:bCs w:val="0"/>
        </w:rPr>
        <w:t>五、</w:t>
      </w:r>
      <w:r>
        <w:rPr>
          <w:rFonts w:hint="eastAsia" w:ascii="仿宋" w:hAnsi="仿宋" w:eastAsia="仿宋"/>
          <w:b w:val="0"/>
          <w:color w:val="000000"/>
        </w:rPr>
        <w:t>财</w:t>
      </w:r>
      <w:r>
        <w:rPr>
          <w:rStyle w:val="26"/>
          <w:rFonts w:hint="eastAsia" w:ascii="仿宋" w:hAnsi="仿宋" w:eastAsia="仿宋"/>
          <w:b w:val="0"/>
          <w:bCs w:val="0"/>
        </w:rPr>
        <w:t>政拨款支出决算明细表（政府经济分类科目）</w:t>
      </w:r>
      <w:bookmarkEnd w:id="67"/>
    </w:p>
    <w:p>
      <w:pPr>
        <w:pStyle w:val="3"/>
        <w:rPr>
          <w:rFonts w:ascii="仿宋" w:hAnsi="仿宋" w:eastAsia="仿宋"/>
          <w:color w:val="000000"/>
        </w:rPr>
      </w:pPr>
      <w:bookmarkStart w:id="68" w:name="_Toc15396624"/>
      <w:r>
        <w:rPr>
          <w:rStyle w:val="26"/>
          <w:rFonts w:hint="eastAsia" w:ascii="仿宋" w:hAnsi="仿宋" w:eastAsia="仿宋"/>
          <w:b w:val="0"/>
          <w:bCs w:val="0"/>
        </w:rPr>
        <w:t>六、</w:t>
      </w:r>
      <w:r>
        <w:rPr>
          <w:rFonts w:hint="eastAsia" w:ascii="仿宋" w:hAnsi="仿宋" w:eastAsia="仿宋"/>
          <w:b w:val="0"/>
          <w:color w:val="000000"/>
        </w:rPr>
        <w:t>一</w:t>
      </w:r>
      <w:r>
        <w:rPr>
          <w:rStyle w:val="26"/>
          <w:rFonts w:hint="eastAsia" w:ascii="仿宋" w:hAnsi="仿宋" w:eastAsia="仿宋"/>
          <w:b w:val="0"/>
          <w:bCs w:val="0"/>
        </w:rPr>
        <w:t>般公共预算财政拨款支出决算表</w:t>
      </w:r>
      <w:bookmarkEnd w:id="68"/>
    </w:p>
    <w:p>
      <w:pPr>
        <w:pStyle w:val="3"/>
        <w:rPr>
          <w:rFonts w:ascii="仿宋" w:hAnsi="仿宋" w:eastAsia="仿宋"/>
          <w:color w:val="000000"/>
        </w:rPr>
      </w:pPr>
      <w:bookmarkStart w:id="69" w:name="_Toc15396625"/>
      <w:r>
        <w:rPr>
          <w:rStyle w:val="26"/>
          <w:rFonts w:hint="eastAsia" w:ascii="仿宋" w:hAnsi="仿宋" w:eastAsia="仿宋"/>
          <w:b w:val="0"/>
          <w:bCs w:val="0"/>
        </w:rPr>
        <w:t>七、</w:t>
      </w:r>
      <w:r>
        <w:rPr>
          <w:rFonts w:hint="eastAsia" w:ascii="仿宋" w:hAnsi="仿宋" w:eastAsia="仿宋"/>
          <w:b w:val="0"/>
          <w:color w:val="000000"/>
        </w:rPr>
        <w:t>一</w:t>
      </w:r>
      <w:r>
        <w:rPr>
          <w:rStyle w:val="26"/>
          <w:rFonts w:hint="eastAsia" w:ascii="仿宋" w:hAnsi="仿宋" w:eastAsia="仿宋"/>
          <w:b w:val="0"/>
          <w:bCs w:val="0"/>
        </w:rPr>
        <w:t>般公共预算财政拨款支出决算明细表</w:t>
      </w:r>
      <w:bookmarkEnd w:id="69"/>
    </w:p>
    <w:p>
      <w:pPr>
        <w:pStyle w:val="3"/>
        <w:rPr>
          <w:rFonts w:ascii="仿宋" w:hAnsi="仿宋" w:eastAsia="仿宋"/>
          <w:color w:val="000000"/>
        </w:rPr>
      </w:pPr>
      <w:bookmarkStart w:id="70" w:name="_Toc15396626"/>
      <w:r>
        <w:rPr>
          <w:rStyle w:val="26"/>
          <w:rFonts w:hint="eastAsia" w:ascii="仿宋" w:hAnsi="仿宋" w:eastAsia="仿宋"/>
          <w:b w:val="0"/>
          <w:bCs w:val="0"/>
        </w:rPr>
        <w:t>八、</w:t>
      </w:r>
      <w:r>
        <w:rPr>
          <w:rFonts w:hint="eastAsia" w:ascii="仿宋" w:hAnsi="仿宋" w:eastAsia="仿宋"/>
          <w:b w:val="0"/>
          <w:color w:val="000000"/>
        </w:rPr>
        <w:t>一</w:t>
      </w:r>
      <w:r>
        <w:rPr>
          <w:rStyle w:val="26"/>
          <w:rFonts w:hint="eastAsia" w:ascii="仿宋" w:hAnsi="仿宋" w:eastAsia="仿宋"/>
          <w:b w:val="0"/>
          <w:bCs w:val="0"/>
        </w:rPr>
        <w:t>般公共预算财政拨款基本支出决算表</w:t>
      </w:r>
      <w:bookmarkEnd w:id="70"/>
    </w:p>
    <w:p>
      <w:pPr>
        <w:pStyle w:val="3"/>
        <w:rPr>
          <w:rFonts w:ascii="仿宋" w:hAnsi="仿宋" w:eastAsia="仿宋"/>
          <w:color w:val="000000"/>
        </w:rPr>
      </w:pPr>
      <w:bookmarkStart w:id="71" w:name="_Toc15396627"/>
      <w:r>
        <w:rPr>
          <w:rStyle w:val="26"/>
          <w:rFonts w:hint="eastAsia" w:ascii="仿宋" w:hAnsi="仿宋" w:eastAsia="仿宋"/>
          <w:b w:val="0"/>
          <w:bCs w:val="0"/>
        </w:rPr>
        <w:t>九、</w:t>
      </w:r>
      <w:r>
        <w:rPr>
          <w:rFonts w:hint="eastAsia" w:ascii="仿宋" w:hAnsi="仿宋" w:eastAsia="仿宋"/>
          <w:b w:val="0"/>
          <w:color w:val="000000"/>
        </w:rPr>
        <w:t>一</w:t>
      </w:r>
      <w:r>
        <w:rPr>
          <w:rStyle w:val="26"/>
          <w:rFonts w:hint="eastAsia" w:ascii="仿宋" w:hAnsi="仿宋" w:eastAsia="仿宋"/>
          <w:b w:val="0"/>
          <w:bCs w:val="0"/>
        </w:rPr>
        <w:t>般公共预算财政拨款项目支出决算表</w:t>
      </w:r>
      <w:bookmarkEnd w:id="71"/>
    </w:p>
    <w:p>
      <w:pPr>
        <w:pStyle w:val="3"/>
        <w:rPr>
          <w:rFonts w:ascii="仿宋" w:hAnsi="仿宋" w:eastAsia="仿宋"/>
          <w:color w:val="000000"/>
        </w:rPr>
      </w:pPr>
      <w:bookmarkStart w:id="72" w:name="_Toc15396628"/>
      <w:r>
        <w:rPr>
          <w:rStyle w:val="26"/>
          <w:rFonts w:hint="eastAsia" w:ascii="仿宋" w:hAnsi="仿宋" w:eastAsia="仿宋"/>
          <w:b w:val="0"/>
          <w:bCs w:val="0"/>
        </w:rPr>
        <w:t>十、</w:t>
      </w:r>
      <w:r>
        <w:rPr>
          <w:rFonts w:hint="eastAsia" w:ascii="仿宋" w:hAnsi="仿宋" w:eastAsia="仿宋"/>
          <w:b w:val="0"/>
          <w:color w:val="000000"/>
        </w:rPr>
        <w:t>一</w:t>
      </w:r>
      <w:r>
        <w:rPr>
          <w:rStyle w:val="26"/>
          <w:rFonts w:hint="eastAsia" w:ascii="仿宋" w:hAnsi="仿宋" w:eastAsia="仿宋"/>
          <w:b w:val="0"/>
          <w:bCs w:val="0"/>
        </w:rPr>
        <w:t>般公共预算财政拨款“三公”经费支出决算表</w:t>
      </w:r>
      <w:bookmarkEnd w:id="72"/>
    </w:p>
    <w:p>
      <w:pPr>
        <w:pStyle w:val="3"/>
        <w:rPr>
          <w:rFonts w:ascii="仿宋" w:hAnsi="仿宋" w:eastAsia="仿宋"/>
          <w:color w:val="000000" w:themeColor="text1"/>
          <w14:textFill>
            <w14:solidFill>
              <w14:schemeClr w14:val="tx1"/>
            </w14:solidFill>
          </w14:textFill>
        </w:rPr>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仿宋简体">
    <w:altName w:val="宋体"/>
    <w:panose1 w:val="02010601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0000000000000000000"/>
    <w:charset w:val="00"/>
    <w:family w:val="auto"/>
    <w:pitch w:val="default"/>
    <w:sig w:usb0="00000000" w:usb1="00000000" w:usb2="00000000" w:usb3="00000000" w:csb0="00000000" w:csb1="00000000"/>
  </w:font>
  <w:font w:name="Calibri Light">
    <w:altName w:val="Calibri"/>
    <w:panose1 w:val="00000000000000000000"/>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 w:name="等线">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微软雅黑">
    <w:altName w:val="黑体"/>
    <w:panose1 w:val="020B0503020204020204"/>
    <w:charset w:val="86"/>
    <w:family w:val="swiss"/>
    <w:pitch w:val="variable"/>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docPartObj>
        <w:docPartGallery w:val="autotext"/>
      </w:docPartObj>
    </w:sdtPr>
    <w:sdtContent>
      <w:p>
        <w:pPr>
          <w:pStyle w:val="8"/>
          <w:jc w:val="center"/>
        </w:pPr>
        <w:r>
          <w:fldChar w:fldCharType="begin"/>
        </w:r>
        <w:r>
          <w:instrText xml:space="preserve">PAGE   \* MERGEFORMAT</w:instrText>
        </w:r>
        <w:r>
          <w:fldChar w:fldCharType="separate"/>
        </w:r>
        <w:r>
          <w:rPr>
            <w:lang w:val="zh-CN"/>
          </w:rPr>
          <w:t>10</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90A93D0"/>
    <w:multiLevelType w:val="singleLevel"/>
    <w:tmpl w:val="D90A93D0"/>
    <w:lvl w:ilvl="0" w:tentative="0">
      <w:start w:val="1"/>
      <w:numFmt w:val="decimal"/>
      <w:lvlText w:val="%1."/>
      <w:lvlJc w:val="left"/>
      <w:pPr>
        <w:tabs>
          <w:tab w:val="left" w:pos="312"/>
        </w:tabs>
      </w:p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E6C1E0BE"/>
    <w:multiLevelType w:val="singleLevel"/>
    <w:tmpl w:val="E6C1E0BE"/>
    <w:lvl w:ilvl="0" w:tentative="0">
      <w:start w:val="1"/>
      <w:numFmt w:val="decimal"/>
      <w:lvlText w:val="%1."/>
      <w:lvlJc w:val="left"/>
      <w:pPr>
        <w:tabs>
          <w:tab w:val="left" w:pos="312"/>
        </w:tabs>
      </w:pPr>
    </w:lvl>
  </w:abstractNum>
  <w:abstractNum w:abstractNumId="4">
    <w:nsid w:val="EC0BEF30"/>
    <w:multiLevelType w:val="singleLevel"/>
    <w:tmpl w:val="EC0BEF30"/>
    <w:lvl w:ilvl="0" w:tentative="0">
      <w:start w:val="1"/>
      <w:numFmt w:val="chineseCounting"/>
      <w:suff w:val="nothing"/>
      <w:lvlText w:val="（%1）"/>
      <w:lvlJc w:val="left"/>
      <w:rPr>
        <w:rFonts w:hint="eastAsia" w:ascii="楷体_GB2312" w:hAnsi="楷体_GB2312" w:eastAsia="楷体_GB2312" w:cs="楷体_GB2312"/>
        <w:b/>
        <w:bCs/>
        <w:sz w:val="32"/>
        <w:szCs w:val="32"/>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17F426B7"/>
    <w:multiLevelType w:val="multilevel"/>
    <w:tmpl w:val="17F426B7"/>
    <w:lvl w:ilvl="0" w:tentative="0">
      <w:start w:val="10"/>
      <w:numFmt w:val="japaneseCounting"/>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1"/>
  </w:num>
  <w:num w:numId="2">
    <w:abstractNumId w:val="5"/>
  </w:num>
  <w:num w:numId="3">
    <w:abstractNumId w:val="3"/>
  </w:num>
  <w:num w:numId="4">
    <w:abstractNumId w:val="0"/>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6487A"/>
    <w:rsid w:val="00065F8F"/>
    <w:rsid w:val="000768F2"/>
    <w:rsid w:val="0009184B"/>
    <w:rsid w:val="0009593C"/>
    <w:rsid w:val="000B047F"/>
    <w:rsid w:val="000B5923"/>
    <w:rsid w:val="000B5A48"/>
    <w:rsid w:val="000B6FF3"/>
    <w:rsid w:val="000C3467"/>
    <w:rsid w:val="000C3CA6"/>
    <w:rsid w:val="000D1267"/>
    <w:rsid w:val="000D1D50"/>
    <w:rsid w:val="000D5782"/>
    <w:rsid w:val="000E6613"/>
    <w:rsid w:val="000E7119"/>
    <w:rsid w:val="00114E9B"/>
    <w:rsid w:val="0014729F"/>
    <w:rsid w:val="00157BAB"/>
    <w:rsid w:val="001654D1"/>
    <w:rsid w:val="0018106D"/>
    <w:rsid w:val="001877A7"/>
    <w:rsid w:val="00191536"/>
    <w:rsid w:val="00196687"/>
    <w:rsid w:val="001C0962"/>
    <w:rsid w:val="001D7531"/>
    <w:rsid w:val="001E737D"/>
    <w:rsid w:val="001F0592"/>
    <w:rsid w:val="001F7506"/>
    <w:rsid w:val="002006CD"/>
    <w:rsid w:val="00202B36"/>
    <w:rsid w:val="00204B7A"/>
    <w:rsid w:val="0021101A"/>
    <w:rsid w:val="00220536"/>
    <w:rsid w:val="00235629"/>
    <w:rsid w:val="00260C38"/>
    <w:rsid w:val="002616C0"/>
    <w:rsid w:val="002662AA"/>
    <w:rsid w:val="00280496"/>
    <w:rsid w:val="00295495"/>
    <w:rsid w:val="002B2613"/>
    <w:rsid w:val="002F1818"/>
    <w:rsid w:val="002F567B"/>
    <w:rsid w:val="003216A9"/>
    <w:rsid w:val="0037013F"/>
    <w:rsid w:val="00380C92"/>
    <w:rsid w:val="003A484F"/>
    <w:rsid w:val="003B0BE0"/>
    <w:rsid w:val="003B0C1B"/>
    <w:rsid w:val="003B688C"/>
    <w:rsid w:val="003C0291"/>
    <w:rsid w:val="003C39AE"/>
    <w:rsid w:val="003C7B60"/>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7481D"/>
    <w:rsid w:val="0058486E"/>
    <w:rsid w:val="005D1C8B"/>
    <w:rsid w:val="005D5CED"/>
    <w:rsid w:val="005F1A4C"/>
    <w:rsid w:val="00605688"/>
    <w:rsid w:val="006070AF"/>
    <w:rsid w:val="00607E6C"/>
    <w:rsid w:val="006101B1"/>
    <w:rsid w:val="00614E44"/>
    <w:rsid w:val="00622830"/>
    <w:rsid w:val="00630AEF"/>
    <w:rsid w:val="006325F8"/>
    <w:rsid w:val="00634C9A"/>
    <w:rsid w:val="006440E4"/>
    <w:rsid w:val="0066343B"/>
    <w:rsid w:val="00664777"/>
    <w:rsid w:val="006748A4"/>
    <w:rsid w:val="00683E73"/>
    <w:rsid w:val="006A3141"/>
    <w:rsid w:val="006A5E34"/>
    <w:rsid w:val="006B2422"/>
    <w:rsid w:val="006B2B9A"/>
    <w:rsid w:val="006C1937"/>
    <w:rsid w:val="006F020C"/>
    <w:rsid w:val="007127B7"/>
    <w:rsid w:val="007416B6"/>
    <w:rsid w:val="00746F48"/>
    <w:rsid w:val="0075404D"/>
    <w:rsid w:val="0076182A"/>
    <w:rsid w:val="00767B7E"/>
    <w:rsid w:val="007770C3"/>
    <w:rsid w:val="00784D24"/>
    <w:rsid w:val="00785FBA"/>
    <w:rsid w:val="00786E4A"/>
    <w:rsid w:val="007875EB"/>
    <w:rsid w:val="0079426B"/>
    <w:rsid w:val="007D312A"/>
    <w:rsid w:val="007D3F19"/>
    <w:rsid w:val="007E23B0"/>
    <w:rsid w:val="007F1991"/>
    <w:rsid w:val="007F2C2F"/>
    <w:rsid w:val="007F55FC"/>
    <w:rsid w:val="007F5665"/>
    <w:rsid w:val="00800112"/>
    <w:rsid w:val="008253BB"/>
    <w:rsid w:val="0083706E"/>
    <w:rsid w:val="008423A5"/>
    <w:rsid w:val="00850625"/>
    <w:rsid w:val="00853718"/>
    <w:rsid w:val="00855221"/>
    <w:rsid w:val="00860645"/>
    <w:rsid w:val="00871F71"/>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46945"/>
    <w:rsid w:val="00951248"/>
    <w:rsid w:val="0095152F"/>
    <w:rsid w:val="00954C49"/>
    <w:rsid w:val="0097099F"/>
    <w:rsid w:val="00971997"/>
    <w:rsid w:val="00971FFC"/>
    <w:rsid w:val="0098660A"/>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56DF2"/>
    <w:rsid w:val="00A67AB5"/>
    <w:rsid w:val="00A91760"/>
    <w:rsid w:val="00A93B00"/>
    <w:rsid w:val="00A93C21"/>
    <w:rsid w:val="00AC3C6A"/>
    <w:rsid w:val="00AD5620"/>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44F6"/>
    <w:rsid w:val="00CE49DA"/>
    <w:rsid w:val="00CE7B61"/>
    <w:rsid w:val="00D00095"/>
    <w:rsid w:val="00D20620"/>
    <w:rsid w:val="00D26091"/>
    <w:rsid w:val="00D34E7C"/>
    <w:rsid w:val="00D35489"/>
    <w:rsid w:val="00D51276"/>
    <w:rsid w:val="00D7035F"/>
    <w:rsid w:val="00DA65AC"/>
    <w:rsid w:val="00DB1913"/>
    <w:rsid w:val="00DC410D"/>
    <w:rsid w:val="00DC68CA"/>
    <w:rsid w:val="00DC7CBA"/>
    <w:rsid w:val="00DD73B7"/>
    <w:rsid w:val="00DF28BC"/>
    <w:rsid w:val="00DF34B9"/>
    <w:rsid w:val="00E01053"/>
    <w:rsid w:val="00E07ACF"/>
    <w:rsid w:val="00E331A1"/>
    <w:rsid w:val="00E33202"/>
    <w:rsid w:val="00E336A9"/>
    <w:rsid w:val="00E50624"/>
    <w:rsid w:val="00E568DF"/>
    <w:rsid w:val="00E64269"/>
    <w:rsid w:val="00E82267"/>
    <w:rsid w:val="00EA010F"/>
    <w:rsid w:val="00ED1B63"/>
    <w:rsid w:val="00ED3C1F"/>
    <w:rsid w:val="00ED4085"/>
    <w:rsid w:val="00ED420E"/>
    <w:rsid w:val="00EE2F57"/>
    <w:rsid w:val="00EF4C34"/>
    <w:rsid w:val="00EF77C6"/>
    <w:rsid w:val="00F05438"/>
    <w:rsid w:val="00F1361C"/>
    <w:rsid w:val="00F160C7"/>
    <w:rsid w:val="00F36D8F"/>
    <w:rsid w:val="00F417B1"/>
    <w:rsid w:val="00F602DF"/>
    <w:rsid w:val="00F81FD9"/>
    <w:rsid w:val="00F841AA"/>
    <w:rsid w:val="00FA23E8"/>
    <w:rsid w:val="00FD3CC1"/>
    <w:rsid w:val="00FF1E02"/>
    <w:rsid w:val="00FF30B4"/>
    <w:rsid w:val="02D06745"/>
    <w:rsid w:val="035853ED"/>
    <w:rsid w:val="0E6C31C1"/>
    <w:rsid w:val="10C055FF"/>
    <w:rsid w:val="16BB723D"/>
    <w:rsid w:val="21CE3C55"/>
    <w:rsid w:val="240371BF"/>
    <w:rsid w:val="29FD04D3"/>
    <w:rsid w:val="319F7F4E"/>
    <w:rsid w:val="35841947"/>
    <w:rsid w:val="3A7D62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3">
    <w:name w:val="Default Paragraph Font"/>
    <w:link w:val="14"/>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customStyle="1" w:styleId="14">
    <w:name w:val="Char Char Char1 Char Char Char Char Char Char Char Char Char Char Char Char Char"/>
    <w:basedOn w:val="1"/>
    <w:link w:val="13"/>
    <w:qFormat/>
    <w:uiPriority w:val="0"/>
    <w:pPr>
      <w:spacing w:line="365" w:lineRule="atLeast"/>
      <w:ind w:left="1"/>
      <w:textAlignment w:val="bottom"/>
    </w:pPr>
  </w:style>
  <w:style w:type="character" w:styleId="15">
    <w:name w:val="Strong"/>
    <w:basedOn w:val="13"/>
    <w:qFormat/>
    <w:uiPriority w:val="99"/>
    <w:rPr>
      <w:b/>
    </w:rPr>
  </w:style>
  <w:style w:type="character" w:styleId="16">
    <w:name w:val="Hyperlink"/>
    <w:basedOn w:val="13"/>
    <w:unhideWhenUsed/>
    <w:uiPriority w:val="99"/>
    <w:rPr>
      <w:color w:val="0000FF" w:themeColor="hyperlink"/>
      <w:u w:val="single"/>
      <w14:textFill>
        <w14:solidFill>
          <w14:schemeClr w14:val="hlink"/>
        </w14:solidFill>
      </w14:textFill>
    </w:rPr>
  </w:style>
  <w:style w:type="character" w:customStyle="1" w:styleId="17">
    <w:name w:val="Header Char"/>
    <w:basedOn w:val="13"/>
    <w:semiHidden/>
    <w:uiPriority w:val="99"/>
    <w:rPr>
      <w:rFonts w:ascii="Times New Roman" w:hAnsi="Times New Roman"/>
      <w:sz w:val="18"/>
      <w:szCs w:val="18"/>
    </w:rPr>
  </w:style>
  <w:style w:type="character" w:customStyle="1" w:styleId="18">
    <w:name w:val="页眉 Char"/>
    <w:link w:val="9"/>
    <w:semiHidden/>
    <w:locked/>
    <w:uiPriority w:val="99"/>
    <w:rPr>
      <w:sz w:val="18"/>
    </w:rPr>
  </w:style>
  <w:style w:type="character" w:customStyle="1" w:styleId="19">
    <w:name w:val="Footer Char"/>
    <w:basedOn w:val="13"/>
    <w:semiHidden/>
    <w:uiPriority w:val="99"/>
    <w:rPr>
      <w:rFonts w:ascii="Times New Roman" w:hAnsi="Times New Roman"/>
      <w:sz w:val="18"/>
      <w:szCs w:val="18"/>
    </w:rPr>
  </w:style>
  <w:style w:type="character" w:customStyle="1" w:styleId="20">
    <w:name w:val="页脚 Char"/>
    <w:link w:val="8"/>
    <w:locked/>
    <w:uiPriority w:val="99"/>
    <w:rPr>
      <w:sz w:val="18"/>
    </w:rPr>
  </w:style>
  <w:style w:type="character" w:customStyle="1" w:styleId="21">
    <w:name w:val="Body Text Char"/>
    <w:basedOn w:val="13"/>
    <w:semiHidden/>
    <w:uiPriority w:val="99"/>
    <w:rPr>
      <w:rFonts w:ascii="Times New Roman" w:hAnsi="Times New Roman"/>
      <w:szCs w:val="24"/>
    </w:rPr>
  </w:style>
  <w:style w:type="character" w:customStyle="1" w:styleId="22">
    <w:name w:val="正文文本 Char"/>
    <w:link w:val="5"/>
    <w:locked/>
    <w:uiPriority w:val="99"/>
    <w:rPr>
      <w:rFonts w:ascii="仿宋_GB2312" w:hAnsi="Times New Roman" w:eastAsia="仿宋_GB2312"/>
      <w:sz w:val="24"/>
    </w:rPr>
  </w:style>
  <w:style w:type="paragraph" w:customStyle="1" w:styleId="23">
    <w:name w:val="Defaul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3"/>
    <w:link w:val="2"/>
    <w:uiPriority w:val="9"/>
    <w:rPr>
      <w:rFonts w:ascii="Times New Roman" w:hAnsi="Times New Roman"/>
      <w:b/>
      <w:bCs/>
      <w:kern w:val="44"/>
      <w:sz w:val="44"/>
      <w:szCs w:val="44"/>
    </w:rPr>
  </w:style>
  <w:style w:type="character" w:customStyle="1" w:styleId="26">
    <w:name w:val="标题 2 Char"/>
    <w:basedOn w:val="13"/>
    <w:link w:val="3"/>
    <w:uiPriority w:val="9"/>
    <w:rPr>
      <w:rFonts w:asciiTheme="majorHAnsi" w:hAnsiTheme="majorHAnsi" w:eastAsiaTheme="majorEastAsia" w:cstheme="majorBidi"/>
      <w:b/>
      <w:bCs/>
      <w:kern w:val="2"/>
      <w:sz w:val="32"/>
      <w:szCs w:val="32"/>
    </w:rPr>
  </w:style>
  <w:style w:type="paragraph" w:customStyle="1" w:styleId="27">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uiPriority w:val="99"/>
    <w:rPr>
      <w:rFonts w:ascii="Times New Roman" w:hAnsi="Times New Roman"/>
      <w:kern w:val="2"/>
      <w:sz w:val="18"/>
      <w:szCs w:val="18"/>
    </w:rPr>
  </w:style>
  <w:style w:type="character" w:customStyle="1" w:styleId="29">
    <w:name w:val="标题 3 Char"/>
    <w:basedOn w:val="13"/>
    <w:link w:val="4"/>
    <w:uiPriority w:val="9"/>
    <w:rPr>
      <w:rFonts w:ascii="Times New Roman" w:hAnsi="Times New Roman"/>
      <w:b/>
      <w:bCs/>
      <w:kern w:val="2"/>
      <w:sz w:val="32"/>
      <w:szCs w:val="32"/>
    </w:rPr>
  </w:style>
  <w:style w:type="character" w:customStyle="1" w:styleId="30">
    <w:name w:val="ca-31"/>
    <w:basedOn w:val="13"/>
    <w:qFormat/>
    <w:uiPriority w:val="99"/>
    <w:rPr>
      <w:rFonts w:ascii="方正仿宋简体" w:eastAsia="方正仿宋简体" w:cs="方正仿宋简体"/>
      <w:color w:val="000000"/>
      <w:sz w:val="32"/>
      <w:szCs w:val="32"/>
    </w:rPr>
  </w:style>
  <w:style w:type="character" w:customStyle="1" w:styleId="31">
    <w:name w:val="font11"/>
    <w:basedOn w:val="13"/>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Documents%20and%20Settings\Administrator\&#26700;&#38754;\&#2227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Documents%20and%20Settings\Administrator\&#26700;&#38754;\&#2227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Documents%20and%20Settings\Administrator\&#26700;&#38754;\&#2227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Documents%20and%20Settings\Administrator\&#26700;&#38754;\&#2227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Documents%20and%20Settings\Administrator\&#26700;&#38754;\&#2227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Documents%20and%20Settings\Administrator\&#26700;&#38754;\&#2227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Documents%20and%20Settings\Administrator\&#26700;&#38754;\&#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2017.2018</a:t>
            </a:r>
            <a:r>
              <a:rPr altLang="en-US"/>
              <a:t>年财政收支决算总计变动图</a:t>
            </a:r>
            <a:endParaRPr altLang="en-US"/>
          </a:p>
        </c:rich>
      </c:tx>
      <c:layout>
        <c:manualLayout>
          <c:xMode val="edge"/>
          <c:yMode val="edge"/>
          <c:x val="0.218125"/>
          <c:y val="0.0326409495548961"/>
        </c:manualLayout>
      </c:layout>
      <c:overlay val="0"/>
      <c:spPr>
        <a:noFill/>
        <a:ln>
          <a:noFill/>
        </a:ln>
        <a:effectLst/>
      </c:spPr>
    </c:title>
    <c:autoTitleDeleted val="0"/>
    <c:plotArea>
      <c:layout/>
      <c:barChart>
        <c:barDir val="col"/>
        <c:grouping val="clustered"/>
        <c:varyColors val="0"/>
        <c:ser>
          <c:idx val="0"/>
          <c:order val="0"/>
          <c:tx>
            <c:strRef>
              <c:f>"2017年"</c:f>
              <c:strCache>
                <c:ptCount val="1"/>
                <c:pt idx="0">
                  <c:v>2017年</c:v>
                </c:pt>
              </c:strCache>
            </c:strRef>
          </c:tx>
          <c:spPr>
            <a:solidFill>
              <a:schemeClr val="accent1"/>
            </a:solidFill>
            <a:ln>
              <a:noFill/>
            </a:ln>
            <a:effectLst/>
          </c:spPr>
          <c:invertIfNegative val="0"/>
          <c:dLbls>
            <c:delete val="1"/>
          </c:dLbls>
          <c:cat>
            <c:strRef>
              <c:f>[图.xlsx]Sheet1!$A$8:$D$8</c:f>
              <c:strCache>
                <c:ptCount val="4"/>
                <c:pt idx="0">
                  <c:v>收入</c:v>
                </c:pt>
                <c:pt idx="1">
                  <c:v>支出</c:v>
                </c:pt>
                <c:pt idx="2">
                  <c:v>增加</c:v>
                </c:pt>
                <c:pt idx="3">
                  <c:v>增长率</c:v>
                </c:pt>
              </c:strCache>
            </c:strRef>
          </c:cat>
          <c:val>
            <c:numRef>
              <c:f>[图.xlsx]Sheet1!$A$9:$D$9</c:f>
              <c:numCache>
                <c:formatCode>General</c:formatCode>
                <c:ptCount val="4"/>
                <c:pt idx="0">
                  <c:v>218.5</c:v>
                </c:pt>
                <c:pt idx="1">
                  <c:v>217.5</c:v>
                </c:pt>
                <c:pt idx="2">
                  <c:v>82.42</c:v>
                </c:pt>
                <c:pt idx="3">
                  <c:v>37.7</c:v>
                </c:pt>
              </c:numCache>
            </c:numRef>
          </c:val>
        </c:ser>
        <c:ser>
          <c:idx val="1"/>
          <c:order val="1"/>
          <c:tx>
            <c:strRef>
              <c:f>"2018年"</c:f>
              <c:strCache>
                <c:ptCount val="1"/>
                <c:pt idx="0">
                  <c:v>2018年</c:v>
                </c:pt>
              </c:strCache>
            </c:strRef>
          </c:tx>
          <c:spPr>
            <a:solidFill>
              <a:schemeClr val="accent2"/>
            </a:solidFill>
            <a:ln>
              <a:noFill/>
            </a:ln>
            <a:effectLst/>
          </c:spPr>
          <c:invertIfNegative val="0"/>
          <c:dLbls>
            <c:delete val="1"/>
          </c:dLbls>
          <c:cat>
            <c:strRef>
              <c:f>[图.xlsx]Sheet1!$A$8:$D$8</c:f>
              <c:strCache>
                <c:ptCount val="4"/>
                <c:pt idx="0">
                  <c:v>收入</c:v>
                </c:pt>
                <c:pt idx="1">
                  <c:v>支出</c:v>
                </c:pt>
                <c:pt idx="2">
                  <c:v>增加</c:v>
                </c:pt>
                <c:pt idx="3">
                  <c:v>增长率</c:v>
                </c:pt>
              </c:strCache>
            </c:strRef>
          </c:cat>
          <c:val>
            <c:numRef>
              <c:f>[图.xlsx]Sheet1!$A$10:$D$10</c:f>
              <c:numCache>
                <c:formatCode>General</c:formatCode>
                <c:ptCount val="4"/>
                <c:pt idx="0">
                  <c:v>300.92</c:v>
                </c:pt>
                <c:pt idx="1">
                  <c:v>300.92</c:v>
                </c:pt>
                <c:pt idx="2">
                  <c:v>83.42</c:v>
                </c:pt>
                <c:pt idx="3">
                  <c:v>38.4</c:v>
                </c:pt>
              </c:numCache>
            </c:numRef>
          </c:val>
        </c:ser>
        <c:dLbls>
          <c:showLegendKey val="0"/>
          <c:showVal val="0"/>
          <c:showCatName val="0"/>
          <c:showSerName val="0"/>
          <c:showPercent val="0"/>
          <c:showBubbleSize val="0"/>
        </c:dLbls>
        <c:gapWidth val="222"/>
        <c:overlap val="-27"/>
        <c:axId val="525638075"/>
        <c:axId val="281017080"/>
      </c:barChart>
      <c:catAx>
        <c:axId val="525638075"/>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1017080"/>
        <c:crosses val="autoZero"/>
        <c:auto val="1"/>
        <c:lblAlgn val="ctr"/>
        <c:lblOffset val="100"/>
        <c:noMultiLvlLbl val="0"/>
      </c:catAx>
      <c:valAx>
        <c:axId val="281017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563807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2018</a:t>
            </a:r>
            <a:r>
              <a:rPr altLang="en-US"/>
              <a:t>年收入决算结构图</a:t>
            </a:r>
            <a:endParaRPr altLang="en-US"/>
          </a:p>
        </c:rich>
      </c:tx>
      <c:layout>
        <c:manualLayout>
          <c:xMode val="edge"/>
          <c:yMode val="edge"/>
          <c:x val="0.277358490566038"/>
          <c:y val="0.902298850574713"/>
        </c:manualLayout>
      </c:layout>
      <c:overlay val="0"/>
      <c:spPr>
        <a:noFill/>
        <a:ln>
          <a:noFill/>
        </a:ln>
        <a:effectLst/>
      </c:spPr>
    </c:title>
    <c:autoTitleDeleted val="0"/>
    <c:plotArea>
      <c:layout/>
      <c:pieChart>
        <c:varyColors val="1"/>
        <c:ser>
          <c:idx val="0"/>
          <c:order val="0"/>
          <c:tx>
            <c:strRef>
              <c:f>"一般公共预算财政拨款收入"</c:f>
              <c:strCache>
                <c:ptCount val="1"/>
                <c:pt idx="0">
                  <c:v>一般公共预算财政拨款收入</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{"一般财政预算拨款收入"}</c:f>
              <c:strCache>
                <c:ptCount val="1"/>
                <c:pt idx="0">
                  <c:v>一般财政预算拨款收入</c:v>
                </c:pt>
              </c:strCache>
            </c:strRef>
          </c:cat>
          <c:val>
            <c:numRef>
              <c:f>[图.xlsx]Sheet1!$A$27</c:f>
              <c:numCache>
                <c:formatCode>General</c:formatCode>
                <c:ptCount val="1"/>
                <c:pt idx="0">
                  <c:v>300.92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355904961565339"/>
          <c:y val="0.072413793103448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2018</a:t>
            </a:r>
            <a:r>
              <a:rPr altLang="en-US"/>
              <a:t>年支出决算结构图</a:t>
            </a:r>
            <a:endParaRPr altLang="en-US"/>
          </a:p>
        </c:rich>
      </c:tx>
      <c:layout>
        <c:manualLayout>
          <c:xMode val="edge"/>
          <c:yMode val="edge"/>
          <c:x val="0.288357588357588"/>
          <c:y val="0.0471544715447154"/>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[图.xlsx]Sheet1!$A$37:$A$38</c:f>
              <c:strCache>
                <c:ptCount val="2"/>
                <c:pt idx="0">
                  <c:v>基本支出</c:v>
                </c:pt>
                <c:pt idx="1">
                  <c:v>项目支出</c:v>
                </c:pt>
              </c:strCache>
            </c:strRef>
          </c:cat>
          <c:val>
            <c:numRef>
              <c:f>[图.xlsx]Sheet1!$B$37:$B$38</c:f>
              <c:numCache>
                <c:formatCode>General</c:formatCode>
                <c:ptCount val="2"/>
                <c:pt idx="0">
                  <c:v>210.92</c:v>
                </c:pt>
                <c:pt idx="1">
                  <c:v>90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2017.2018</a:t>
            </a:r>
            <a:r>
              <a:rPr altLang="en-US"/>
              <a:t>年财政收支决算总计变动图</a:t>
            </a:r>
            <a:endParaRPr altLang="en-US"/>
          </a:p>
        </c:rich>
      </c:tx>
      <c:layout>
        <c:manualLayout>
          <c:xMode val="edge"/>
          <c:yMode val="edge"/>
          <c:x val="0.218125"/>
          <c:y val="0.0326409495548961"/>
        </c:manualLayout>
      </c:layout>
      <c:overlay val="0"/>
      <c:spPr>
        <a:noFill/>
        <a:ln>
          <a:noFill/>
        </a:ln>
        <a:effectLst/>
      </c:spPr>
    </c:title>
    <c:autoTitleDeleted val="0"/>
    <c:plotArea>
      <c:layout/>
      <c:barChart>
        <c:barDir val="col"/>
        <c:grouping val="clustered"/>
        <c:varyColors val="0"/>
        <c:ser>
          <c:idx val="0"/>
          <c:order val="0"/>
          <c:tx>
            <c:strRef>
              <c:f>"2017年"</c:f>
              <c:strCache>
                <c:ptCount val="1"/>
                <c:pt idx="0">
                  <c:v>2017年</c:v>
                </c:pt>
              </c:strCache>
            </c:strRef>
          </c:tx>
          <c:spPr>
            <a:solidFill>
              <a:schemeClr val="accent1"/>
            </a:solidFill>
            <a:ln>
              <a:noFill/>
            </a:ln>
            <a:effectLst/>
          </c:spPr>
          <c:invertIfNegative val="0"/>
          <c:dLbls>
            <c:delete val="1"/>
          </c:dLbls>
          <c:cat>
            <c:strRef>
              <c:f>[图.xlsx]Sheet1!$A$8:$D$8</c:f>
              <c:strCache>
                <c:ptCount val="4"/>
                <c:pt idx="0">
                  <c:v>收入</c:v>
                </c:pt>
                <c:pt idx="1">
                  <c:v>支出</c:v>
                </c:pt>
                <c:pt idx="2">
                  <c:v>增加</c:v>
                </c:pt>
                <c:pt idx="3">
                  <c:v>增长率</c:v>
                </c:pt>
              </c:strCache>
            </c:strRef>
          </c:cat>
          <c:val>
            <c:numRef>
              <c:f>[图.xlsx]Sheet1!$A$9:$D$9</c:f>
              <c:numCache>
                <c:formatCode>General</c:formatCode>
                <c:ptCount val="4"/>
                <c:pt idx="0">
                  <c:v>218.5</c:v>
                </c:pt>
                <c:pt idx="1">
                  <c:v>217.5</c:v>
                </c:pt>
                <c:pt idx="2">
                  <c:v>82.42</c:v>
                </c:pt>
                <c:pt idx="3">
                  <c:v>37.7</c:v>
                </c:pt>
              </c:numCache>
            </c:numRef>
          </c:val>
        </c:ser>
        <c:ser>
          <c:idx val="1"/>
          <c:order val="1"/>
          <c:tx>
            <c:strRef>
              <c:f>"2018年"</c:f>
              <c:strCache>
                <c:ptCount val="1"/>
                <c:pt idx="0">
                  <c:v>2018年</c:v>
                </c:pt>
              </c:strCache>
            </c:strRef>
          </c:tx>
          <c:spPr>
            <a:solidFill>
              <a:schemeClr val="accent2"/>
            </a:solidFill>
            <a:ln>
              <a:noFill/>
            </a:ln>
            <a:effectLst/>
          </c:spPr>
          <c:invertIfNegative val="0"/>
          <c:dLbls>
            <c:delete val="1"/>
          </c:dLbls>
          <c:cat>
            <c:strRef>
              <c:f>[图.xlsx]Sheet1!$A$8:$D$8</c:f>
              <c:strCache>
                <c:ptCount val="4"/>
                <c:pt idx="0">
                  <c:v>收入</c:v>
                </c:pt>
                <c:pt idx="1">
                  <c:v>支出</c:v>
                </c:pt>
                <c:pt idx="2">
                  <c:v>增加</c:v>
                </c:pt>
                <c:pt idx="3">
                  <c:v>增长率</c:v>
                </c:pt>
              </c:strCache>
            </c:strRef>
          </c:cat>
          <c:val>
            <c:numRef>
              <c:f>[图.xlsx]Sheet1!$A$10:$D$10</c:f>
              <c:numCache>
                <c:formatCode>General</c:formatCode>
                <c:ptCount val="4"/>
                <c:pt idx="0">
                  <c:v>300.92</c:v>
                </c:pt>
                <c:pt idx="1">
                  <c:v>300.92</c:v>
                </c:pt>
                <c:pt idx="2">
                  <c:v>83.42</c:v>
                </c:pt>
                <c:pt idx="3">
                  <c:v>38.4</c:v>
                </c:pt>
              </c:numCache>
            </c:numRef>
          </c:val>
        </c:ser>
        <c:dLbls>
          <c:showLegendKey val="0"/>
          <c:showVal val="0"/>
          <c:showCatName val="0"/>
          <c:showSerName val="0"/>
          <c:showPercent val="0"/>
          <c:showBubbleSize val="0"/>
        </c:dLbls>
        <c:gapWidth val="222"/>
        <c:overlap val="-27"/>
        <c:axId val="525638075"/>
        <c:axId val="281017080"/>
      </c:barChart>
      <c:catAx>
        <c:axId val="525638075"/>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1017080"/>
        <c:crosses val="autoZero"/>
        <c:auto val="1"/>
        <c:lblAlgn val="ctr"/>
        <c:lblOffset val="100"/>
        <c:noMultiLvlLbl val="0"/>
      </c:catAx>
      <c:valAx>
        <c:axId val="281017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563807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一般公共预算财政拨款支出决算支出变动</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[图.xlsx]Sheet1!$A$76:$A$77</c:f>
              <c:strCache>
                <c:ptCount val="2"/>
                <c:pt idx="0">
                  <c:v>2017年</c:v>
                </c:pt>
                <c:pt idx="1">
                  <c:v>2018年</c:v>
                </c:pt>
              </c:strCache>
            </c:strRef>
          </c:cat>
          <c:val>
            <c:numRef>
              <c:f>[图.xlsx]Sheet1!$B$76:$B$77</c:f>
              <c:numCache>
                <c:formatCode>General</c:formatCode>
                <c:ptCount val="2"/>
                <c:pt idx="0">
                  <c:v>217.5</c:v>
                </c:pt>
                <c:pt idx="1">
                  <c:v>300.92</c:v>
                </c:pt>
              </c:numCache>
            </c:numRef>
          </c:val>
        </c:ser>
        <c:dLbls>
          <c:showLegendKey val="0"/>
          <c:showVal val="1"/>
          <c:showCatName val="0"/>
          <c:showSerName val="0"/>
          <c:showPercent val="0"/>
          <c:showBubbleSize val="0"/>
        </c:dLbls>
        <c:gapWidth val="219"/>
        <c:overlap val="-27"/>
        <c:axId val="22909425"/>
        <c:axId val="921977708"/>
      </c:barChart>
      <c:catAx>
        <c:axId val="2290942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1977708"/>
        <c:crosses val="autoZero"/>
        <c:auto val="1"/>
        <c:lblAlgn val="ctr"/>
        <c:lblOffset val="100"/>
        <c:noMultiLvlLbl val="0"/>
      </c:catAx>
      <c:valAx>
        <c:axId val="9219777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90942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一般公共预算拨款支出决算结构图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103416279045556"/>
                  <c:y val="-0.022847234622806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960254081277686"/>
                  <c:y val="0.030693051939896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746381533294328"/>
                  <c:y val="-0.0089477811961161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[图.xlsx]Sheet1!$A$46:$A$49</c:f>
              <c:strCache>
                <c:ptCount val="4"/>
                <c:pt idx="0">
                  <c:v>社会保障和就业（类）</c:v>
                </c:pt>
                <c:pt idx="1">
                  <c:v>医疗卫生支出（类）</c:v>
                </c:pt>
                <c:pt idx="2">
                  <c:v>一般公共服务类</c:v>
                </c:pt>
                <c:pt idx="3">
                  <c:v>住房保障支出（类）</c:v>
                </c:pt>
              </c:strCache>
            </c:strRef>
          </c:cat>
          <c:val>
            <c:numRef>
              <c:f>[图.xlsx]Sheet1!$B$46:$B$49</c:f>
              <c:numCache>
                <c:formatCode>General</c:formatCode>
                <c:ptCount val="4"/>
                <c:pt idx="0">
                  <c:v>21.09</c:v>
                </c:pt>
                <c:pt idx="1">
                  <c:v>8.7</c:v>
                </c:pt>
                <c:pt idx="2">
                  <c:v>260.31</c:v>
                </c:pt>
                <c:pt idx="3">
                  <c:v>10.82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2018</a:t>
            </a:r>
            <a:r>
              <a:rPr altLang="en-US"/>
              <a:t>年三公经费支出结构图</a:t>
            </a:r>
            <a:endParaRPr altLang="en-US"/>
          </a:p>
        </c:rich>
      </c:tx>
      <c:layout>
        <c:manualLayout>
          <c:xMode val="edge"/>
          <c:yMode val="edge"/>
          <c:x val="0.258333333333333"/>
          <c:y val="0.0243055555555556"/>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[图.xlsx]Sheet1!$A$59:$A$61</c:f>
              <c:strCache>
                <c:ptCount val="3"/>
                <c:pt idx="0">
                  <c:v>公务用车购置及运行维护费支</c:v>
                </c:pt>
                <c:pt idx="1">
                  <c:v>公务接待支出</c:v>
                </c:pt>
                <c:pt idx="2">
                  <c:v>因公出国（境）费支出</c:v>
                </c:pt>
              </c:strCache>
            </c:strRef>
          </c:cat>
          <c:val>
            <c:numRef>
              <c:f>[图.xlsx]Sheet1!$B$59:$B$61</c:f>
              <c:numCache>
                <c:formatCode>General</c:formatCode>
                <c:ptCount val="3"/>
                <c:pt idx="0">
                  <c:v>0</c:v>
                </c:pt>
                <c:pt idx="1">
                  <c:v>0.22</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EE963-AE7E-4F3B-BBF1-9AF15C920BB6}">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1441</Words>
  <Characters>8219</Characters>
  <Lines>68</Lines>
  <Paragraphs>19</Paragraphs>
  <TotalTime>5</TotalTime>
  <ScaleCrop>false</ScaleCrop>
  <LinksUpToDate>false</LinksUpToDate>
  <CharactersWithSpaces>9641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2019-08-01T01:14:00Z</dcterms:created>
  <dc:creator>张彬茜</dc:creator>
  <cp:lastModifiedBy>Administrator</cp:lastModifiedBy>
  <cp:lastPrinted>2019-08-01T00:48:00Z</cp:lastPrinted>
  <dcterms:modified xsi:type="dcterms:W3CDTF">2019-09-12T07:55:42Z</dcterms:modified>
  <dc:title>四川省***</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